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易方达纯债债券型证券投资基金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招商银行股份有限公司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004000" w:rsidRDefault="00F47D4F">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04000" w:rsidRDefault="00F47D4F">
      <w:pPr>
        <w:spacing w:line="360" w:lineRule="auto"/>
        <w:ind w:firstLineChars="200" w:firstLine="480"/>
        <w:rPr>
          <w:color w:val="000000"/>
          <w:sz w:val="24"/>
        </w:rPr>
      </w:pPr>
      <w:r>
        <w:rPr>
          <w:color w:val="000000"/>
          <w:sz w:val="24"/>
        </w:rPr>
        <w:t>基金托管人招商银行股份有限公司根据本基金合同规定，于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04000" w:rsidRDefault="00F47D4F">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04000" w:rsidRDefault="00F47D4F">
      <w:pPr>
        <w:spacing w:line="360" w:lineRule="auto"/>
        <w:ind w:firstLineChars="200" w:firstLine="480"/>
        <w:rPr>
          <w:color w:val="000000"/>
          <w:sz w:val="24"/>
        </w:rPr>
      </w:pPr>
      <w:r>
        <w:rPr>
          <w:color w:val="000000"/>
          <w:sz w:val="24"/>
        </w:rPr>
        <w:t>基金的过往业绩并不代表其未来表现。投资有风险，投资者在作出投</w:t>
      </w:r>
      <w:r>
        <w:rPr>
          <w:color w:val="000000"/>
          <w:sz w:val="24"/>
        </w:rPr>
        <w:t>资决策前应仔细阅读本基金的招募说明书。</w:t>
      </w:r>
      <w:r>
        <w:rPr>
          <w:color w:val="000000"/>
          <w:sz w:val="24"/>
        </w:rPr>
        <w:t xml:space="preserve"> </w:t>
      </w:r>
    </w:p>
    <w:p w:rsidR="00004000" w:rsidRDefault="00F47D4F">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2739"/>
        <w:gridCol w:w="2790"/>
      </w:tblGrid>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易方达纯债债券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5529" w:type="dxa"/>
            <w:gridSpan w:val="2"/>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110037</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5529" w:type="dxa"/>
            <w:gridSpan w:val="2"/>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2012</w:t>
            </w:r>
            <w:r w:rsidRPr="00C30CFF">
              <w:rPr>
                <w:color w:val="000000"/>
                <w:kern w:val="0"/>
                <w:sz w:val="24"/>
              </w:rPr>
              <w:t>年</w:t>
            </w:r>
            <w:r w:rsidRPr="00C30CFF">
              <w:rPr>
                <w:color w:val="000000"/>
                <w:kern w:val="0"/>
                <w:sz w:val="24"/>
              </w:rPr>
              <w:t>5</w:t>
            </w:r>
            <w:r w:rsidRPr="00C30CFF">
              <w:rPr>
                <w:color w:val="000000"/>
                <w:kern w:val="0"/>
                <w:sz w:val="24"/>
              </w:rPr>
              <w:t>月</w:t>
            </w:r>
            <w:r w:rsidRPr="00C30CFF">
              <w:rPr>
                <w:color w:val="000000"/>
                <w:kern w:val="0"/>
                <w:sz w:val="24"/>
              </w:rPr>
              <w:t>3</w:t>
            </w:r>
            <w:r w:rsidRPr="00C30CFF">
              <w:rPr>
                <w:color w:val="000000"/>
                <w:kern w:val="0"/>
                <w:sz w:val="24"/>
              </w:rPr>
              <w:t>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4,415,126,227.35</w:t>
            </w:r>
            <w:r w:rsidRPr="00C30CFF">
              <w:rPr>
                <w:color w:val="000000"/>
                <w:kern w:val="0"/>
                <w:sz w:val="24"/>
              </w:rPr>
              <w:t>份</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本基金为纯债基金，管理人主要通过分析影响债券市场的各类要素，对债券组合的平均久期、期限结构、类属品种进行有效配置，力争为投资人提供长期稳定的投资回报。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本基金通过分析影响债券市场和货币市场的各类要素，对固定收益产品的平均久期、期限结构、类属品种进行有效配置，力争为投资人提供长期稳定的投资回报。具体来看，本基金通过对宏观经济变量</w:t>
            </w:r>
            <w:r w:rsidRPr="00C30CFF">
              <w:rPr>
                <w:color w:val="000000"/>
                <w:kern w:val="0"/>
                <w:sz w:val="24"/>
              </w:rPr>
              <w:lastRenderedPageBreak/>
              <w:t>和宏观经济政策进行分析，预测利率走势，并据此对组合的平均久期进行调整；运用统计和数量分析技术，预测收益率期限结构的变化方式，选择期限结构配置策略，确定各期限固定收益品种的比例；对不同类型固定收益品种的信用风险、税赋水平、市场流动性、市场风险等因素进行分析，研究同期限固定收益投资品种的利差和变化趋势，制定类属配置策略。</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中债综合指数</w:t>
            </w:r>
            <w:r w:rsidRPr="00C30CFF">
              <w:rPr>
                <w:color w:val="000000"/>
                <w:kern w:val="0"/>
                <w:sz w:val="24"/>
              </w:rPr>
              <w:t>(</w:t>
            </w:r>
            <w:r w:rsidRPr="00C30CFF">
              <w:rPr>
                <w:color w:val="000000"/>
                <w:kern w:val="0"/>
                <w:sz w:val="24"/>
              </w:rPr>
              <w:t>全价</w:t>
            </w:r>
            <w:r w:rsidRPr="00C30CFF">
              <w:rPr>
                <w:color w:val="000000"/>
                <w:kern w:val="0"/>
                <w:sz w:val="24"/>
              </w:rPr>
              <w:t>)</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本基金为债券型基金，其长期平均风险和预期收益率低于混合型基金、股票型基金，高于货币市场基金。</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14367">
        <w:tc>
          <w:tcPr>
            <w:tcW w:w="2835"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5529" w:type="dxa"/>
            <w:gridSpan w:val="2"/>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招商银行股份有限公司</w:t>
            </w:r>
          </w:p>
        </w:tc>
      </w:tr>
      <w:tr w:rsidR="00F016DD" w:rsidRPr="0078105B" w:rsidTr="00414367">
        <w:tc>
          <w:tcPr>
            <w:tcW w:w="2835" w:type="dxa"/>
          </w:tcPr>
          <w:p w:rsidR="00F016DD" w:rsidRPr="00C30CFF" w:rsidRDefault="00F016DD" w:rsidP="003F13CD">
            <w:pPr>
              <w:adjustRightInd w:val="0"/>
              <w:spacing w:before="29" w:line="360" w:lineRule="auto"/>
              <w:ind w:left="17"/>
              <w:jc w:val="left"/>
              <w:rPr>
                <w:kern w:val="0"/>
                <w:sz w:val="24"/>
              </w:rPr>
            </w:pPr>
            <w:r w:rsidRPr="00C30CFF">
              <w:rPr>
                <w:color w:val="000000"/>
                <w:sz w:val="24"/>
              </w:rPr>
              <w:t>下属</w:t>
            </w:r>
            <w:r w:rsidR="003F13CD" w:rsidRPr="00C30CFF">
              <w:rPr>
                <w:color w:val="000000"/>
                <w:sz w:val="24"/>
              </w:rPr>
              <w:t>分</w:t>
            </w:r>
            <w:r w:rsidRPr="00C30CFF">
              <w:rPr>
                <w:color w:val="000000"/>
                <w:sz w:val="24"/>
              </w:rPr>
              <w:t>级基金的基金简称</w:t>
            </w:r>
          </w:p>
        </w:tc>
        <w:tc>
          <w:tcPr>
            <w:tcW w:w="2739" w:type="dxa"/>
            <w:vAlign w:val="center"/>
          </w:tcPr>
          <w:p w:rsidR="00F016DD" w:rsidRPr="00C30CFF" w:rsidRDefault="00F016DD" w:rsidP="00950413">
            <w:pPr>
              <w:jc w:val="left"/>
              <w:rPr>
                <w:sz w:val="24"/>
              </w:rPr>
            </w:pPr>
            <w:r w:rsidRPr="00C30CFF">
              <w:rPr>
                <w:sz w:val="24"/>
              </w:rPr>
              <w:t>易方达纯债债券</w:t>
            </w:r>
            <w:r w:rsidRPr="00C30CFF">
              <w:rPr>
                <w:sz w:val="24"/>
              </w:rPr>
              <w:t>A</w:t>
            </w:r>
          </w:p>
        </w:tc>
        <w:tc>
          <w:tcPr>
            <w:tcW w:w="2790" w:type="dxa"/>
            <w:vAlign w:val="center"/>
          </w:tcPr>
          <w:p w:rsidR="00F016DD" w:rsidRPr="00C30CFF" w:rsidRDefault="00F016DD" w:rsidP="00950413">
            <w:pPr>
              <w:jc w:val="left"/>
              <w:rPr>
                <w:sz w:val="24"/>
              </w:rPr>
            </w:pPr>
            <w:r w:rsidRPr="00C30CFF">
              <w:rPr>
                <w:sz w:val="24"/>
              </w:rPr>
              <w:t>易方达纯债债券</w:t>
            </w:r>
            <w:r w:rsidRPr="00C30CFF">
              <w:rPr>
                <w:sz w:val="24"/>
              </w:rPr>
              <w:t>C</w:t>
            </w:r>
          </w:p>
        </w:tc>
      </w:tr>
      <w:tr w:rsidR="00F016DD" w:rsidRPr="004D29A9" w:rsidTr="00414367">
        <w:tc>
          <w:tcPr>
            <w:tcW w:w="2835" w:type="dxa"/>
          </w:tcPr>
          <w:p w:rsidR="00F016DD" w:rsidRPr="00C30CFF" w:rsidRDefault="00F016DD" w:rsidP="003F13CD">
            <w:pPr>
              <w:adjustRightInd w:val="0"/>
              <w:spacing w:before="29" w:line="360" w:lineRule="auto"/>
              <w:ind w:left="17"/>
              <w:jc w:val="left"/>
              <w:rPr>
                <w:color w:val="000000"/>
                <w:sz w:val="24"/>
              </w:rPr>
            </w:pPr>
            <w:r w:rsidRPr="00C30CFF">
              <w:rPr>
                <w:color w:val="000000"/>
                <w:sz w:val="24"/>
              </w:rPr>
              <w:t>下属</w:t>
            </w:r>
            <w:r w:rsidR="003F13CD" w:rsidRPr="00C30CFF">
              <w:rPr>
                <w:color w:val="000000"/>
                <w:sz w:val="24"/>
              </w:rPr>
              <w:t>分</w:t>
            </w:r>
            <w:r w:rsidRPr="00C30CFF">
              <w:rPr>
                <w:color w:val="000000"/>
                <w:sz w:val="24"/>
              </w:rPr>
              <w:t>级基金的交易代码</w:t>
            </w:r>
          </w:p>
        </w:tc>
        <w:tc>
          <w:tcPr>
            <w:tcW w:w="2739" w:type="dxa"/>
            <w:vAlign w:val="center"/>
          </w:tcPr>
          <w:p w:rsidR="00F016DD" w:rsidRPr="00C30CFF" w:rsidRDefault="00F016DD" w:rsidP="00950413">
            <w:pPr>
              <w:jc w:val="left"/>
              <w:rPr>
                <w:color w:val="000000"/>
                <w:sz w:val="24"/>
              </w:rPr>
            </w:pPr>
            <w:r w:rsidRPr="00C30CFF">
              <w:rPr>
                <w:color w:val="000000"/>
                <w:sz w:val="24"/>
              </w:rPr>
              <w:t>110037</w:t>
            </w:r>
          </w:p>
        </w:tc>
        <w:tc>
          <w:tcPr>
            <w:tcW w:w="2790" w:type="dxa"/>
            <w:vAlign w:val="center"/>
          </w:tcPr>
          <w:p w:rsidR="00F016DD" w:rsidRPr="00C30CFF" w:rsidRDefault="00F016DD" w:rsidP="00950413">
            <w:pPr>
              <w:jc w:val="left"/>
              <w:rPr>
                <w:color w:val="000000"/>
                <w:sz w:val="24"/>
              </w:rPr>
            </w:pPr>
            <w:r w:rsidRPr="00C30CFF">
              <w:rPr>
                <w:color w:val="000000"/>
                <w:sz w:val="24"/>
              </w:rPr>
              <w:t>110038</w:t>
            </w:r>
          </w:p>
        </w:tc>
      </w:tr>
      <w:tr w:rsidR="00F016DD" w:rsidRPr="0078105B" w:rsidTr="00414367">
        <w:tc>
          <w:tcPr>
            <w:tcW w:w="2835" w:type="dxa"/>
          </w:tcPr>
          <w:p w:rsidR="00F016DD" w:rsidRPr="00C30CFF" w:rsidRDefault="00F016DD" w:rsidP="00162D92">
            <w:pPr>
              <w:adjustRightInd w:val="0"/>
              <w:spacing w:before="29" w:line="360" w:lineRule="auto"/>
              <w:ind w:left="17"/>
              <w:jc w:val="left"/>
              <w:rPr>
                <w:color w:val="000000"/>
                <w:sz w:val="24"/>
              </w:rPr>
            </w:pPr>
            <w:r w:rsidRPr="00C30CFF">
              <w:rPr>
                <w:color w:val="000000"/>
                <w:sz w:val="24"/>
              </w:rPr>
              <w:t>报告期末下属</w:t>
            </w:r>
            <w:r w:rsidR="00162D92" w:rsidRPr="00C30CFF">
              <w:rPr>
                <w:color w:val="000000"/>
                <w:sz w:val="24"/>
              </w:rPr>
              <w:t>分</w:t>
            </w:r>
            <w:r w:rsidRPr="00C30CFF">
              <w:rPr>
                <w:color w:val="000000"/>
                <w:sz w:val="24"/>
              </w:rPr>
              <w:t>级基金的份额总额</w:t>
            </w:r>
          </w:p>
        </w:tc>
        <w:tc>
          <w:tcPr>
            <w:tcW w:w="2739" w:type="dxa"/>
            <w:vAlign w:val="center"/>
          </w:tcPr>
          <w:p w:rsidR="00F016DD" w:rsidRPr="00C30CFF" w:rsidRDefault="00F016DD" w:rsidP="00950413">
            <w:pPr>
              <w:jc w:val="left"/>
              <w:rPr>
                <w:sz w:val="24"/>
              </w:rPr>
            </w:pPr>
            <w:r w:rsidRPr="00C30CFF">
              <w:rPr>
                <w:sz w:val="24"/>
              </w:rPr>
              <w:t>3,247,093,712.86</w:t>
            </w:r>
            <w:r w:rsidRPr="00C30CFF">
              <w:rPr>
                <w:color w:val="000000"/>
                <w:kern w:val="0"/>
                <w:sz w:val="24"/>
              </w:rPr>
              <w:t>份</w:t>
            </w:r>
          </w:p>
        </w:tc>
        <w:tc>
          <w:tcPr>
            <w:tcW w:w="2790" w:type="dxa"/>
            <w:vAlign w:val="center"/>
          </w:tcPr>
          <w:p w:rsidR="00F016DD" w:rsidRPr="00C30CFF" w:rsidRDefault="00F016DD" w:rsidP="00950413">
            <w:pPr>
              <w:jc w:val="left"/>
              <w:rPr>
                <w:sz w:val="24"/>
              </w:rPr>
            </w:pPr>
            <w:r w:rsidRPr="00C30CFF">
              <w:rPr>
                <w:sz w:val="24"/>
              </w:rPr>
              <w:t>1,168,032,514.49</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F016DD" w:rsidRPr="00FA472B" w:rsidTr="008B5312">
        <w:tc>
          <w:tcPr>
            <w:tcW w:w="340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4962" w:type="dxa"/>
            <w:gridSpan w:val="2"/>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F016DD" w:rsidRPr="00FA472B" w:rsidTr="008B5312">
        <w:tc>
          <w:tcPr>
            <w:tcW w:w="3402" w:type="dxa"/>
            <w:vMerge/>
            <w:vAlign w:val="center"/>
          </w:tcPr>
          <w:p w:rsidR="00F016DD" w:rsidRPr="00FA472B" w:rsidRDefault="00F016DD" w:rsidP="00E205AA">
            <w:pPr>
              <w:adjustRightInd w:val="0"/>
              <w:spacing w:before="29" w:line="360" w:lineRule="auto"/>
              <w:ind w:left="17"/>
              <w:jc w:val="center"/>
              <w:rPr>
                <w:kern w:val="0"/>
                <w:sz w:val="24"/>
              </w:rPr>
            </w:pP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易方达纯债债券</w:t>
            </w:r>
            <w:r w:rsidRPr="00FA472B">
              <w:rPr>
                <w:sz w:val="24"/>
              </w:rPr>
              <w:t>A</w:t>
            </w:r>
          </w:p>
        </w:tc>
        <w:tc>
          <w:tcPr>
            <w:tcW w:w="2481" w:type="dxa"/>
            <w:vAlign w:val="center"/>
          </w:tcPr>
          <w:p w:rsidR="00F016DD" w:rsidRPr="00FA472B" w:rsidRDefault="00F016DD" w:rsidP="00E205AA">
            <w:pPr>
              <w:adjustRightInd w:val="0"/>
              <w:spacing w:before="29" w:line="360" w:lineRule="auto"/>
              <w:ind w:left="17"/>
              <w:jc w:val="center"/>
              <w:rPr>
                <w:color w:val="000000"/>
                <w:sz w:val="24"/>
              </w:rPr>
            </w:pPr>
            <w:r w:rsidRPr="00FA472B">
              <w:rPr>
                <w:sz w:val="24"/>
              </w:rPr>
              <w:t>易方达纯债债券</w:t>
            </w:r>
            <w:r w:rsidRPr="00FA472B">
              <w:rPr>
                <w:sz w:val="24"/>
              </w:rPr>
              <w:t>C</w:t>
            </w:r>
          </w:p>
        </w:tc>
      </w:tr>
      <w:tr w:rsidR="00F016DD" w:rsidRPr="00FA472B" w:rsidTr="00973B57">
        <w:tc>
          <w:tcPr>
            <w:tcW w:w="3402" w:type="dxa"/>
          </w:tcPr>
          <w:p w:rsidR="00F016DD" w:rsidRPr="00FA472B" w:rsidRDefault="00F016DD"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481" w:type="dxa"/>
            <w:vAlign w:val="bottom"/>
          </w:tcPr>
          <w:p w:rsidR="00F016DD" w:rsidRPr="00FA472B" w:rsidRDefault="00F016DD" w:rsidP="00973B57">
            <w:pPr>
              <w:adjustRightInd w:val="0"/>
              <w:spacing w:before="29" w:line="360" w:lineRule="auto"/>
              <w:ind w:left="17"/>
              <w:jc w:val="right"/>
              <w:rPr>
                <w:color w:val="000000"/>
                <w:sz w:val="24"/>
              </w:rPr>
            </w:pPr>
            <w:r w:rsidRPr="00FA472B">
              <w:rPr>
                <w:color w:val="000000"/>
                <w:sz w:val="24"/>
              </w:rPr>
              <w:t>31,097,016.33</w:t>
            </w:r>
          </w:p>
        </w:tc>
        <w:tc>
          <w:tcPr>
            <w:tcW w:w="2481" w:type="dxa"/>
            <w:vAlign w:val="bottom"/>
          </w:tcPr>
          <w:p w:rsidR="00F016DD" w:rsidRPr="00FA472B" w:rsidRDefault="00F016DD" w:rsidP="0037768B">
            <w:pPr>
              <w:adjustRightInd w:val="0"/>
              <w:spacing w:before="29" w:line="360" w:lineRule="auto"/>
              <w:ind w:left="17"/>
              <w:jc w:val="right"/>
              <w:rPr>
                <w:color w:val="000000"/>
                <w:sz w:val="24"/>
              </w:rPr>
            </w:pPr>
            <w:r w:rsidRPr="00FA472B">
              <w:rPr>
                <w:color w:val="000000"/>
                <w:sz w:val="24"/>
              </w:rPr>
              <w:t>13,528,471.45</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lastRenderedPageBreak/>
              <w:t>2.</w:t>
            </w:r>
            <w:r w:rsidRPr="00FA472B">
              <w:rPr>
                <w:kern w:val="0"/>
                <w:sz w:val="24"/>
              </w:rPr>
              <w:t>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38,763,106.48</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19,174,218.16</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3.</w:t>
            </w:r>
            <w:r w:rsidRPr="00FA472B">
              <w:rPr>
                <w:kern w:val="0"/>
                <w:sz w:val="24"/>
              </w:rPr>
              <w:t>加权平均基金份额本期利润</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0.0159</w:t>
            </w:r>
          </w:p>
        </w:tc>
        <w:tc>
          <w:tcPr>
            <w:tcW w:w="2481" w:type="dxa"/>
            <w:vAlign w:val="bottom"/>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0.0161</w:t>
            </w:r>
          </w:p>
        </w:tc>
      </w:tr>
      <w:tr w:rsidR="00F016DD" w:rsidRPr="00FA472B" w:rsidTr="009A5C1D">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3,620,151,341.94</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1,295,378,118.42</w:t>
            </w:r>
          </w:p>
        </w:tc>
      </w:tr>
      <w:tr w:rsidR="00F016DD" w:rsidRPr="00FA472B" w:rsidTr="009A5C1D">
        <w:trPr>
          <w:trHeight w:val="158"/>
        </w:trPr>
        <w:tc>
          <w:tcPr>
            <w:tcW w:w="3402" w:type="dxa"/>
          </w:tcPr>
          <w:p w:rsidR="00F016DD" w:rsidRPr="00FA472B" w:rsidRDefault="00F016DD"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1.115</w:t>
            </w:r>
          </w:p>
        </w:tc>
        <w:tc>
          <w:tcPr>
            <w:tcW w:w="2481" w:type="dxa"/>
          </w:tcPr>
          <w:p w:rsidR="00F016DD" w:rsidRPr="00FA472B" w:rsidRDefault="00F016DD" w:rsidP="004A67B0">
            <w:pPr>
              <w:adjustRightInd w:val="0"/>
              <w:spacing w:before="29" w:line="360" w:lineRule="auto"/>
              <w:ind w:left="17"/>
              <w:jc w:val="right"/>
              <w:rPr>
                <w:color w:val="000000"/>
                <w:sz w:val="24"/>
              </w:rPr>
            </w:pPr>
            <w:r w:rsidRPr="00FA472B">
              <w:rPr>
                <w:color w:val="000000"/>
                <w:sz w:val="24"/>
              </w:rPr>
              <w:t>1.109</w:t>
            </w:r>
          </w:p>
        </w:tc>
      </w:tr>
    </w:tbl>
    <w:p w:rsidR="00004000" w:rsidRDefault="00F47D4F">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易方达纯债债券A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04000">
        <w:tc>
          <w:tcPr>
            <w:tcW w:w="1290" w:type="dxa"/>
            <w:vAlign w:val="center"/>
          </w:tcPr>
          <w:p w:rsidR="00004000" w:rsidRDefault="00F47D4F">
            <w:pPr>
              <w:jc w:val="left"/>
            </w:pPr>
            <w:r>
              <w:rPr>
                <w:color w:val="000000"/>
                <w:sz w:val="24"/>
              </w:rPr>
              <w:t>过去三个月</w:t>
            </w:r>
          </w:p>
        </w:tc>
        <w:tc>
          <w:tcPr>
            <w:tcW w:w="1291" w:type="dxa"/>
            <w:vAlign w:val="center"/>
          </w:tcPr>
          <w:p w:rsidR="00004000" w:rsidRDefault="00F47D4F">
            <w:pPr>
              <w:jc w:val="center"/>
            </w:pPr>
            <w:r>
              <w:rPr>
                <w:color w:val="000000"/>
                <w:sz w:val="24"/>
              </w:rPr>
              <w:t>1.63%</w:t>
            </w:r>
          </w:p>
        </w:tc>
        <w:tc>
          <w:tcPr>
            <w:tcW w:w="1291" w:type="dxa"/>
            <w:vAlign w:val="center"/>
          </w:tcPr>
          <w:p w:rsidR="00004000" w:rsidRDefault="00F47D4F">
            <w:pPr>
              <w:jc w:val="center"/>
            </w:pPr>
            <w:r>
              <w:rPr>
                <w:color w:val="000000"/>
                <w:sz w:val="24"/>
              </w:rPr>
              <w:t>0.05%</w:t>
            </w:r>
          </w:p>
        </w:tc>
        <w:tc>
          <w:tcPr>
            <w:tcW w:w="1291" w:type="dxa"/>
            <w:vAlign w:val="center"/>
          </w:tcPr>
          <w:p w:rsidR="00004000" w:rsidRDefault="00F47D4F">
            <w:pPr>
              <w:jc w:val="center"/>
            </w:pPr>
            <w:r>
              <w:rPr>
                <w:color w:val="000000"/>
                <w:sz w:val="24"/>
              </w:rPr>
              <w:t>0.46%</w:t>
            </w:r>
          </w:p>
        </w:tc>
        <w:tc>
          <w:tcPr>
            <w:tcW w:w="1291" w:type="dxa"/>
            <w:vAlign w:val="center"/>
          </w:tcPr>
          <w:p w:rsidR="00004000" w:rsidRDefault="00F47D4F">
            <w:pPr>
              <w:jc w:val="center"/>
            </w:pPr>
            <w:r>
              <w:rPr>
                <w:color w:val="000000"/>
                <w:sz w:val="24"/>
              </w:rPr>
              <w:t>0.04%</w:t>
            </w:r>
          </w:p>
        </w:tc>
        <w:tc>
          <w:tcPr>
            <w:tcW w:w="1291" w:type="dxa"/>
            <w:vAlign w:val="center"/>
          </w:tcPr>
          <w:p w:rsidR="00004000" w:rsidRDefault="00F47D4F">
            <w:pPr>
              <w:jc w:val="center"/>
            </w:pPr>
            <w:r>
              <w:rPr>
                <w:color w:val="000000"/>
                <w:sz w:val="24"/>
              </w:rPr>
              <w:t>1.17%</w:t>
            </w:r>
          </w:p>
        </w:tc>
        <w:tc>
          <w:tcPr>
            <w:tcW w:w="1291" w:type="dxa"/>
            <w:vAlign w:val="center"/>
          </w:tcPr>
          <w:p w:rsidR="00004000" w:rsidRDefault="00F47D4F">
            <w:pPr>
              <w:jc w:val="center"/>
            </w:pPr>
            <w:r>
              <w:rPr>
                <w:color w:val="000000"/>
                <w:sz w:val="24"/>
              </w:rPr>
              <w:t>0.01%</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易方达纯债债券C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004000">
        <w:tc>
          <w:tcPr>
            <w:tcW w:w="1290" w:type="dxa"/>
            <w:vAlign w:val="center"/>
          </w:tcPr>
          <w:p w:rsidR="00004000" w:rsidRDefault="00F47D4F">
            <w:pPr>
              <w:jc w:val="left"/>
            </w:pPr>
            <w:r>
              <w:rPr>
                <w:color w:val="000000"/>
                <w:sz w:val="24"/>
              </w:rPr>
              <w:t>过去三个月</w:t>
            </w:r>
          </w:p>
        </w:tc>
        <w:tc>
          <w:tcPr>
            <w:tcW w:w="1291" w:type="dxa"/>
            <w:vAlign w:val="center"/>
          </w:tcPr>
          <w:p w:rsidR="00004000" w:rsidRDefault="00F47D4F">
            <w:pPr>
              <w:jc w:val="center"/>
            </w:pPr>
            <w:r>
              <w:rPr>
                <w:color w:val="000000"/>
                <w:sz w:val="24"/>
              </w:rPr>
              <w:t>1.46%</w:t>
            </w:r>
          </w:p>
        </w:tc>
        <w:tc>
          <w:tcPr>
            <w:tcW w:w="1291" w:type="dxa"/>
            <w:vAlign w:val="center"/>
          </w:tcPr>
          <w:p w:rsidR="00004000" w:rsidRDefault="00F47D4F">
            <w:pPr>
              <w:jc w:val="center"/>
            </w:pPr>
            <w:r>
              <w:rPr>
                <w:color w:val="000000"/>
                <w:sz w:val="24"/>
              </w:rPr>
              <w:t>0.05%</w:t>
            </w:r>
          </w:p>
        </w:tc>
        <w:tc>
          <w:tcPr>
            <w:tcW w:w="1291" w:type="dxa"/>
            <w:vAlign w:val="center"/>
          </w:tcPr>
          <w:p w:rsidR="00004000" w:rsidRDefault="00F47D4F">
            <w:pPr>
              <w:jc w:val="center"/>
            </w:pPr>
            <w:r>
              <w:rPr>
                <w:color w:val="000000"/>
                <w:sz w:val="24"/>
              </w:rPr>
              <w:t>0.46%</w:t>
            </w:r>
          </w:p>
        </w:tc>
        <w:tc>
          <w:tcPr>
            <w:tcW w:w="1291" w:type="dxa"/>
            <w:vAlign w:val="center"/>
          </w:tcPr>
          <w:p w:rsidR="00004000" w:rsidRDefault="00F47D4F">
            <w:pPr>
              <w:jc w:val="center"/>
            </w:pPr>
            <w:r>
              <w:rPr>
                <w:color w:val="000000"/>
                <w:sz w:val="24"/>
              </w:rPr>
              <w:t>0.04%</w:t>
            </w:r>
          </w:p>
        </w:tc>
        <w:tc>
          <w:tcPr>
            <w:tcW w:w="1291" w:type="dxa"/>
            <w:vAlign w:val="center"/>
          </w:tcPr>
          <w:p w:rsidR="00004000" w:rsidRDefault="00F47D4F">
            <w:pPr>
              <w:jc w:val="center"/>
            </w:pPr>
            <w:r>
              <w:rPr>
                <w:color w:val="000000"/>
                <w:sz w:val="24"/>
              </w:rPr>
              <w:t>1.00%</w:t>
            </w:r>
          </w:p>
        </w:tc>
        <w:tc>
          <w:tcPr>
            <w:tcW w:w="1291" w:type="dxa"/>
            <w:vAlign w:val="center"/>
          </w:tcPr>
          <w:p w:rsidR="00004000" w:rsidRDefault="00F47D4F">
            <w:pPr>
              <w:jc w:val="center"/>
            </w:pPr>
            <w:r>
              <w:rPr>
                <w:color w:val="000000"/>
                <w:sz w:val="24"/>
              </w:rPr>
              <w:t>0.01%</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易方达纯债债券型证券投资基金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(2012</w:t>
      </w:r>
      <w:r w:rsidRPr="00FA472B">
        <w:rPr>
          <w:rFonts w:ascii="Times New Roman" w:hAnsi="Times New Roman"/>
          <w:sz w:val="24"/>
          <w:szCs w:val="24"/>
        </w:rPr>
        <w:t>年</w:t>
      </w:r>
      <w:r w:rsidRPr="00FA472B">
        <w:rPr>
          <w:rFonts w:ascii="Times New Roman" w:hAnsi="Times New Roman"/>
          <w:sz w:val="24"/>
          <w:szCs w:val="24"/>
        </w:rPr>
        <w:t>5</w:t>
      </w:r>
      <w:r w:rsidRPr="00FA472B">
        <w:rPr>
          <w:rFonts w:ascii="Times New Roman" w:hAnsi="Times New Roman"/>
          <w:sz w:val="24"/>
          <w:szCs w:val="24"/>
        </w:rPr>
        <w:t>月</w:t>
      </w:r>
      <w:r w:rsidRPr="00FA472B">
        <w:rPr>
          <w:rFonts w:ascii="Times New Roman" w:hAnsi="Times New Roman"/>
          <w:sz w:val="24"/>
          <w:szCs w:val="24"/>
        </w:rPr>
        <w:t>3</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易方达纯债债券</w:t>
      </w:r>
      <w:r w:rsidRPr="00611CB2">
        <w:rPr>
          <w:color w:val="000000"/>
          <w:sz w:val="24"/>
        </w:rPr>
        <w:t>A</w:t>
      </w:r>
    </w:p>
    <w:p w:rsidR="00F016DD" w:rsidRPr="0078105B" w:rsidRDefault="00F47D4F" w:rsidP="00FC7F43">
      <w:pPr>
        <w:pStyle w:val="20"/>
        <w:spacing w:line="288" w:lineRule="auto"/>
        <w:ind w:firstLineChars="0" w:firstLine="0"/>
        <w:jc w:val="center"/>
        <w:rPr>
          <w:color w:val="000000"/>
        </w:rPr>
      </w:pPr>
      <w:r>
        <w:rPr>
          <w:noProof/>
          <w:color w:val="00000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易方达纯债债券</w:t>
      </w:r>
      <w:r w:rsidRPr="00611CB2">
        <w:rPr>
          <w:color w:val="000000"/>
          <w:sz w:val="24"/>
        </w:rPr>
        <w:t>C</w:t>
      </w:r>
    </w:p>
    <w:p w:rsidR="00F016DD" w:rsidRPr="0078105B" w:rsidRDefault="00F47D4F"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F016DD" w:rsidRPr="00DF18FE" w:rsidRDefault="00F016DD" w:rsidP="00DF18FE">
      <w:pPr>
        <w:spacing w:line="360" w:lineRule="auto"/>
        <w:ind w:firstLineChars="200" w:firstLine="480"/>
        <w:rPr>
          <w:color w:val="000000"/>
          <w:sz w:val="24"/>
        </w:rPr>
      </w:pPr>
      <w:r w:rsidRPr="00DF18FE">
        <w:rPr>
          <w:color w:val="000000"/>
          <w:sz w:val="24"/>
        </w:rPr>
        <w:t>注：自基金合同生效至报告期末，</w:t>
      </w:r>
      <w:r w:rsidRPr="00DF18FE">
        <w:rPr>
          <w:color w:val="000000"/>
          <w:sz w:val="24"/>
        </w:rPr>
        <w:t>A</w:t>
      </w:r>
      <w:r w:rsidRPr="00DF18FE">
        <w:rPr>
          <w:color w:val="000000"/>
          <w:sz w:val="24"/>
        </w:rPr>
        <w:t>类基金份额净值增长率为</w:t>
      </w:r>
      <w:r w:rsidRPr="00DF18FE">
        <w:rPr>
          <w:color w:val="000000"/>
          <w:sz w:val="24"/>
        </w:rPr>
        <w:t>43.50%</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39.34%</w:t>
      </w:r>
      <w:r w:rsidRPr="00DF18FE">
        <w:rPr>
          <w:color w:val="000000"/>
          <w:sz w:val="24"/>
        </w:rPr>
        <w:t>，同期业绩比较基准收益率为</w:t>
      </w:r>
      <w:r w:rsidRPr="00DF18FE">
        <w:rPr>
          <w:color w:val="000000"/>
          <w:sz w:val="24"/>
        </w:rPr>
        <w:t>7.29%</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lastRenderedPageBreak/>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004000">
        <w:tc>
          <w:tcPr>
            <w:tcW w:w="567" w:type="dxa"/>
            <w:vAlign w:val="center"/>
          </w:tcPr>
          <w:p w:rsidR="00004000" w:rsidRDefault="00F47D4F">
            <w:pPr>
              <w:jc w:val="center"/>
            </w:pPr>
            <w:r>
              <w:rPr>
                <w:color w:val="000000"/>
                <w:sz w:val="24"/>
              </w:rPr>
              <w:t>张雅君</w:t>
            </w:r>
          </w:p>
        </w:tc>
        <w:tc>
          <w:tcPr>
            <w:tcW w:w="2835" w:type="dxa"/>
            <w:vAlign w:val="center"/>
          </w:tcPr>
          <w:p w:rsidR="00004000" w:rsidRDefault="00F47D4F">
            <w:pPr>
              <w:jc w:val="center"/>
            </w:pPr>
            <w:r>
              <w:rPr>
                <w:color w:val="000000"/>
                <w:sz w:val="24"/>
              </w:rPr>
              <w:t>本基金的基金经理、易方达中债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年期国债指数证券投资基金的基金经理、易方达增强回报债券型证券投资基金的基金经理、易方达裕丰回报债券型证券投资基金的基金经理、易方达恒益定期开放债券型发起式证券投资基金的基金经理（自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11</w:t>
            </w:r>
            <w:r>
              <w:rPr>
                <w:color w:val="000000"/>
                <w:sz w:val="24"/>
              </w:rPr>
              <w:t>日）、易方达富惠纯债债券型证券投资基金的基金经理、易方达富财纯债债券型证券投资基金的基金经理、易方达安盈回报混合型证券投资基金的基金经理助理、易方达丰华债券型证券投资基金的基金经理助理、易方达鑫</w:t>
            </w:r>
            <w:r>
              <w:rPr>
                <w:color w:val="000000"/>
                <w:sz w:val="24"/>
              </w:rPr>
              <w:t>转招利混合型证券投资基金的基金经理助理、易方达鑫转增利混合型证券投资基金的基金经理助理、易方达鑫转添利混合型证券投资基金的基金经理助理、易方达裕如灵活配置混合型证券投资基金的基金经理助理、易方达安心回馈混合型证券投资基金的基金经理助理、易方达安心回报债券型证券投资基金的基金经理助理、易方达裕惠回报定期开放式混合型发起式证</w:t>
            </w:r>
            <w:r>
              <w:rPr>
                <w:color w:val="000000"/>
                <w:sz w:val="24"/>
              </w:rPr>
              <w:lastRenderedPageBreak/>
              <w:t>券投资基金的基金经理助理、易方达恒久添利</w:t>
            </w:r>
            <w:r>
              <w:rPr>
                <w:color w:val="000000"/>
                <w:sz w:val="24"/>
              </w:rPr>
              <w:t>1</w:t>
            </w:r>
            <w:r>
              <w:rPr>
                <w:color w:val="000000"/>
                <w:sz w:val="24"/>
              </w:rPr>
              <w:t>年定期开放债券型证券投资基金的基金经理助理、易方达丰和债券型证券投资基金的基金经理助理、混合资产投资部总经理助理</w:t>
            </w:r>
          </w:p>
        </w:tc>
        <w:tc>
          <w:tcPr>
            <w:tcW w:w="851" w:type="dxa"/>
            <w:vAlign w:val="center"/>
          </w:tcPr>
          <w:p w:rsidR="00004000" w:rsidRDefault="00F47D4F">
            <w:pPr>
              <w:jc w:val="center"/>
            </w:pPr>
            <w:r>
              <w:rPr>
                <w:color w:val="000000"/>
                <w:sz w:val="24"/>
              </w:rPr>
              <w:lastRenderedPageBreak/>
              <w:t>2015-01-10</w:t>
            </w:r>
          </w:p>
        </w:tc>
        <w:tc>
          <w:tcPr>
            <w:tcW w:w="850" w:type="dxa"/>
            <w:vAlign w:val="center"/>
          </w:tcPr>
          <w:p w:rsidR="00004000" w:rsidRDefault="00F47D4F">
            <w:pPr>
              <w:jc w:val="center"/>
            </w:pPr>
            <w:r>
              <w:rPr>
                <w:color w:val="000000"/>
                <w:sz w:val="24"/>
              </w:rPr>
              <w:t>-</w:t>
            </w:r>
          </w:p>
        </w:tc>
        <w:tc>
          <w:tcPr>
            <w:tcW w:w="851" w:type="dxa"/>
            <w:vAlign w:val="center"/>
          </w:tcPr>
          <w:p w:rsidR="00004000" w:rsidRDefault="00F47D4F">
            <w:pPr>
              <w:jc w:val="center"/>
            </w:pPr>
            <w:r>
              <w:rPr>
                <w:color w:val="000000"/>
                <w:sz w:val="24"/>
              </w:rPr>
              <w:t>10</w:t>
            </w:r>
            <w:r>
              <w:rPr>
                <w:color w:val="000000"/>
                <w:sz w:val="24"/>
              </w:rPr>
              <w:t>年</w:t>
            </w:r>
          </w:p>
        </w:tc>
        <w:tc>
          <w:tcPr>
            <w:tcW w:w="2977" w:type="dxa"/>
            <w:vAlign w:val="center"/>
          </w:tcPr>
          <w:p w:rsidR="00004000" w:rsidRDefault="00F47D4F">
            <w:r>
              <w:rPr>
                <w:color w:val="000000"/>
                <w:sz w:val="24"/>
              </w:rPr>
              <w:t>硕士研究生，曾任海通证券股份有限公司项目经理，工银瑞信基金管理有限公司债券交易员，易方达基金管理有限公司债券交易员、固定收益研究员、固定收益基金投资部总经理助理、易方达裕祥回报债券型证券投资基金基金经理助理、易方达裕丰回报债券型证券投资基金基金经理助理、易方达裕祥回报债券型证券投资基金基金经理、易方达投资级信用债债券型证券投资基金基金经理助理、易方达新收益灵活配置混合型证券投资基金基金经理助理、易方达保本一号混合型证券投资基金基金经理助理。</w:t>
            </w:r>
          </w:p>
        </w:tc>
      </w:tr>
      <w:tr w:rsidR="00004000">
        <w:tc>
          <w:tcPr>
            <w:tcW w:w="567" w:type="dxa"/>
            <w:vAlign w:val="center"/>
          </w:tcPr>
          <w:p w:rsidR="00004000" w:rsidRDefault="00F47D4F">
            <w:pPr>
              <w:jc w:val="center"/>
            </w:pPr>
            <w:r>
              <w:rPr>
                <w:color w:val="000000"/>
                <w:sz w:val="24"/>
              </w:rPr>
              <w:t>王晓晨</w:t>
            </w:r>
          </w:p>
        </w:tc>
        <w:tc>
          <w:tcPr>
            <w:tcW w:w="2835" w:type="dxa"/>
            <w:vAlign w:val="center"/>
          </w:tcPr>
          <w:p w:rsidR="00004000" w:rsidRDefault="00F47D4F">
            <w:pPr>
              <w:jc w:val="center"/>
            </w:pPr>
            <w:r>
              <w:rPr>
                <w:color w:val="000000"/>
                <w:sz w:val="24"/>
              </w:rPr>
              <w:t>本基金的基金经理、易方达中债新综合债券指数发起式证券投资基金</w:t>
            </w:r>
            <w:r>
              <w:rPr>
                <w:color w:val="000000"/>
                <w:sz w:val="24"/>
              </w:rPr>
              <w:t>(LOF)</w:t>
            </w:r>
            <w:r>
              <w:rPr>
                <w:color w:val="000000"/>
                <w:sz w:val="24"/>
              </w:rPr>
              <w:t>的基金经理、易方达中债</w:t>
            </w:r>
            <w:r>
              <w:rPr>
                <w:color w:val="000000"/>
                <w:sz w:val="24"/>
              </w:rPr>
              <w:t>7-10</w:t>
            </w:r>
            <w:r>
              <w:rPr>
                <w:color w:val="000000"/>
                <w:sz w:val="24"/>
              </w:rPr>
              <w:t>年期国开行债券指数证券投资基金的基金经理、易方达中债</w:t>
            </w:r>
            <w:r>
              <w:rPr>
                <w:color w:val="000000"/>
                <w:sz w:val="24"/>
              </w:rPr>
              <w:t>3-5</w:t>
            </w:r>
            <w:r>
              <w:rPr>
                <w:color w:val="000000"/>
                <w:sz w:val="24"/>
              </w:rPr>
              <w:t>年期国债指数证券投资基金的基金经理（自</w:t>
            </w:r>
            <w:r>
              <w:rPr>
                <w:color w:val="000000"/>
                <w:sz w:val="24"/>
              </w:rPr>
              <w:t>2017</w:t>
            </w:r>
            <w:r>
              <w:rPr>
                <w:color w:val="000000"/>
                <w:sz w:val="24"/>
              </w:rPr>
              <w:t>年</w:t>
            </w:r>
            <w:r>
              <w:rPr>
                <w:color w:val="000000"/>
                <w:sz w:val="24"/>
              </w:rPr>
              <w:t>02</w:t>
            </w:r>
            <w:r>
              <w:rPr>
                <w:color w:val="000000"/>
                <w:sz w:val="24"/>
              </w:rPr>
              <w:t>月</w:t>
            </w:r>
            <w:r>
              <w:rPr>
                <w:color w:val="000000"/>
                <w:sz w:val="24"/>
              </w:rPr>
              <w:t>15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日）、易方达中债</w:t>
            </w:r>
            <w:r>
              <w:rPr>
                <w:color w:val="000000"/>
                <w:sz w:val="24"/>
              </w:rPr>
              <w:t>3-5</w:t>
            </w:r>
            <w:r>
              <w:rPr>
                <w:color w:val="000000"/>
                <w:sz w:val="24"/>
              </w:rPr>
              <w:t>年国开行债券指数证券投资基金的基金经理、易方达中债</w:t>
            </w:r>
            <w:r>
              <w:rPr>
                <w:color w:val="000000"/>
                <w:sz w:val="24"/>
              </w:rPr>
              <w:t>1-3</w:t>
            </w:r>
            <w:r>
              <w:rPr>
                <w:color w:val="000000"/>
                <w:sz w:val="24"/>
              </w:rPr>
              <w:t>年国开行债券指数证券投资基金的基金经理、易方达增强回报债券型证券投资基金的基金经理、易方达新鑫灵活配置混合型证券投资基金的基金经理（自</w:t>
            </w:r>
            <w:r>
              <w:rPr>
                <w:color w:val="000000"/>
                <w:sz w:val="24"/>
              </w:rPr>
              <w:t>2018</w:t>
            </w:r>
            <w:r>
              <w:rPr>
                <w:color w:val="000000"/>
                <w:sz w:val="24"/>
              </w:rPr>
              <w:t>年</w:t>
            </w:r>
            <w:r>
              <w:rPr>
                <w:color w:val="000000"/>
                <w:sz w:val="24"/>
              </w:rPr>
              <w:t>01</w:t>
            </w:r>
            <w:r>
              <w:rPr>
                <w:color w:val="000000"/>
                <w:sz w:val="24"/>
              </w:rPr>
              <w:t>月</w:t>
            </w:r>
            <w:r>
              <w:rPr>
                <w:color w:val="000000"/>
                <w:sz w:val="24"/>
              </w:rPr>
              <w:t>31</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日）、易方达投资</w:t>
            </w:r>
            <w:r>
              <w:rPr>
                <w:color w:val="000000"/>
                <w:sz w:val="24"/>
              </w:rPr>
              <w:t>级信用债债券型证券投资基金的基金经理、易方达双债增强债券型证券投资基金的基金经理、易方达恒益定期开放债券型发起式证券投资基金的基金经理（自</w:t>
            </w:r>
            <w:r>
              <w:rPr>
                <w:color w:val="000000"/>
                <w:sz w:val="24"/>
              </w:rPr>
              <w:t>2017</w:t>
            </w:r>
            <w:r>
              <w:rPr>
                <w:color w:val="000000"/>
                <w:sz w:val="24"/>
              </w:rPr>
              <w:t>年</w:t>
            </w:r>
            <w:r>
              <w:rPr>
                <w:color w:val="000000"/>
                <w:sz w:val="24"/>
              </w:rPr>
              <w:t>10</w:t>
            </w:r>
            <w:r>
              <w:rPr>
                <w:color w:val="000000"/>
                <w:sz w:val="24"/>
              </w:rPr>
              <w:t>月</w:t>
            </w:r>
            <w:r>
              <w:rPr>
                <w:color w:val="000000"/>
                <w:sz w:val="24"/>
              </w:rPr>
              <w:t>25</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10</w:t>
            </w:r>
            <w:r>
              <w:rPr>
                <w:color w:val="000000"/>
                <w:sz w:val="24"/>
              </w:rPr>
              <w:t>日）、易方达恒安定期开放债券型发起式证券投资基金的基金经理、易方达富财纯债债券型证券投资基金的基金经理、易方达</w:t>
            </w:r>
            <w:r>
              <w:rPr>
                <w:color w:val="000000"/>
                <w:sz w:val="24"/>
              </w:rPr>
              <w:lastRenderedPageBreak/>
              <w:t>安瑞短债债券型证券投资基金的基金经理、固定收益投资部副总经理、易方达资产管理（香港）有限公司基金经理、就证券提供意见负责人员（</w:t>
            </w:r>
            <w:r>
              <w:rPr>
                <w:color w:val="000000"/>
                <w:sz w:val="24"/>
              </w:rPr>
              <w:t>RO</w:t>
            </w:r>
            <w:r>
              <w:rPr>
                <w:color w:val="000000"/>
                <w:sz w:val="24"/>
              </w:rPr>
              <w:t>）、提供资产管理负责人员（</w:t>
            </w:r>
            <w:r>
              <w:rPr>
                <w:color w:val="000000"/>
                <w:sz w:val="24"/>
              </w:rPr>
              <w:t>RO</w:t>
            </w:r>
            <w:r>
              <w:rPr>
                <w:color w:val="000000"/>
                <w:sz w:val="24"/>
              </w:rPr>
              <w:t>）、易方达资产管理（香港）有限公司固定收益投资决策委员会委员</w:t>
            </w:r>
          </w:p>
        </w:tc>
        <w:tc>
          <w:tcPr>
            <w:tcW w:w="851" w:type="dxa"/>
            <w:vAlign w:val="center"/>
          </w:tcPr>
          <w:p w:rsidR="00004000" w:rsidRDefault="00F47D4F">
            <w:pPr>
              <w:jc w:val="center"/>
            </w:pPr>
            <w:r>
              <w:rPr>
                <w:color w:val="000000"/>
                <w:sz w:val="24"/>
              </w:rPr>
              <w:lastRenderedPageBreak/>
              <w:t>2017-02-15</w:t>
            </w:r>
          </w:p>
        </w:tc>
        <w:tc>
          <w:tcPr>
            <w:tcW w:w="850" w:type="dxa"/>
            <w:vAlign w:val="center"/>
          </w:tcPr>
          <w:p w:rsidR="00004000" w:rsidRDefault="00F47D4F">
            <w:pPr>
              <w:jc w:val="center"/>
            </w:pPr>
            <w:r>
              <w:rPr>
                <w:color w:val="000000"/>
                <w:sz w:val="24"/>
              </w:rPr>
              <w:t>2019-09-11</w:t>
            </w:r>
          </w:p>
        </w:tc>
        <w:tc>
          <w:tcPr>
            <w:tcW w:w="851" w:type="dxa"/>
            <w:vAlign w:val="center"/>
          </w:tcPr>
          <w:p w:rsidR="00004000" w:rsidRDefault="00F47D4F">
            <w:pPr>
              <w:jc w:val="center"/>
            </w:pPr>
            <w:r>
              <w:rPr>
                <w:color w:val="000000"/>
                <w:sz w:val="24"/>
              </w:rPr>
              <w:t>16</w:t>
            </w:r>
            <w:r>
              <w:rPr>
                <w:color w:val="000000"/>
                <w:sz w:val="24"/>
              </w:rPr>
              <w:t>年</w:t>
            </w:r>
          </w:p>
        </w:tc>
        <w:tc>
          <w:tcPr>
            <w:tcW w:w="2977" w:type="dxa"/>
            <w:vAlign w:val="center"/>
          </w:tcPr>
          <w:p w:rsidR="00004000" w:rsidRDefault="00F47D4F">
            <w:r>
              <w:rPr>
                <w:color w:val="000000"/>
                <w:sz w:val="24"/>
              </w:rPr>
              <w:t>硕士研究生，曾任易方达基金管理有限公司集中交易室债券交易员、债券交易主管、固定收益总部总经理助理、固定收益基金投资部副总经理、易方达货币市场基金基金经理、易方达保证金收益货币市场基金基金经理、易方达保本一号混合型证券投资基金基金经理。</w:t>
            </w:r>
          </w:p>
        </w:tc>
      </w:tr>
    </w:tbl>
    <w:p w:rsidR="00004000" w:rsidRDefault="00F47D4F">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004000" w:rsidRDefault="00F47D4F">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lastRenderedPageBreak/>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004000" w:rsidRDefault="00F47D4F">
      <w:pPr>
        <w:spacing w:line="360" w:lineRule="auto"/>
        <w:ind w:firstLineChars="200" w:firstLine="480"/>
        <w:rPr>
          <w:color w:val="000000"/>
          <w:sz w:val="24"/>
        </w:rPr>
      </w:pPr>
      <w:r>
        <w:rPr>
          <w:color w:val="000000"/>
          <w:sz w:val="24"/>
        </w:rPr>
        <w:t>三季度，债券市场收益率整体先下后上，全季来看收益率整体有所下行。三季度资金面从二季度末的极度宽松状态回归正常，不过这种不松不紧的状态整体并未超出市场预期，市场走势主要由基本面预期驱动。</w:t>
      </w:r>
      <w:r>
        <w:rPr>
          <w:color w:val="000000"/>
          <w:sz w:val="24"/>
        </w:rPr>
        <w:t>7</w:t>
      </w:r>
      <w:r>
        <w:rPr>
          <w:color w:val="000000"/>
          <w:sz w:val="24"/>
        </w:rPr>
        <w:t>月份收益率以整体小幅下行为主。</w:t>
      </w:r>
      <w:r>
        <w:rPr>
          <w:color w:val="000000"/>
          <w:sz w:val="24"/>
        </w:rPr>
        <w:t>8</w:t>
      </w:r>
      <w:r>
        <w:rPr>
          <w:color w:val="000000"/>
          <w:sz w:val="24"/>
        </w:rPr>
        <w:t>月份开始，受全球央行</w:t>
      </w:r>
      <w:r>
        <w:rPr>
          <w:color w:val="000000"/>
          <w:sz w:val="24"/>
        </w:rPr>
        <w:t>“</w:t>
      </w:r>
      <w:r>
        <w:rPr>
          <w:color w:val="000000"/>
          <w:sz w:val="24"/>
        </w:rPr>
        <w:t>鸽派</w:t>
      </w:r>
      <w:r>
        <w:rPr>
          <w:color w:val="000000"/>
          <w:sz w:val="24"/>
        </w:rPr>
        <w:t>”</w:t>
      </w:r>
      <w:r>
        <w:rPr>
          <w:color w:val="000000"/>
          <w:sz w:val="24"/>
        </w:rPr>
        <w:t>宽松，风险资产波动加大，基本面不及预期及政府对房地产调控不断加强的影响，债券收益率快速下行，期限利差和信用利差均大幅压缩，长端利率债收益率创今年新低，中低等级城投债利差也大幅收窄。</w:t>
      </w:r>
      <w:r>
        <w:rPr>
          <w:color w:val="000000"/>
          <w:sz w:val="24"/>
        </w:rPr>
        <w:t>8</w:t>
      </w:r>
      <w:r>
        <w:rPr>
          <w:color w:val="000000"/>
          <w:sz w:val="24"/>
        </w:rPr>
        <w:t>月中下旬开始，受专项债扩容担忧、通胀预期升温、货币政策宽松预期转弱、海外债券收益率反</w:t>
      </w:r>
      <w:r>
        <w:rPr>
          <w:color w:val="000000"/>
          <w:sz w:val="24"/>
        </w:rPr>
        <w:t>弹等因素影响，债券市场出现回调。即使</w:t>
      </w:r>
      <w:r>
        <w:rPr>
          <w:color w:val="000000"/>
          <w:sz w:val="24"/>
        </w:rPr>
        <w:t>9</w:t>
      </w:r>
      <w:r>
        <w:rPr>
          <w:color w:val="000000"/>
          <w:sz w:val="24"/>
        </w:rPr>
        <w:t>月降准也未能扭转债券市场弱势调整的态势。</w:t>
      </w:r>
      <w:r>
        <w:rPr>
          <w:color w:val="000000"/>
          <w:sz w:val="24"/>
        </w:rPr>
        <w:t xml:space="preserve"> </w:t>
      </w:r>
    </w:p>
    <w:p w:rsidR="00F016DD" w:rsidRPr="00DF18FE" w:rsidRDefault="00F016DD" w:rsidP="00DF18FE">
      <w:pPr>
        <w:spacing w:line="360" w:lineRule="auto"/>
        <w:ind w:firstLineChars="200" w:firstLine="480"/>
        <w:rPr>
          <w:color w:val="000000"/>
          <w:sz w:val="24"/>
        </w:rPr>
      </w:pPr>
      <w:r w:rsidRPr="00DF18FE">
        <w:rPr>
          <w:color w:val="000000"/>
          <w:sz w:val="24"/>
        </w:rPr>
        <w:t>报告期内，本基金规模大幅增长，信用债仓位有小幅下降，利率债以波段操作为主，杠杆水平整体维持中性。</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1.115</w:t>
      </w:r>
      <w:r w:rsidRPr="00DF18FE">
        <w:rPr>
          <w:color w:val="000000"/>
          <w:sz w:val="24"/>
        </w:rPr>
        <w:t>元，本报告期份额净值增长率为</w:t>
      </w:r>
      <w:r w:rsidRPr="00DF18FE">
        <w:rPr>
          <w:color w:val="000000"/>
          <w:sz w:val="24"/>
        </w:rPr>
        <w:t>1.63%</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1.109</w:t>
      </w:r>
      <w:r w:rsidRPr="00DF18FE">
        <w:rPr>
          <w:color w:val="000000"/>
          <w:sz w:val="24"/>
        </w:rPr>
        <w:t>元，本报告期份额净值增长率为</w:t>
      </w:r>
      <w:r w:rsidRPr="00DF18FE">
        <w:rPr>
          <w:color w:val="000000"/>
          <w:sz w:val="24"/>
        </w:rPr>
        <w:t>1.46%</w:t>
      </w:r>
      <w:r w:rsidRPr="00DF18FE">
        <w:rPr>
          <w:color w:val="000000"/>
          <w:sz w:val="24"/>
        </w:rPr>
        <w:t>；同期业绩比较基准收益率为</w:t>
      </w:r>
      <w:r w:rsidRPr="00DF18FE">
        <w:rPr>
          <w:color w:val="000000"/>
          <w:sz w:val="24"/>
        </w:rPr>
        <w:t>0.46%</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5,628,173,920.00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97.30</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5,618,164,920.00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97.13</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10,009,000.00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0.17</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lastRenderedPageBreak/>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69,119,237.42</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1.19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87,078,716.52</w:t>
            </w:r>
          </w:p>
        </w:tc>
        <w:tc>
          <w:tcPr>
            <w:tcW w:w="1843" w:type="dxa"/>
            <w:vAlign w:val="center"/>
          </w:tcPr>
          <w:p w:rsidR="00F016DD" w:rsidRPr="00FA472B" w:rsidRDefault="00F016DD" w:rsidP="00F4518C">
            <w:pPr>
              <w:jc w:val="right"/>
              <w:rPr>
                <w:color w:val="000000"/>
                <w:sz w:val="24"/>
              </w:rPr>
            </w:pPr>
            <w:r w:rsidRPr="00FA472B">
              <w:rPr>
                <w:color w:val="000000"/>
                <w:sz w:val="24"/>
              </w:rPr>
              <w:t>1.51</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5,784,371,873.94</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2</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353,838,520.00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7.20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353,838,520.00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7.20</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2,138,550,400.00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43.51</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149,733,000.00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3.05</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2,976,043,000.00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60.54</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D024C6">
        <w:tc>
          <w:tcPr>
            <w:tcW w:w="817" w:type="dxa"/>
            <w:vAlign w:val="center"/>
          </w:tcPr>
          <w:p w:rsidR="006A1153" w:rsidRPr="006A1153" w:rsidRDefault="006A1153" w:rsidP="00D024C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D024C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5,618,164,920.00</w:t>
            </w:r>
          </w:p>
        </w:tc>
        <w:tc>
          <w:tcPr>
            <w:tcW w:w="1616" w:type="dxa"/>
            <w:vAlign w:val="center"/>
          </w:tcPr>
          <w:p w:rsidR="006A1153" w:rsidRPr="006A1153" w:rsidRDefault="006A1153" w:rsidP="00D024C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114.29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w:t>
            </w:r>
            <w:r w:rsidRPr="00FA472B">
              <w:rPr>
                <w:color w:val="000000"/>
                <w:kern w:val="0"/>
                <w:sz w:val="24"/>
              </w:rPr>
              <w:lastRenderedPageBreak/>
              <w:t>资产净值比例（％）</w:t>
            </w:r>
          </w:p>
        </w:tc>
      </w:tr>
      <w:tr w:rsidR="00004000">
        <w:tc>
          <w:tcPr>
            <w:tcW w:w="802" w:type="dxa"/>
            <w:vAlign w:val="center"/>
          </w:tcPr>
          <w:p w:rsidR="00004000" w:rsidRDefault="00F47D4F">
            <w:pPr>
              <w:jc w:val="center"/>
            </w:pPr>
            <w:r>
              <w:rPr>
                <w:color w:val="000000"/>
                <w:sz w:val="24"/>
              </w:rPr>
              <w:lastRenderedPageBreak/>
              <w:t>1</w:t>
            </w:r>
          </w:p>
        </w:tc>
        <w:tc>
          <w:tcPr>
            <w:tcW w:w="1559" w:type="dxa"/>
            <w:vAlign w:val="center"/>
          </w:tcPr>
          <w:p w:rsidR="00004000" w:rsidRDefault="00F47D4F">
            <w:pPr>
              <w:jc w:val="center"/>
            </w:pPr>
            <w:r>
              <w:rPr>
                <w:color w:val="000000"/>
                <w:sz w:val="24"/>
              </w:rPr>
              <w:t>100213</w:t>
            </w:r>
          </w:p>
        </w:tc>
        <w:tc>
          <w:tcPr>
            <w:tcW w:w="1985" w:type="dxa"/>
            <w:vAlign w:val="center"/>
          </w:tcPr>
          <w:p w:rsidR="00004000" w:rsidRDefault="00F47D4F">
            <w:pPr>
              <w:jc w:val="center"/>
            </w:pPr>
            <w:r>
              <w:rPr>
                <w:color w:val="000000"/>
                <w:sz w:val="24"/>
              </w:rPr>
              <w:t>10</w:t>
            </w:r>
            <w:r>
              <w:rPr>
                <w:color w:val="000000"/>
                <w:sz w:val="24"/>
              </w:rPr>
              <w:t>国开</w:t>
            </w:r>
            <w:r>
              <w:rPr>
                <w:color w:val="000000"/>
                <w:sz w:val="24"/>
              </w:rPr>
              <w:t>13</w:t>
            </w:r>
          </w:p>
        </w:tc>
        <w:tc>
          <w:tcPr>
            <w:tcW w:w="1559" w:type="dxa"/>
            <w:vAlign w:val="center"/>
          </w:tcPr>
          <w:p w:rsidR="00004000" w:rsidRDefault="00F47D4F">
            <w:pPr>
              <w:jc w:val="right"/>
            </w:pPr>
            <w:r>
              <w:rPr>
                <w:color w:val="000000"/>
                <w:sz w:val="24"/>
              </w:rPr>
              <w:t>1,500,000</w:t>
            </w:r>
          </w:p>
        </w:tc>
        <w:tc>
          <w:tcPr>
            <w:tcW w:w="2126" w:type="dxa"/>
            <w:vAlign w:val="center"/>
          </w:tcPr>
          <w:p w:rsidR="00004000" w:rsidRDefault="00F47D4F">
            <w:pPr>
              <w:jc w:val="right"/>
            </w:pPr>
            <w:r>
              <w:rPr>
                <w:color w:val="000000"/>
                <w:sz w:val="24"/>
              </w:rPr>
              <w:t>149,250,000.00</w:t>
            </w:r>
          </w:p>
        </w:tc>
        <w:tc>
          <w:tcPr>
            <w:tcW w:w="990" w:type="dxa"/>
            <w:vAlign w:val="center"/>
          </w:tcPr>
          <w:p w:rsidR="00004000" w:rsidRDefault="00F47D4F">
            <w:pPr>
              <w:jc w:val="right"/>
            </w:pPr>
            <w:r>
              <w:rPr>
                <w:color w:val="000000"/>
                <w:sz w:val="24"/>
              </w:rPr>
              <w:t>3.04</w:t>
            </w:r>
          </w:p>
        </w:tc>
      </w:tr>
      <w:tr w:rsidR="00004000">
        <w:tc>
          <w:tcPr>
            <w:tcW w:w="802" w:type="dxa"/>
            <w:vAlign w:val="center"/>
          </w:tcPr>
          <w:p w:rsidR="00004000" w:rsidRDefault="00F47D4F">
            <w:pPr>
              <w:jc w:val="center"/>
            </w:pPr>
            <w:r>
              <w:rPr>
                <w:color w:val="000000"/>
                <w:sz w:val="24"/>
              </w:rPr>
              <w:t>2</w:t>
            </w:r>
          </w:p>
        </w:tc>
        <w:tc>
          <w:tcPr>
            <w:tcW w:w="1559" w:type="dxa"/>
            <w:vAlign w:val="center"/>
          </w:tcPr>
          <w:p w:rsidR="00004000" w:rsidRDefault="00F47D4F">
            <w:pPr>
              <w:jc w:val="center"/>
            </w:pPr>
            <w:r>
              <w:rPr>
                <w:color w:val="000000"/>
                <w:sz w:val="24"/>
              </w:rPr>
              <w:t>101900529</w:t>
            </w:r>
          </w:p>
        </w:tc>
        <w:tc>
          <w:tcPr>
            <w:tcW w:w="1985" w:type="dxa"/>
            <w:vAlign w:val="center"/>
          </w:tcPr>
          <w:p w:rsidR="00004000" w:rsidRDefault="00F47D4F">
            <w:pPr>
              <w:jc w:val="center"/>
            </w:pPr>
            <w:r>
              <w:rPr>
                <w:color w:val="000000"/>
                <w:sz w:val="24"/>
              </w:rPr>
              <w:t>19</w:t>
            </w:r>
            <w:r>
              <w:rPr>
                <w:color w:val="000000"/>
                <w:sz w:val="24"/>
              </w:rPr>
              <w:t>海运集装</w:t>
            </w:r>
            <w:r>
              <w:rPr>
                <w:color w:val="000000"/>
                <w:sz w:val="24"/>
              </w:rPr>
              <w:t>MTN001</w:t>
            </w:r>
          </w:p>
        </w:tc>
        <w:tc>
          <w:tcPr>
            <w:tcW w:w="1559" w:type="dxa"/>
            <w:vAlign w:val="center"/>
          </w:tcPr>
          <w:p w:rsidR="00004000" w:rsidRDefault="00F47D4F">
            <w:pPr>
              <w:jc w:val="right"/>
            </w:pPr>
            <w:r>
              <w:rPr>
                <w:color w:val="000000"/>
                <w:sz w:val="24"/>
              </w:rPr>
              <w:t>1,300,000</w:t>
            </w:r>
          </w:p>
        </w:tc>
        <w:tc>
          <w:tcPr>
            <w:tcW w:w="2126" w:type="dxa"/>
            <w:vAlign w:val="center"/>
          </w:tcPr>
          <w:p w:rsidR="00004000" w:rsidRDefault="00F47D4F">
            <w:pPr>
              <w:jc w:val="right"/>
            </w:pPr>
            <w:r>
              <w:rPr>
                <w:color w:val="000000"/>
                <w:sz w:val="24"/>
              </w:rPr>
              <w:t>131,937,000.00</w:t>
            </w:r>
          </w:p>
        </w:tc>
        <w:tc>
          <w:tcPr>
            <w:tcW w:w="990" w:type="dxa"/>
            <w:vAlign w:val="center"/>
          </w:tcPr>
          <w:p w:rsidR="00004000" w:rsidRDefault="00F47D4F">
            <w:pPr>
              <w:jc w:val="right"/>
            </w:pPr>
            <w:r>
              <w:rPr>
                <w:color w:val="000000"/>
                <w:sz w:val="24"/>
              </w:rPr>
              <w:t>2.68</w:t>
            </w:r>
          </w:p>
        </w:tc>
      </w:tr>
      <w:tr w:rsidR="00004000">
        <w:tc>
          <w:tcPr>
            <w:tcW w:w="802" w:type="dxa"/>
            <w:vAlign w:val="center"/>
          </w:tcPr>
          <w:p w:rsidR="00004000" w:rsidRDefault="00F47D4F">
            <w:pPr>
              <w:jc w:val="center"/>
            </w:pPr>
            <w:r>
              <w:rPr>
                <w:color w:val="000000"/>
                <w:sz w:val="24"/>
              </w:rPr>
              <w:t>3</w:t>
            </w:r>
          </w:p>
        </w:tc>
        <w:tc>
          <w:tcPr>
            <w:tcW w:w="1559" w:type="dxa"/>
            <w:vAlign w:val="center"/>
          </w:tcPr>
          <w:p w:rsidR="00004000" w:rsidRDefault="00F47D4F">
            <w:pPr>
              <w:jc w:val="center"/>
            </w:pPr>
            <w:r>
              <w:rPr>
                <w:color w:val="000000"/>
                <w:sz w:val="24"/>
              </w:rPr>
              <w:t>101760073</w:t>
            </w:r>
          </w:p>
        </w:tc>
        <w:tc>
          <w:tcPr>
            <w:tcW w:w="1985" w:type="dxa"/>
            <w:vAlign w:val="center"/>
          </w:tcPr>
          <w:p w:rsidR="00004000" w:rsidRDefault="00F47D4F">
            <w:pPr>
              <w:jc w:val="center"/>
            </w:pPr>
            <w:r>
              <w:rPr>
                <w:color w:val="000000"/>
                <w:sz w:val="24"/>
              </w:rPr>
              <w:t>17</w:t>
            </w:r>
            <w:r>
              <w:rPr>
                <w:color w:val="000000"/>
                <w:sz w:val="24"/>
              </w:rPr>
              <w:t>陕煤化</w:t>
            </w:r>
            <w:r>
              <w:rPr>
                <w:color w:val="000000"/>
                <w:sz w:val="24"/>
              </w:rPr>
              <w:t>MTN004</w:t>
            </w:r>
          </w:p>
        </w:tc>
        <w:tc>
          <w:tcPr>
            <w:tcW w:w="1559" w:type="dxa"/>
            <w:vAlign w:val="center"/>
          </w:tcPr>
          <w:p w:rsidR="00004000" w:rsidRDefault="00F47D4F">
            <w:pPr>
              <w:jc w:val="right"/>
            </w:pPr>
            <w:r>
              <w:rPr>
                <w:color w:val="000000"/>
                <w:sz w:val="24"/>
              </w:rPr>
              <w:t>1,000,000</w:t>
            </w:r>
          </w:p>
        </w:tc>
        <w:tc>
          <w:tcPr>
            <w:tcW w:w="2126" w:type="dxa"/>
            <w:vAlign w:val="center"/>
          </w:tcPr>
          <w:p w:rsidR="00004000" w:rsidRDefault="00F47D4F">
            <w:pPr>
              <w:jc w:val="right"/>
            </w:pPr>
            <w:r>
              <w:rPr>
                <w:color w:val="000000"/>
                <w:sz w:val="24"/>
              </w:rPr>
              <w:t>107,750,000.00</w:t>
            </w:r>
          </w:p>
        </w:tc>
        <w:tc>
          <w:tcPr>
            <w:tcW w:w="990" w:type="dxa"/>
            <w:vAlign w:val="center"/>
          </w:tcPr>
          <w:p w:rsidR="00004000" w:rsidRDefault="00F47D4F">
            <w:pPr>
              <w:jc w:val="right"/>
            </w:pPr>
            <w:r>
              <w:rPr>
                <w:color w:val="000000"/>
                <w:sz w:val="24"/>
              </w:rPr>
              <w:t>2.19</w:t>
            </w:r>
          </w:p>
        </w:tc>
      </w:tr>
      <w:tr w:rsidR="00004000">
        <w:tc>
          <w:tcPr>
            <w:tcW w:w="802" w:type="dxa"/>
            <w:vAlign w:val="center"/>
          </w:tcPr>
          <w:p w:rsidR="00004000" w:rsidRDefault="00F47D4F">
            <w:pPr>
              <w:jc w:val="center"/>
            </w:pPr>
            <w:r>
              <w:rPr>
                <w:color w:val="000000"/>
                <w:sz w:val="24"/>
              </w:rPr>
              <w:t>4</w:t>
            </w:r>
          </w:p>
        </w:tc>
        <w:tc>
          <w:tcPr>
            <w:tcW w:w="1559" w:type="dxa"/>
            <w:vAlign w:val="center"/>
          </w:tcPr>
          <w:p w:rsidR="00004000" w:rsidRDefault="00F47D4F">
            <w:pPr>
              <w:jc w:val="center"/>
            </w:pPr>
            <w:r>
              <w:rPr>
                <w:color w:val="000000"/>
                <w:sz w:val="24"/>
              </w:rPr>
              <w:t>101763011</w:t>
            </w:r>
          </w:p>
        </w:tc>
        <w:tc>
          <w:tcPr>
            <w:tcW w:w="1985" w:type="dxa"/>
            <w:vAlign w:val="center"/>
          </w:tcPr>
          <w:p w:rsidR="00004000" w:rsidRDefault="00F47D4F">
            <w:pPr>
              <w:jc w:val="center"/>
            </w:pPr>
            <w:r>
              <w:rPr>
                <w:color w:val="000000"/>
                <w:sz w:val="24"/>
              </w:rPr>
              <w:t>17</w:t>
            </w:r>
            <w:r>
              <w:rPr>
                <w:color w:val="000000"/>
                <w:sz w:val="24"/>
              </w:rPr>
              <w:t>长发集团</w:t>
            </w:r>
            <w:r>
              <w:rPr>
                <w:color w:val="000000"/>
                <w:sz w:val="24"/>
              </w:rPr>
              <w:t>MTN002</w:t>
            </w:r>
          </w:p>
        </w:tc>
        <w:tc>
          <w:tcPr>
            <w:tcW w:w="1559" w:type="dxa"/>
            <w:vAlign w:val="center"/>
          </w:tcPr>
          <w:p w:rsidR="00004000" w:rsidRDefault="00F47D4F">
            <w:pPr>
              <w:jc w:val="right"/>
            </w:pPr>
            <w:r>
              <w:rPr>
                <w:color w:val="000000"/>
                <w:sz w:val="24"/>
              </w:rPr>
              <w:t>1,000,000</w:t>
            </w:r>
          </w:p>
        </w:tc>
        <w:tc>
          <w:tcPr>
            <w:tcW w:w="2126" w:type="dxa"/>
            <w:vAlign w:val="center"/>
          </w:tcPr>
          <w:p w:rsidR="00004000" w:rsidRDefault="00F47D4F">
            <w:pPr>
              <w:jc w:val="right"/>
            </w:pPr>
            <w:r>
              <w:rPr>
                <w:color w:val="000000"/>
                <w:sz w:val="24"/>
              </w:rPr>
              <w:t>103,670,000.00</w:t>
            </w:r>
          </w:p>
        </w:tc>
        <w:tc>
          <w:tcPr>
            <w:tcW w:w="990" w:type="dxa"/>
            <w:vAlign w:val="center"/>
          </w:tcPr>
          <w:p w:rsidR="00004000" w:rsidRDefault="00F47D4F">
            <w:pPr>
              <w:jc w:val="right"/>
            </w:pPr>
            <w:r>
              <w:rPr>
                <w:color w:val="000000"/>
                <w:sz w:val="24"/>
              </w:rPr>
              <w:t>2.11</w:t>
            </w:r>
          </w:p>
        </w:tc>
      </w:tr>
      <w:tr w:rsidR="00004000">
        <w:tc>
          <w:tcPr>
            <w:tcW w:w="802" w:type="dxa"/>
            <w:vAlign w:val="center"/>
          </w:tcPr>
          <w:p w:rsidR="00004000" w:rsidRDefault="00F47D4F">
            <w:pPr>
              <w:jc w:val="center"/>
            </w:pPr>
            <w:r>
              <w:rPr>
                <w:color w:val="000000"/>
                <w:sz w:val="24"/>
              </w:rPr>
              <w:t>5</w:t>
            </w:r>
          </w:p>
        </w:tc>
        <w:tc>
          <w:tcPr>
            <w:tcW w:w="1559" w:type="dxa"/>
            <w:vAlign w:val="center"/>
          </w:tcPr>
          <w:p w:rsidR="00004000" w:rsidRDefault="00F47D4F">
            <w:pPr>
              <w:jc w:val="center"/>
            </w:pPr>
            <w:r>
              <w:rPr>
                <w:color w:val="000000"/>
                <w:sz w:val="24"/>
              </w:rPr>
              <w:t>170215</w:t>
            </w:r>
          </w:p>
        </w:tc>
        <w:tc>
          <w:tcPr>
            <w:tcW w:w="1985" w:type="dxa"/>
            <w:vAlign w:val="center"/>
          </w:tcPr>
          <w:p w:rsidR="00004000" w:rsidRDefault="00F47D4F">
            <w:pPr>
              <w:jc w:val="center"/>
            </w:pPr>
            <w:r>
              <w:rPr>
                <w:color w:val="000000"/>
                <w:sz w:val="24"/>
              </w:rPr>
              <w:t>17</w:t>
            </w:r>
            <w:r>
              <w:rPr>
                <w:color w:val="000000"/>
                <w:sz w:val="24"/>
              </w:rPr>
              <w:t>国开</w:t>
            </w:r>
            <w:r>
              <w:rPr>
                <w:color w:val="000000"/>
                <w:sz w:val="24"/>
              </w:rPr>
              <w:t>15</w:t>
            </w:r>
          </w:p>
        </w:tc>
        <w:tc>
          <w:tcPr>
            <w:tcW w:w="1559" w:type="dxa"/>
            <w:vAlign w:val="center"/>
          </w:tcPr>
          <w:p w:rsidR="00004000" w:rsidRDefault="00F47D4F">
            <w:pPr>
              <w:jc w:val="right"/>
            </w:pPr>
            <w:r>
              <w:rPr>
                <w:color w:val="000000"/>
                <w:sz w:val="24"/>
              </w:rPr>
              <w:t>1,000,000</w:t>
            </w:r>
          </w:p>
        </w:tc>
        <w:tc>
          <w:tcPr>
            <w:tcW w:w="2126" w:type="dxa"/>
            <w:vAlign w:val="center"/>
          </w:tcPr>
          <w:p w:rsidR="00004000" w:rsidRDefault="00F47D4F">
            <w:pPr>
              <w:jc w:val="right"/>
            </w:pPr>
            <w:r>
              <w:rPr>
                <w:color w:val="000000"/>
                <w:sz w:val="24"/>
              </w:rPr>
              <w:t>103,040,000.00</w:t>
            </w:r>
          </w:p>
        </w:tc>
        <w:tc>
          <w:tcPr>
            <w:tcW w:w="990" w:type="dxa"/>
            <w:vAlign w:val="center"/>
          </w:tcPr>
          <w:p w:rsidR="00004000" w:rsidRDefault="00F47D4F">
            <w:pPr>
              <w:jc w:val="right"/>
            </w:pPr>
            <w:r>
              <w:rPr>
                <w:color w:val="000000"/>
                <w:sz w:val="24"/>
              </w:rPr>
              <w:t>2.10</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0"/>
        <w:gridCol w:w="1325"/>
        <w:gridCol w:w="1289"/>
        <w:gridCol w:w="1808"/>
        <w:gridCol w:w="1697"/>
        <w:gridCol w:w="1722"/>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004000">
        <w:tc>
          <w:tcPr>
            <w:tcW w:w="0" w:type="auto"/>
            <w:vAlign w:val="center"/>
          </w:tcPr>
          <w:p w:rsidR="00004000" w:rsidRDefault="00F47D4F">
            <w:pPr>
              <w:jc w:val="center"/>
            </w:pPr>
            <w:r>
              <w:rPr>
                <w:color w:val="000000"/>
                <w:sz w:val="24"/>
              </w:rPr>
              <w:t>1</w:t>
            </w:r>
          </w:p>
        </w:tc>
        <w:tc>
          <w:tcPr>
            <w:tcW w:w="0" w:type="auto"/>
            <w:vAlign w:val="center"/>
          </w:tcPr>
          <w:p w:rsidR="00004000" w:rsidRDefault="00F47D4F">
            <w:pPr>
              <w:jc w:val="center"/>
            </w:pPr>
            <w:r>
              <w:rPr>
                <w:color w:val="000000"/>
                <w:sz w:val="24"/>
              </w:rPr>
              <w:t>156388</w:t>
            </w:r>
          </w:p>
        </w:tc>
        <w:tc>
          <w:tcPr>
            <w:tcW w:w="0" w:type="auto"/>
            <w:vAlign w:val="center"/>
          </w:tcPr>
          <w:p w:rsidR="00004000" w:rsidRDefault="00F47D4F">
            <w:pPr>
              <w:jc w:val="center"/>
            </w:pPr>
            <w:r>
              <w:rPr>
                <w:color w:val="000000"/>
                <w:sz w:val="24"/>
              </w:rPr>
              <w:t>链科</w:t>
            </w:r>
            <w:r>
              <w:rPr>
                <w:color w:val="000000"/>
                <w:sz w:val="24"/>
              </w:rPr>
              <w:t>01</w:t>
            </w:r>
            <w:r>
              <w:rPr>
                <w:color w:val="000000"/>
                <w:sz w:val="24"/>
              </w:rPr>
              <w:t>优</w:t>
            </w:r>
          </w:p>
        </w:tc>
        <w:tc>
          <w:tcPr>
            <w:tcW w:w="0" w:type="auto"/>
            <w:vAlign w:val="center"/>
          </w:tcPr>
          <w:p w:rsidR="00004000" w:rsidRDefault="00F47D4F">
            <w:pPr>
              <w:jc w:val="right"/>
            </w:pPr>
            <w:r>
              <w:rPr>
                <w:color w:val="000000"/>
                <w:sz w:val="24"/>
              </w:rPr>
              <w:t>100,000</w:t>
            </w:r>
          </w:p>
        </w:tc>
        <w:tc>
          <w:tcPr>
            <w:tcW w:w="0" w:type="auto"/>
            <w:vAlign w:val="center"/>
          </w:tcPr>
          <w:p w:rsidR="00004000" w:rsidRDefault="00F47D4F">
            <w:pPr>
              <w:jc w:val="right"/>
            </w:pPr>
            <w:r>
              <w:rPr>
                <w:color w:val="000000"/>
                <w:sz w:val="24"/>
              </w:rPr>
              <w:t>10,009,000.00</w:t>
            </w:r>
          </w:p>
        </w:tc>
        <w:tc>
          <w:tcPr>
            <w:tcW w:w="0" w:type="auto"/>
            <w:vAlign w:val="center"/>
          </w:tcPr>
          <w:p w:rsidR="00004000" w:rsidRDefault="00F47D4F">
            <w:pPr>
              <w:jc w:val="right"/>
            </w:pPr>
            <w:r>
              <w:rPr>
                <w:color w:val="000000"/>
                <w:sz w:val="24"/>
              </w:rPr>
              <w:t>0.20</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1F60E9" w:rsidRDefault="001F60E9" w:rsidP="001F60E9">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B249C0" w:rsidRDefault="00B249C0" w:rsidP="00B249C0">
      <w:pPr>
        <w:spacing w:line="360" w:lineRule="auto"/>
        <w:ind w:firstLineChars="200" w:firstLine="480"/>
      </w:pPr>
      <w:r>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w:t>
      </w:r>
      <w:r w:rsidRPr="00414367">
        <w:rPr>
          <w:color w:val="000000"/>
          <w:sz w:val="24"/>
        </w:rPr>
        <w:t>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104,453.34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lastRenderedPageBreak/>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80,058,822.75</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6,915,440.43</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87,078,716.52</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F016DD" w:rsidRPr="00FA472B" w:rsidRDefault="00F016DD" w:rsidP="00302187">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单位：份</w:t>
      </w:r>
    </w:p>
    <w:tbl>
      <w:tblPr>
        <w:tblW w:w="0" w:type="auto"/>
        <w:tblInd w:w="-106" w:type="dxa"/>
        <w:tblLayout w:type="fixed"/>
        <w:tblLook w:val="0000" w:firstRow="0" w:lastRow="0" w:firstColumn="0" w:lastColumn="0" w:noHBand="0" w:noVBand="0"/>
      </w:tblPr>
      <w:tblGrid>
        <w:gridCol w:w="3900"/>
        <w:gridCol w:w="2367"/>
        <w:gridCol w:w="2367"/>
      </w:tblGrid>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84643">
            <w:pPr>
              <w:autoSpaceDE w:val="0"/>
              <w:autoSpaceDN w:val="0"/>
              <w:adjustRightInd w:val="0"/>
              <w:spacing w:before="29" w:line="360" w:lineRule="auto"/>
              <w:ind w:left="17"/>
              <w:jc w:val="center"/>
              <w:rPr>
                <w:color w:val="000000"/>
                <w:kern w:val="0"/>
                <w:sz w:val="24"/>
              </w:rPr>
            </w:pPr>
            <w:r w:rsidRPr="00FA472B">
              <w:rPr>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sz w:val="24"/>
              </w:rPr>
              <w:t>易方达纯债债券</w:t>
            </w:r>
            <w:r w:rsidRPr="00FA472B">
              <w:rPr>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sz w:val="24"/>
              </w:rPr>
              <w:t>易方达纯债债券</w:t>
            </w:r>
            <w:r w:rsidRPr="00FA472B">
              <w:rPr>
                <w:sz w:val="24"/>
              </w:rPr>
              <w:t>C</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1,343,879,131.43</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964,979,362.71</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2,224,591,461.18</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417,531,198.14</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321,376,879.75</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214,478,046.36</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right"/>
              <w:rPr>
                <w:color w:val="000000"/>
                <w:sz w:val="24"/>
              </w:rPr>
            </w:pPr>
            <w:r w:rsidRPr="00FA472B">
              <w:rPr>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w:t>
            </w:r>
          </w:p>
        </w:tc>
      </w:tr>
      <w:tr w:rsidR="00F016DD" w:rsidRPr="0078105B" w:rsidTr="009E0D47">
        <w:tc>
          <w:tcPr>
            <w:tcW w:w="3900"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A1276C">
            <w:pPr>
              <w:autoSpaceDE w:val="0"/>
              <w:autoSpaceDN w:val="0"/>
              <w:adjustRightInd w:val="0"/>
              <w:spacing w:before="29" w:line="360" w:lineRule="auto"/>
              <w:ind w:left="17"/>
              <w:jc w:val="left"/>
              <w:rPr>
                <w:color w:val="000000"/>
                <w:kern w:val="0"/>
                <w:sz w:val="24"/>
              </w:rPr>
            </w:pPr>
            <w:r w:rsidRPr="00FA472B">
              <w:rPr>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B57BCF">
            <w:pPr>
              <w:autoSpaceDE w:val="0"/>
              <w:autoSpaceDN w:val="0"/>
              <w:adjustRightInd w:val="0"/>
              <w:spacing w:before="29" w:line="360" w:lineRule="auto"/>
              <w:ind w:left="17"/>
              <w:jc w:val="right"/>
              <w:rPr>
                <w:color w:val="000000"/>
                <w:sz w:val="24"/>
              </w:rPr>
            </w:pPr>
            <w:r w:rsidRPr="00FA472B">
              <w:rPr>
                <w:color w:val="000000"/>
                <w:sz w:val="24"/>
              </w:rPr>
              <w:t>3,247,093,712.86</w:t>
            </w:r>
          </w:p>
        </w:tc>
        <w:tc>
          <w:tcPr>
            <w:tcW w:w="2367" w:type="dxa"/>
            <w:tcBorders>
              <w:top w:val="single" w:sz="8" w:space="0" w:color="000000"/>
              <w:left w:val="single" w:sz="8" w:space="0" w:color="000000"/>
              <w:bottom w:val="single" w:sz="8" w:space="0" w:color="000000"/>
              <w:right w:val="single" w:sz="8" w:space="0" w:color="000000"/>
            </w:tcBorders>
            <w:vAlign w:val="center"/>
          </w:tcPr>
          <w:p w:rsidR="00F016DD" w:rsidRPr="00FA472B" w:rsidRDefault="00F016DD" w:rsidP="00936D40">
            <w:pPr>
              <w:autoSpaceDE w:val="0"/>
              <w:autoSpaceDN w:val="0"/>
              <w:adjustRightInd w:val="0"/>
              <w:spacing w:before="29" w:line="360" w:lineRule="auto"/>
              <w:ind w:left="17"/>
              <w:jc w:val="right"/>
              <w:rPr>
                <w:color w:val="000000"/>
                <w:sz w:val="24"/>
              </w:rPr>
            </w:pPr>
            <w:r w:rsidRPr="00FA472B">
              <w:rPr>
                <w:color w:val="000000"/>
                <w:sz w:val="24"/>
              </w:rPr>
              <w:t>1,168,032,514.49</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F016DD" w:rsidRPr="00DF18FE" w:rsidRDefault="00CC78C7" w:rsidP="00DF18FE">
      <w:pPr>
        <w:spacing w:line="360" w:lineRule="auto"/>
        <w:ind w:firstLineChars="200" w:firstLine="480"/>
        <w:rPr>
          <w:color w:val="000000"/>
          <w:sz w:val="24"/>
        </w:rPr>
      </w:pPr>
      <w:r w:rsidRPr="00DF18FE">
        <w:rPr>
          <w:color w:val="000000"/>
          <w:sz w:val="24"/>
        </w:rPr>
        <w:t>本报告期内基金管理人未持有本基金份额。</w:t>
      </w:r>
    </w:p>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004000" w:rsidRDefault="00F47D4F">
      <w:pPr>
        <w:spacing w:line="360" w:lineRule="auto"/>
        <w:ind w:firstLineChars="200" w:firstLine="480"/>
        <w:rPr>
          <w:color w:val="000000"/>
          <w:sz w:val="24"/>
        </w:rPr>
      </w:pPr>
      <w:r>
        <w:rPr>
          <w:color w:val="000000"/>
          <w:sz w:val="24"/>
        </w:rPr>
        <w:t>1.</w:t>
      </w:r>
      <w:r>
        <w:rPr>
          <w:color w:val="000000"/>
          <w:sz w:val="24"/>
        </w:rPr>
        <w:t>中国证监会核准易方达纯债债券型证券投资基金募集的文件；</w:t>
      </w:r>
    </w:p>
    <w:p w:rsidR="00004000" w:rsidRDefault="00F47D4F">
      <w:pPr>
        <w:spacing w:line="360" w:lineRule="auto"/>
        <w:ind w:firstLineChars="200" w:firstLine="480"/>
        <w:rPr>
          <w:color w:val="000000"/>
          <w:sz w:val="24"/>
        </w:rPr>
      </w:pPr>
      <w:r>
        <w:rPr>
          <w:color w:val="000000"/>
          <w:sz w:val="24"/>
        </w:rPr>
        <w:t>2.</w:t>
      </w:r>
      <w:r>
        <w:rPr>
          <w:color w:val="000000"/>
          <w:sz w:val="24"/>
        </w:rPr>
        <w:t>《易方达纯债债券型证券投资基金基金合同》；</w:t>
      </w:r>
    </w:p>
    <w:p w:rsidR="00004000" w:rsidRDefault="00F47D4F">
      <w:pPr>
        <w:spacing w:line="360" w:lineRule="auto"/>
        <w:ind w:firstLineChars="200" w:firstLine="480"/>
        <w:rPr>
          <w:color w:val="000000"/>
          <w:sz w:val="24"/>
        </w:rPr>
      </w:pPr>
      <w:r>
        <w:rPr>
          <w:color w:val="000000"/>
          <w:sz w:val="24"/>
        </w:rPr>
        <w:t>3.</w:t>
      </w:r>
      <w:r>
        <w:rPr>
          <w:color w:val="000000"/>
          <w:sz w:val="24"/>
        </w:rPr>
        <w:t>《易方达纯债债券型证券投资基金托管协议》；</w:t>
      </w:r>
    </w:p>
    <w:p w:rsidR="00004000" w:rsidRDefault="00F47D4F">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1"/>
      <w:footerReference w:type="default" r:id="rId12"/>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6926" w:rsidRDefault="00236926">
      <w:r>
        <w:separator/>
      </w:r>
    </w:p>
  </w:endnote>
  <w:endnote w:type="continuationSeparator" w:id="0">
    <w:p w:rsidR="00236926" w:rsidRDefault="0023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1D0DB0" w:rsidRDefault="00611CB2" w:rsidP="00F7094A">
    <w:pPr>
      <w:pStyle w:val="a6"/>
      <w:jc w:val="center"/>
    </w:pPr>
    <w:r>
      <w:rPr>
        <w:rFonts w:hint="eastAsia"/>
        <w:szCs w:val="21"/>
      </w:rPr>
      <w:t>第</w:t>
    </w:r>
    <w:r w:rsidR="00F85FCB">
      <w:rPr>
        <w:szCs w:val="21"/>
      </w:rPr>
      <w:fldChar w:fldCharType="begin"/>
    </w:r>
    <w:r>
      <w:rPr>
        <w:szCs w:val="21"/>
      </w:rPr>
      <w:instrText xml:space="preserve"> PAGE </w:instrText>
    </w:r>
    <w:r w:rsidR="00F85FCB">
      <w:rPr>
        <w:szCs w:val="21"/>
      </w:rPr>
      <w:fldChar w:fldCharType="separate"/>
    </w:r>
    <w:r w:rsidR="00F47D4F">
      <w:rPr>
        <w:noProof/>
        <w:szCs w:val="21"/>
      </w:rPr>
      <w:t>1</w:t>
    </w:r>
    <w:r w:rsidR="00F85FCB">
      <w:rPr>
        <w:szCs w:val="21"/>
      </w:rPr>
      <w:fldChar w:fldCharType="end"/>
    </w:r>
    <w:r>
      <w:rPr>
        <w:rFonts w:hint="eastAsia"/>
        <w:szCs w:val="21"/>
      </w:rPr>
      <w:t>页共</w:t>
    </w:r>
    <w:r w:rsidR="00F85FCB">
      <w:rPr>
        <w:szCs w:val="21"/>
      </w:rPr>
      <w:fldChar w:fldCharType="begin"/>
    </w:r>
    <w:r>
      <w:rPr>
        <w:szCs w:val="21"/>
      </w:rPr>
      <w:instrText xml:space="preserve"> NUMPAGES </w:instrText>
    </w:r>
    <w:r w:rsidR="00F85FCB">
      <w:rPr>
        <w:szCs w:val="21"/>
      </w:rPr>
      <w:fldChar w:fldCharType="separate"/>
    </w:r>
    <w:r w:rsidR="00F47D4F">
      <w:rPr>
        <w:noProof/>
        <w:szCs w:val="21"/>
      </w:rPr>
      <w:t>3</w:t>
    </w:r>
    <w:r w:rsidR="00F85FCB">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end"/>
    </w:r>
  </w:p>
  <w:p w:rsidR="00611CB2" w:rsidRDefault="00611CB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Default="00F85FCB">
    <w:pPr>
      <w:pStyle w:val="a6"/>
      <w:framePr w:wrap="around" w:vAnchor="text" w:hAnchor="margin" w:xAlign="center" w:y="1"/>
      <w:rPr>
        <w:rStyle w:val="a7"/>
      </w:rPr>
    </w:pPr>
    <w:r>
      <w:rPr>
        <w:rStyle w:val="a7"/>
      </w:rPr>
      <w:fldChar w:fldCharType="begin"/>
    </w:r>
    <w:r w:rsidR="00611CB2">
      <w:rPr>
        <w:rStyle w:val="a7"/>
      </w:rPr>
      <w:instrText xml:space="preserve">PAGE  </w:instrText>
    </w:r>
    <w:r>
      <w:rPr>
        <w:rStyle w:val="a7"/>
      </w:rPr>
      <w:fldChar w:fldCharType="separate"/>
    </w:r>
    <w:r w:rsidR="00F47D4F">
      <w:rPr>
        <w:rStyle w:val="a7"/>
        <w:noProof/>
      </w:rPr>
      <w:t>13</w:t>
    </w:r>
    <w:r>
      <w:rPr>
        <w:rStyle w:val="a7"/>
      </w:rPr>
      <w:fldChar w:fldCharType="end"/>
    </w:r>
  </w:p>
  <w:p w:rsidR="00611CB2" w:rsidRDefault="00611C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6926" w:rsidRDefault="00236926">
      <w:r>
        <w:separator/>
      </w:r>
    </w:p>
  </w:footnote>
  <w:footnote w:type="continuationSeparator" w:id="0">
    <w:p w:rsidR="00236926" w:rsidRDefault="00236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CB2" w:rsidRPr="00DA451D" w:rsidRDefault="00611CB2" w:rsidP="001207F2">
    <w:pPr>
      <w:pStyle w:val="a9"/>
      <w:pBdr>
        <w:bottom w:val="single" w:sz="6" w:space="0" w:color="auto"/>
      </w:pBdr>
      <w:jc w:val="right"/>
    </w:pPr>
    <w:r w:rsidRPr="00DA451D">
      <w:t>易方达纯债债券型证券投资基金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00"/>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1F60E9"/>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59EB"/>
    <w:rsid w:val="0023649E"/>
    <w:rsid w:val="00236926"/>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0E22"/>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6246"/>
    <w:rsid w:val="00B0700F"/>
    <w:rsid w:val="00B1493B"/>
    <w:rsid w:val="00B15119"/>
    <w:rsid w:val="00B17169"/>
    <w:rsid w:val="00B23996"/>
    <w:rsid w:val="00B23CB2"/>
    <w:rsid w:val="00B249C0"/>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A37"/>
    <w:rsid w:val="00D55B7E"/>
    <w:rsid w:val="00D564C7"/>
    <w:rsid w:val="00D64354"/>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24D"/>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D4F"/>
    <w:rsid w:val="00F47FF8"/>
    <w:rsid w:val="00F50707"/>
    <w:rsid w:val="00F529B5"/>
    <w:rsid w:val="00F52AA4"/>
    <w:rsid w:val="00F56162"/>
    <w:rsid w:val="00F56B7E"/>
    <w:rsid w:val="00F6052F"/>
    <w:rsid w:val="00F60F44"/>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5405CDD9-9F10-41EE-94D9-F06E03E4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691950885">
      <w:bodyDiv w:val="1"/>
      <w:marLeft w:val="0"/>
      <w:marRight w:val="0"/>
      <w:marTop w:val="0"/>
      <w:marBottom w:val="0"/>
      <w:divBdr>
        <w:top w:val="none" w:sz="0" w:space="0" w:color="auto"/>
        <w:left w:val="none" w:sz="0" w:space="0" w:color="auto"/>
        <w:bottom w:val="none" w:sz="0" w:space="0" w:color="auto"/>
        <w:right w:val="none" w:sz="0" w:space="0" w:color="auto"/>
      </w:divBdr>
    </w:div>
    <w:div w:id="1704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387</TotalTime>
  <Pages>3</Pages>
  <Words>1044</Words>
  <Characters>5956</Characters>
  <Application>Microsoft Office Word</Application>
  <DocSecurity>0</DocSecurity>
  <Lines>49</Lines>
  <Paragraphs>13</Paragraphs>
  <ScaleCrop>false</ScaleCrop>
  <Company>TRT. Ltd. Co.</Company>
  <LinksUpToDate>false</LinksUpToDate>
  <CharactersWithSpaces>6987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168</cp:revision>
  <cp:lastPrinted>2019-10-16T13:56:00Z</cp:lastPrinted>
  <dcterms:created xsi:type="dcterms:W3CDTF">2013-06-21T06:56:00Z</dcterms:created>
  <dcterms:modified xsi:type="dcterms:W3CDTF">2019-10-16T13:56:00Z</dcterms:modified>
</cp:coreProperties>
</file>