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673" w:rsidRPr="00EC5CE0" w:rsidRDefault="00A62673" w:rsidP="00074E9F">
      <w:pPr>
        <w:autoSpaceDE w:val="0"/>
        <w:autoSpaceDN w:val="0"/>
        <w:adjustRightInd w:val="0"/>
        <w:spacing w:line="360" w:lineRule="auto"/>
        <w:jc w:val="left"/>
        <w:rPr>
          <w:rFonts w:ascii="宋体" w:cs="Arial"/>
          <w:color w:val="000000"/>
          <w:kern w:val="0"/>
          <w:sz w:val="24"/>
        </w:rPr>
      </w:pPr>
      <w:bookmarkStart w:id="0" w:name="_GoBack"/>
      <w:bookmarkEnd w:id="0"/>
    </w:p>
    <w:p w:rsidR="00A62673" w:rsidRPr="00EC5CE0" w:rsidRDefault="00A62673" w:rsidP="00074E9F">
      <w:pPr>
        <w:autoSpaceDE w:val="0"/>
        <w:autoSpaceDN w:val="0"/>
        <w:adjustRightInd w:val="0"/>
        <w:spacing w:line="360" w:lineRule="auto"/>
        <w:jc w:val="left"/>
        <w:rPr>
          <w:rFonts w:ascii="宋体" w:cs="Arial"/>
          <w:color w:val="000000"/>
          <w:kern w:val="0"/>
          <w:sz w:val="24"/>
        </w:rPr>
      </w:pPr>
    </w:p>
    <w:p w:rsidR="00A62673" w:rsidRPr="00EC5CE0" w:rsidRDefault="00A62673" w:rsidP="00074E9F">
      <w:pPr>
        <w:autoSpaceDE w:val="0"/>
        <w:autoSpaceDN w:val="0"/>
        <w:adjustRightInd w:val="0"/>
        <w:spacing w:line="360" w:lineRule="auto"/>
        <w:jc w:val="left"/>
        <w:rPr>
          <w:rFonts w:ascii="宋体" w:cs="Arial"/>
          <w:color w:val="000000"/>
          <w:kern w:val="0"/>
          <w:sz w:val="24"/>
        </w:rPr>
      </w:pPr>
    </w:p>
    <w:p w:rsidR="00A62673" w:rsidRPr="00EC5CE0" w:rsidRDefault="00A62673" w:rsidP="00074E9F">
      <w:pPr>
        <w:autoSpaceDE w:val="0"/>
        <w:autoSpaceDN w:val="0"/>
        <w:adjustRightInd w:val="0"/>
        <w:spacing w:line="360" w:lineRule="auto"/>
        <w:jc w:val="left"/>
        <w:rPr>
          <w:rFonts w:ascii="宋体" w:cs="Arial"/>
          <w:color w:val="000000"/>
          <w:kern w:val="0"/>
          <w:sz w:val="36"/>
          <w:szCs w:val="36"/>
        </w:rPr>
      </w:pPr>
    </w:p>
    <w:p w:rsidR="00A62673" w:rsidRPr="00EC5CE0" w:rsidRDefault="00A62673" w:rsidP="000020BB">
      <w:pPr>
        <w:spacing w:line="360" w:lineRule="auto"/>
        <w:jc w:val="center"/>
        <w:rPr>
          <w:rFonts w:ascii="宋体" w:hAnsi="宋体"/>
          <w:b/>
          <w:sz w:val="36"/>
          <w:szCs w:val="36"/>
        </w:rPr>
      </w:pPr>
      <w:r w:rsidRPr="00EC5CE0">
        <w:rPr>
          <w:rFonts w:ascii="宋体" w:hAnsi="宋体"/>
          <w:b/>
          <w:sz w:val="36"/>
          <w:szCs w:val="36"/>
        </w:rPr>
        <w:t>易方达沪深300量化增强证券投资基金</w:t>
      </w:r>
    </w:p>
    <w:p w:rsidR="00A62673" w:rsidRPr="00EC5CE0" w:rsidRDefault="00A62673" w:rsidP="000020BB">
      <w:pPr>
        <w:spacing w:line="360" w:lineRule="auto"/>
        <w:jc w:val="center"/>
        <w:rPr>
          <w:rFonts w:ascii="宋体" w:hAnsi="宋体"/>
          <w:b/>
          <w:sz w:val="36"/>
          <w:szCs w:val="36"/>
        </w:rPr>
      </w:pPr>
      <w:r w:rsidRPr="00EC5CE0">
        <w:rPr>
          <w:rFonts w:ascii="宋体" w:hAnsi="宋体"/>
          <w:b/>
          <w:sz w:val="36"/>
          <w:szCs w:val="36"/>
        </w:rPr>
        <w:t>2019年第3季度报告</w:t>
      </w:r>
    </w:p>
    <w:p w:rsidR="00A62673" w:rsidRPr="00977154" w:rsidRDefault="00A62673" w:rsidP="000020BB">
      <w:pPr>
        <w:spacing w:line="360" w:lineRule="auto"/>
        <w:jc w:val="center"/>
        <w:rPr>
          <w:rFonts w:ascii="宋体" w:hAnsi="宋体"/>
          <w:b/>
          <w:sz w:val="24"/>
        </w:rPr>
      </w:pPr>
      <w:r w:rsidRPr="00977154">
        <w:rPr>
          <w:rFonts w:ascii="宋体" w:hAnsi="宋体"/>
          <w:b/>
          <w:sz w:val="24"/>
        </w:rPr>
        <w:t>2019年9月30日</w:t>
      </w: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rPr>
          <w:rFonts w:ascii="宋体"/>
          <w:b/>
          <w:color w:val="000000"/>
          <w:sz w:val="24"/>
        </w:rPr>
      </w:pPr>
    </w:p>
    <w:p w:rsidR="00A62673" w:rsidRPr="00EC5CE0" w:rsidRDefault="00A62673" w:rsidP="005A2769">
      <w:pPr>
        <w:spacing w:line="360" w:lineRule="auto"/>
        <w:ind w:firstLineChars="900" w:firstLine="2168"/>
        <w:rPr>
          <w:rFonts w:ascii="宋体" w:hAnsi="宋体"/>
          <w:b/>
          <w:color w:val="000000"/>
          <w:sz w:val="24"/>
        </w:rPr>
      </w:pPr>
      <w:r w:rsidRPr="00EC5CE0">
        <w:rPr>
          <w:rFonts w:ascii="宋体" w:hAnsi="宋体" w:hint="eastAsia"/>
          <w:b/>
          <w:color w:val="000000"/>
          <w:sz w:val="24"/>
        </w:rPr>
        <w:t>基金管理人：</w:t>
      </w:r>
      <w:r w:rsidRPr="00EC5CE0">
        <w:rPr>
          <w:rFonts w:ascii="宋体" w:hAnsi="宋体"/>
          <w:b/>
          <w:color w:val="000000"/>
          <w:sz w:val="24"/>
        </w:rPr>
        <w:t>易方达基金管理有限公司</w:t>
      </w:r>
    </w:p>
    <w:p w:rsidR="00A62673" w:rsidRPr="00EC5CE0" w:rsidRDefault="00A62673" w:rsidP="005A2769">
      <w:pPr>
        <w:spacing w:line="360" w:lineRule="auto"/>
        <w:ind w:firstLineChars="900" w:firstLine="2168"/>
        <w:rPr>
          <w:rFonts w:ascii="宋体" w:hAnsi="宋体"/>
          <w:b/>
          <w:color w:val="000000"/>
          <w:sz w:val="24"/>
        </w:rPr>
      </w:pPr>
      <w:r w:rsidRPr="00EC5CE0">
        <w:rPr>
          <w:rFonts w:ascii="宋体" w:hAnsi="宋体" w:hint="eastAsia"/>
          <w:b/>
          <w:color w:val="000000"/>
          <w:sz w:val="24"/>
        </w:rPr>
        <w:t>基金托管人：</w:t>
      </w:r>
      <w:r w:rsidRPr="00EC5CE0">
        <w:rPr>
          <w:rFonts w:ascii="宋体" w:hAnsi="宋体"/>
          <w:b/>
          <w:color w:val="000000"/>
          <w:sz w:val="24"/>
        </w:rPr>
        <w:t>中国建设银行股份有限公司</w:t>
      </w:r>
    </w:p>
    <w:p w:rsidR="00A62673" w:rsidRPr="00EC5CE0" w:rsidRDefault="00A62673" w:rsidP="005A2769">
      <w:pPr>
        <w:spacing w:line="360" w:lineRule="auto"/>
        <w:ind w:firstLineChars="900" w:firstLine="2168"/>
        <w:rPr>
          <w:rFonts w:ascii="宋体" w:hAnsi="宋体"/>
          <w:b/>
          <w:color w:val="000000"/>
          <w:sz w:val="24"/>
        </w:rPr>
        <w:sectPr w:rsidR="00A62673" w:rsidRPr="00EC5CE0" w:rsidSect="00230A66">
          <w:headerReference w:type="default" r:id="rId7"/>
          <w:footerReference w:type="default" r:id="rId8"/>
          <w:pgSz w:w="11926" w:h="15840"/>
          <w:pgMar w:top="1418" w:right="1418" w:bottom="851" w:left="1418" w:header="851" w:footer="992" w:gutter="0"/>
          <w:cols w:space="720"/>
          <w:noEndnote/>
        </w:sectPr>
      </w:pPr>
      <w:r w:rsidRPr="00EC5CE0">
        <w:rPr>
          <w:rFonts w:ascii="宋体" w:hAnsi="宋体" w:hint="eastAsia"/>
          <w:b/>
          <w:color w:val="000000"/>
          <w:sz w:val="24"/>
        </w:rPr>
        <w:t>报告送出日期：</w:t>
      </w:r>
      <w:r w:rsidRPr="00EC5CE0">
        <w:rPr>
          <w:rFonts w:ascii="宋体" w:hAnsi="宋体"/>
          <w:b/>
          <w:color w:val="000000"/>
          <w:sz w:val="24"/>
        </w:rPr>
        <w:t>二〇一九年十月二十四日</w:t>
      </w:r>
    </w:p>
    <w:p w:rsidR="00A62673" w:rsidRPr="00EC5CE0" w:rsidRDefault="00A62673" w:rsidP="007467A8">
      <w:pPr>
        <w:pStyle w:val="1"/>
        <w:spacing w:beforeLines="100" w:before="312" w:afterLines="100" w:after="312" w:line="360" w:lineRule="auto"/>
        <w:jc w:val="center"/>
        <w:rPr>
          <w:rFonts w:ascii="宋体" w:cs="Arial"/>
          <w:b w:val="0"/>
          <w:color w:val="000000"/>
          <w:kern w:val="0"/>
          <w:sz w:val="24"/>
          <w:szCs w:val="24"/>
        </w:rPr>
      </w:pPr>
      <w:r w:rsidRPr="00EC5CE0">
        <w:rPr>
          <w:rFonts w:ascii="宋体" w:hAnsi="宋体" w:cs="Arial" w:hint="eastAsia"/>
          <w:color w:val="000000"/>
          <w:kern w:val="0"/>
          <w:sz w:val="24"/>
          <w:szCs w:val="24"/>
        </w:rPr>
        <w:lastRenderedPageBreak/>
        <w:t>§</w:t>
      </w:r>
      <w:r w:rsidRPr="00EC5CE0">
        <w:rPr>
          <w:rFonts w:ascii="宋体" w:hAnsi="宋体" w:cs="Arial"/>
          <w:color w:val="000000"/>
          <w:kern w:val="0"/>
          <w:sz w:val="24"/>
          <w:szCs w:val="24"/>
        </w:rPr>
        <w:t xml:space="preserve">1  </w:t>
      </w:r>
      <w:r w:rsidRPr="00EC5CE0">
        <w:rPr>
          <w:rFonts w:ascii="宋体" w:hAnsi="宋体" w:cs="Arial" w:hint="eastAsia"/>
          <w:color w:val="000000"/>
          <w:kern w:val="0"/>
          <w:sz w:val="24"/>
          <w:szCs w:val="24"/>
        </w:rPr>
        <w:t>重要提示</w:t>
      </w:r>
    </w:p>
    <w:p w:rsidR="003469A5" w:rsidRDefault="00541837">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3469A5" w:rsidRDefault="00541837">
      <w:pPr>
        <w:spacing w:line="360"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3469A5" w:rsidRDefault="00541837">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3469A5" w:rsidRDefault="00541837">
      <w:pPr>
        <w:spacing w:line="360" w:lineRule="auto"/>
        <w:ind w:firstLineChars="200" w:firstLine="480"/>
        <w:rPr>
          <w:color w:val="000000"/>
          <w:sz w:val="24"/>
        </w:rPr>
      </w:pPr>
      <w:r>
        <w:rPr>
          <w:color w:val="000000"/>
          <w:sz w:val="24"/>
        </w:rPr>
        <w:t>基金的过往业绩并不代表其未来表现。投资有风险，投资者在作</w:t>
      </w:r>
      <w:r>
        <w:rPr>
          <w:color w:val="000000"/>
          <w:sz w:val="24"/>
        </w:rPr>
        <w:t>出投资决策前应仔细阅读本基金的招募说明书。</w:t>
      </w:r>
      <w:r>
        <w:rPr>
          <w:color w:val="000000"/>
          <w:sz w:val="24"/>
        </w:rPr>
        <w:t xml:space="preserve"> </w:t>
      </w:r>
    </w:p>
    <w:p w:rsidR="003469A5" w:rsidRDefault="00541837">
      <w:pPr>
        <w:spacing w:line="360" w:lineRule="auto"/>
        <w:ind w:firstLineChars="200" w:firstLine="480"/>
        <w:rPr>
          <w:color w:val="000000"/>
          <w:sz w:val="24"/>
        </w:rPr>
      </w:pPr>
      <w:r>
        <w:rPr>
          <w:color w:val="000000"/>
          <w:sz w:val="24"/>
        </w:rPr>
        <w:t>本报告中财务资料未经审计。</w:t>
      </w:r>
    </w:p>
    <w:p w:rsidR="00A62673" w:rsidRPr="00DC315B" w:rsidRDefault="00A62673" w:rsidP="00DC315B">
      <w:pPr>
        <w:spacing w:line="360" w:lineRule="auto"/>
        <w:ind w:firstLineChars="200" w:firstLine="480"/>
        <w:rPr>
          <w:color w:val="000000"/>
          <w:sz w:val="24"/>
        </w:rPr>
      </w:pPr>
      <w:r w:rsidRPr="00DC315B">
        <w:rPr>
          <w:color w:val="000000"/>
          <w:sz w:val="24"/>
        </w:rPr>
        <w:t>本报告期自</w:t>
      </w:r>
      <w:r w:rsidRPr="00DC315B">
        <w:rPr>
          <w:color w:val="000000"/>
          <w:sz w:val="24"/>
        </w:rPr>
        <w:t>2019</w:t>
      </w:r>
      <w:r w:rsidRPr="00DC315B">
        <w:rPr>
          <w:color w:val="000000"/>
          <w:sz w:val="24"/>
        </w:rPr>
        <w:t>年</w:t>
      </w:r>
      <w:r w:rsidRPr="00DC315B">
        <w:rPr>
          <w:color w:val="000000"/>
          <w:sz w:val="24"/>
        </w:rPr>
        <w:t>7</w:t>
      </w:r>
      <w:r w:rsidRPr="00DC315B">
        <w:rPr>
          <w:color w:val="000000"/>
          <w:sz w:val="24"/>
        </w:rPr>
        <w:t>月</w:t>
      </w:r>
      <w:r w:rsidRPr="00DC315B">
        <w:rPr>
          <w:color w:val="000000"/>
          <w:sz w:val="24"/>
        </w:rPr>
        <w:t>1</w:t>
      </w:r>
      <w:r w:rsidRPr="00DC315B">
        <w:rPr>
          <w:color w:val="000000"/>
          <w:sz w:val="24"/>
        </w:rPr>
        <w:t>日起至</w:t>
      </w:r>
      <w:r w:rsidRPr="00DC315B">
        <w:rPr>
          <w:color w:val="000000"/>
          <w:sz w:val="24"/>
        </w:rPr>
        <w:t>9</w:t>
      </w:r>
      <w:r w:rsidRPr="00DC315B">
        <w:rPr>
          <w:color w:val="000000"/>
          <w:sz w:val="24"/>
        </w:rPr>
        <w:t>月</w:t>
      </w:r>
      <w:r w:rsidRPr="00DC315B">
        <w:rPr>
          <w:color w:val="000000"/>
          <w:sz w:val="24"/>
        </w:rPr>
        <w:t>30</w:t>
      </w:r>
      <w:r w:rsidRPr="00DC315B">
        <w:rPr>
          <w:color w:val="000000"/>
          <w:sz w:val="24"/>
        </w:rPr>
        <w:t>日止。</w:t>
      </w:r>
    </w:p>
    <w:p w:rsidR="00A62673" w:rsidRPr="00EC5CE0" w:rsidRDefault="00A62673" w:rsidP="007467A8">
      <w:pPr>
        <w:pStyle w:val="1"/>
        <w:spacing w:beforeLines="100" w:before="312" w:afterLines="100" w:after="312" w:line="360" w:lineRule="auto"/>
        <w:jc w:val="center"/>
        <w:rPr>
          <w:rFonts w:ascii="宋体" w:cs="Arial"/>
          <w:color w:val="000000"/>
          <w:kern w:val="0"/>
          <w:sz w:val="24"/>
          <w:szCs w:val="24"/>
        </w:rPr>
      </w:pPr>
      <w:r w:rsidRPr="00EC5CE0">
        <w:rPr>
          <w:rFonts w:ascii="宋体" w:hAnsi="宋体" w:cs="Arial" w:hint="eastAsia"/>
          <w:color w:val="000000"/>
          <w:kern w:val="0"/>
          <w:sz w:val="24"/>
          <w:szCs w:val="24"/>
        </w:rPr>
        <w:t>§</w:t>
      </w:r>
      <w:r w:rsidRPr="00EC5CE0">
        <w:rPr>
          <w:rFonts w:ascii="宋体" w:hAnsi="宋体" w:cs="Arial"/>
          <w:color w:val="000000"/>
          <w:kern w:val="0"/>
          <w:sz w:val="24"/>
          <w:szCs w:val="24"/>
        </w:rPr>
        <w:t xml:space="preserve">2  </w:t>
      </w:r>
      <w:r w:rsidRPr="00EC5CE0">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A62673" w:rsidRPr="00EC5CE0" w:rsidTr="006C3F43">
        <w:tc>
          <w:tcPr>
            <w:tcW w:w="2835" w:type="dxa"/>
          </w:tcPr>
          <w:p w:rsidR="00A62673" w:rsidRPr="00DC315B" w:rsidRDefault="00A62673" w:rsidP="00C21C43">
            <w:pPr>
              <w:adjustRightInd w:val="0"/>
              <w:spacing w:before="29" w:line="360" w:lineRule="auto"/>
              <w:ind w:left="17"/>
              <w:jc w:val="left"/>
              <w:rPr>
                <w:kern w:val="0"/>
                <w:sz w:val="24"/>
              </w:rPr>
            </w:pPr>
            <w:r w:rsidRPr="00DC315B">
              <w:rPr>
                <w:kern w:val="0"/>
                <w:sz w:val="24"/>
              </w:rPr>
              <w:t>基金简称</w:t>
            </w:r>
          </w:p>
        </w:tc>
        <w:tc>
          <w:tcPr>
            <w:tcW w:w="5479" w:type="dxa"/>
          </w:tcPr>
          <w:p w:rsidR="00A62673" w:rsidRPr="00DC315B" w:rsidRDefault="00A62673" w:rsidP="00C21C43">
            <w:pPr>
              <w:adjustRightInd w:val="0"/>
              <w:spacing w:before="29" w:line="360" w:lineRule="auto"/>
              <w:ind w:left="17"/>
              <w:jc w:val="left"/>
              <w:rPr>
                <w:color w:val="000000"/>
                <w:kern w:val="0"/>
                <w:sz w:val="24"/>
              </w:rPr>
            </w:pPr>
            <w:r w:rsidRPr="00DC315B">
              <w:rPr>
                <w:color w:val="000000"/>
                <w:kern w:val="0"/>
                <w:sz w:val="24"/>
              </w:rPr>
              <w:t>易方达沪深</w:t>
            </w:r>
            <w:r w:rsidRPr="00DC315B">
              <w:rPr>
                <w:color w:val="000000"/>
                <w:kern w:val="0"/>
                <w:sz w:val="24"/>
              </w:rPr>
              <w:t>300</w:t>
            </w:r>
            <w:r w:rsidRPr="00DC315B">
              <w:rPr>
                <w:color w:val="000000"/>
                <w:kern w:val="0"/>
                <w:sz w:val="24"/>
              </w:rPr>
              <w:t>量化增强</w:t>
            </w:r>
          </w:p>
        </w:tc>
      </w:tr>
      <w:tr w:rsidR="00A62673" w:rsidRPr="00EC5CE0" w:rsidTr="00CD319D">
        <w:tc>
          <w:tcPr>
            <w:tcW w:w="2835" w:type="dxa"/>
          </w:tcPr>
          <w:p w:rsidR="00A62673" w:rsidRPr="00DC315B" w:rsidRDefault="00A62673">
            <w:pPr>
              <w:adjustRightInd w:val="0"/>
              <w:spacing w:before="29" w:line="360" w:lineRule="auto"/>
              <w:ind w:left="17"/>
              <w:jc w:val="left"/>
              <w:rPr>
                <w:kern w:val="0"/>
                <w:sz w:val="24"/>
              </w:rPr>
            </w:pPr>
            <w:r w:rsidRPr="00DC315B">
              <w:rPr>
                <w:kern w:val="0"/>
                <w:sz w:val="24"/>
              </w:rPr>
              <w:t>基金主代码</w:t>
            </w:r>
          </w:p>
        </w:tc>
        <w:tc>
          <w:tcPr>
            <w:tcW w:w="5479" w:type="dxa"/>
          </w:tcPr>
          <w:p w:rsidR="00A62673" w:rsidRPr="00DC315B" w:rsidRDefault="00A62673">
            <w:pPr>
              <w:adjustRightInd w:val="0"/>
              <w:spacing w:before="29" w:line="360" w:lineRule="auto"/>
              <w:ind w:left="17"/>
              <w:jc w:val="left"/>
              <w:rPr>
                <w:color w:val="000000"/>
                <w:kern w:val="0"/>
                <w:sz w:val="24"/>
              </w:rPr>
            </w:pPr>
            <w:r w:rsidRPr="00DC315B">
              <w:rPr>
                <w:color w:val="000000"/>
                <w:kern w:val="0"/>
                <w:sz w:val="24"/>
              </w:rPr>
              <w:t>110030</w:t>
            </w:r>
          </w:p>
        </w:tc>
      </w:tr>
      <w:tr w:rsidR="00A62673" w:rsidRPr="00EC5CE0" w:rsidTr="00CD319D">
        <w:tc>
          <w:tcPr>
            <w:tcW w:w="2835" w:type="dxa"/>
          </w:tcPr>
          <w:p w:rsidR="00A62673" w:rsidRPr="00DC315B" w:rsidRDefault="00A62673">
            <w:pPr>
              <w:adjustRightInd w:val="0"/>
              <w:spacing w:before="29" w:line="360" w:lineRule="auto"/>
              <w:ind w:left="17"/>
              <w:jc w:val="left"/>
              <w:rPr>
                <w:kern w:val="0"/>
                <w:sz w:val="24"/>
              </w:rPr>
            </w:pPr>
            <w:r w:rsidRPr="00DC315B">
              <w:rPr>
                <w:kern w:val="0"/>
                <w:sz w:val="24"/>
              </w:rPr>
              <w:t>交易代码</w:t>
            </w:r>
          </w:p>
        </w:tc>
        <w:tc>
          <w:tcPr>
            <w:tcW w:w="5479" w:type="dxa"/>
          </w:tcPr>
          <w:p w:rsidR="00A62673" w:rsidRPr="00DC315B" w:rsidRDefault="00A62673" w:rsidP="00E57F92">
            <w:pPr>
              <w:adjustRightInd w:val="0"/>
              <w:spacing w:before="29" w:line="360" w:lineRule="auto"/>
              <w:ind w:left="17"/>
              <w:jc w:val="left"/>
              <w:rPr>
                <w:color w:val="000000"/>
                <w:kern w:val="0"/>
                <w:sz w:val="24"/>
              </w:rPr>
            </w:pPr>
            <w:r w:rsidRPr="00DC315B">
              <w:rPr>
                <w:kern w:val="0"/>
                <w:sz w:val="24"/>
              </w:rPr>
              <w:t>110030</w:t>
            </w:r>
          </w:p>
        </w:tc>
      </w:tr>
      <w:tr w:rsidR="00A62673" w:rsidRPr="00EC5CE0" w:rsidTr="006C3F43">
        <w:tc>
          <w:tcPr>
            <w:tcW w:w="2835" w:type="dxa"/>
          </w:tcPr>
          <w:p w:rsidR="00A62673" w:rsidRPr="00DC315B" w:rsidRDefault="00A62673" w:rsidP="00C21C43">
            <w:pPr>
              <w:adjustRightInd w:val="0"/>
              <w:spacing w:before="29" w:line="360" w:lineRule="auto"/>
              <w:ind w:left="17"/>
              <w:jc w:val="left"/>
              <w:rPr>
                <w:sz w:val="24"/>
              </w:rPr>
            </w:pPr>
            <w:r w:rsidRPr="00DC315B">
              <w:rPr>
                <w:kern w:val="0"/>
                <w:sz w:val="24"/>
              </w:rPr>
              <w:t>基金运作方式</w:t>
            </w:r>
          </w:p>
        </w:tc>
        <w:tc>
          <w:tcPr>
            <w:tcW w:w="5479" w:type="dxa"/>
          </w:tcPr>
          <w:p w:rsidR="00A62673" w:rsidRPr="00DC315B" w:rsidRDefault="00A62673" w:rsidP="00C21C43">
            <w:pPr>
              <w:adjustRightInd w:val="0"/>
              <w:spacing w:before="29" w:line="360" w:lineRule="auto"/>
              <w:ind w:left="17"/>
              <w:jc w:val="left"/>
              <w:rPr>
                <w:color w:val="000000"/>
                <w:sz w:val="24"/>
              </w:rPr>
            </w:pPr>
            <w:r w:rsidRPr="00DC315B">
              <w:rPr>
                <w:color w:val="000000"/>
                <w:kern w:val="0"/>
                <w:sz w:val="24"/>
              </w:rPr>
              <w:t>契约型开放式</w:t>
            </w:r>
          </w:p>
        </w:tc>
      </w:tr>
      <w:tr w:rsidR="00A62673" w:rsidRPr="00EC5CE0" w:rsidTr="006C3F43">
        <w:tc>
          <w:tcPr>
            <w:tcW w:w="2835" w:type="dxa"/>
          </w:tcPr>
          <w:p w:rsidR="00A62673" w:rsidRPr="00DC315B" w:rsidRDefault="00A62673" w:rsidP="00C21C43">
            <w:pPr>
              <w:adjustRightInd w:val="0"/>
              <w:spacing w:before="29" w:line="360" w:lineRule="auto"/>
              <w:ind w:left="17"/>
              <w:jc w:val="left"/>
              <w:rPr>
                <w:sz w:val="24"/>
              </w:rPr>
            </w:pPr>
            <w:r w:rsidRPr="00DC315B">
              <w:rPr>
                <w:kern w:val="0"/>
                <w:sz w:val="24"/>
              </w:rPr>
              <w:t>基金合同生效日</w:t>
            </w:r>
          </w:p>
        </w:tc>
        <w:tc>
          <w:tcPr>
            <w:tcW w:w="5479" w:type="dxa"/>
          </w:tcPr>
          <w:p w:rsidR="00A62673" w:rsidRPr="00DC315B" w:rsidRDefault="00A62673" w:rsidP="00C21C43">
            <w:pPr>
              <w:adjustRightInd w:val="0"/>
              <w:spacing w:before="29" w:line="360" w:lineRule="auto"/>
              <w:ind w:left="17"/>
              <w:jc w:val="left"/>
              <w:rPr>
                <w:color w:val="000000"/>
                <w:sz w:val="24"/>
              </w:rPr>
            </w:pPr>
            <w:r w:rsidRPr="00DC315B">
              <w:rPr>
                <w:color w:val="000000"/>
                <w:kern w:val="0"/>
                <w:sz w:val="24"/>
              </w:rPr>
              <w:t>2012</w:t>
            </w:r>
            <w:r w:rsidRPr="00DC315B">
              <w:rPr>
                <w:color w:val="000000"/>
                <w:kern w:val="0"/>
                <w:sz w:val="24"/>
              </w:rPr>
              <w:t>年</w:t>
            </w:r>
            <w:r w:rsidRPr="00DC315B">
              <w:rPr>
                <w:color w:val="000000"/>
                <w:kern w:val="0"/>
                <w:sz w:val="24"/>
              </w:rPr>
              <w:t>7</w:t>
            </w:r>
            <w:r w:rsidRPr="00DC315B">
              <w:rPr>
                <w:color w:val="000000"/>
                <w:kern w:val="0"/>
                <w:sz w:val="24"/>
              </w:rPr>
              <w:t>月</w:t>
            </w:r>
            <w:r w:rsidRPr="00DC315B">
              <w:rPr>
                <w:color w:val="000000"/>
                <w:kern w:val="0"/>
                <w:sz w:val="24"/>
              </w:rPr>
              <w:t>5</w:t>
            </w:r>
            <w:r w:rsidRPr="00DC315B">
              <w:rPr>
                <w:color w:val="000000"/>
                <w:kern w:val="0"/>
                <w:sz w:val="24"/>
              </w:rPr>
              <w:t>日</w:t>
            </w:r>
          </w:p>
        </w:tc>
      </w:tr>
      <w:tr w:rsidR="00A62673" w:rsidRPr="00EC5CE0" w:rsidTr="006C3F43">
        <w:tc>
          <w:tcPr>
            <w:tcW w:w="2835" w:type="dxa"/>
          </w:tcPr>
          <w:p w:rsidR="00A62673" w:rsidRPr="00DC315B" w:rsidRDefault="00A62673" w:rsidP="00C21C43">
            <w:pPr>
              <w:adjustRightInd w:val="0"/>
              <w:spacing w:before="29" w:line="360" w:lineRule="auto"/>
              <w:ind w:left="17"/>
              <w:jc w:val="left"/>
              <w:rPr>
                <w:sz w:val="24"/>
              </w:rPr>
            </w:pPr>
            <w:r w:rsidRPr="00DC315B">
              <w:rPr>
                <w:kern w:val="0"/>
                <w:sz w:val="24"/>
              </w:rPr>
              <w:t>报告期末基金份额总额</w:t>
            </w:r>
          </w:p>
        </w:tc>
        <w:tc>
          <w:tcPr>
            <w:tcW w:w="5479" w:type="dxa"/>
          </w:tcPr>
          <w:p w:rsidR="00A62673" w:rsidRPr="00DC315B" w:rsidRDefault="00A62673" w:rsidP="00C21C43">
            <w:pPr>
              <w:adjustRightInd w:val="0"/>
              <w:spacing w:before="29" w:line="360" w:lineRule="auto"/>
              <w:ind w:left="17"/>
              <w:jc w:val="left"/>
              <w:rPr>
                <w:color w:val="000000"/>
                <w:sz w:val="24"/>
              </w:rPr>
            </w:pPr>
            <w:r w:rsidRPr="00DC315B">
              <w:rPr>
                <w:color w:val="000000"/>
                <w:kern w:val="0"/>
                <w:sz w:val="24"/>
              </w:rPr>
              <w:t>475,159,844.05</w:t>
            </w:r>
            <w:r w:rsidRPr="00DC315B">
              <w:rPr>
                <w:color w:val="000000"/>
                <w:kern w:val="0"/>
                <w:sz w:val="24"/>
              </w:rPr>
              <w:t>份</w:t>
            </w:r>
          </w:p>
        </w:tc>
      </w:tr>
      <w:tr w:rsidR="00A62673" w:rsidRPr="00EC5CE0" w:rsidTr="006C3F43">
        <w:tc>
          <w:tcPr>
            <w:tcW w:w="2835" w:type="dxa"/>
          </w:tcPr>
          <w:p w:rsidR="00A62673" w:rsidRPr="00DC315B" w:rsidRDefault="00A62673" w:rsidP="00C21C43">
            <w:pPr>
              <w:adjustRightInd w:val="0"/>
              <w:spacing w:before="29" w:line="360" w:lineRule="auto"/>
              <w:ind w:left="17"/>
              <w:jc w:val="left"/>
              <w:rPr>
                <w:sz w:val="24"/>
              </w:rPr>
            </w:pPr>
            <w:r w:rsidRPr="00DC315B">
              <w:rPr>
                <w:kern w:val="0"/>
                <w:sz w:val="24"/>
              </w:rPr>
              <w:t>投资目标</w:t>
            </w:r>
          </w:p>
        </w:tc>
        <w:tc>
          <w:tcPr>
            <w:tcW w:w="5479" w:type="dxa"/>
          </w:tcPr>
          <w:p w:rsidR="00A62673" w:rsidRPr="00DC315B" w:rsidRDefault="00A62673" w:rsidP="00C21C43">
            <w:pPr>
              <w:adjustRightInd w:val="0"/>
              <w:spacing w:before="29" w:line="360" w:lineRule="auto"/>
              <w:ind w:left="17"/>
              <w:jc w:val="left"/>
              <w:rPr>
                <w:color w:val="000000"/>
                <w:sz w:val="24"/>
              </w:rPr>
            </w:pPr>
            <w:r w:rsidRPr="00DC315B">
              <w:rPr>
                <w:color w:val="000000"/>
                <w:kern w:val="0"/>
                <w:sz w:val="24"/>
              </w:rPr>
              <w:t>本基金为指数增强型股票基金，在力求对标的指数进行有效跟踪的基础上，主要通过运用量化策略进行投资组合管理，力争实现超越业绩比较基准的投资回报。</w:t>
            </w:r>
          </w:p>
        </w:tc>
      </w:tr>
      <w:tr w:rsidR="00A62673" w:rsidRPr="00EC5CE0" w:rsidTr="006C3F43">
        <w:tc>
          <w:tcPr>
            <w:tcW w:w="2835" w:type="dxa"/>
          </w:tcPr>
          <w:p w:rsidR="00A62673" w:rsidRPr="00DC315B" w:rsidRDefault="00A62673" w:rsidP="00C21C43">
            <w:pPr>
              <w:adjustRightInd w:val="0"/>
              <w:spacing w:before="29" w:line="360" w:lineRule="auto"/>
              <w:ind w:left="17"/>
              <w:jc w:val="left"/>
              <w:rPr>
                <w:sz w:val="24"/>
              </w:rPr>
            </w:pPr>
            <w:r w:rsidRPr="00DC315B">
              <w:rPr>
                <w:kern w:val="0"/>
                <w:sz w:val="24"/>
              </w:rPr>
              <w:t>投资策略</w:t>
            </w:r>
          </w:p>
        </w:tc>
        <w:tc>
          <w:tcPr>
            <w:tcW w:w="5479" w:type="dxa"/>
          </w:tcPr>
          <w:p w:rsidR="00A62673" w:rsidRPr="00DC315B" w:rsidRDefault="00A62673" w:rsidP="00C21C43">
            <w:pPr>
              <w:adjustRightInd w:val="0"/>
              <w:spacing w:before="29" w:line="360" w:lineRule="auto"/>
              <w:ind w:left="17"/>
              <w:jc w:val="left"/>
              <w:rPr>
                <w:color w:val="000000"/>
                <w:sz w:val="24"/>
              </w:rPr>
            </w:pPr>
            <w:r w:rsidRPr="00DC315B">
              <w:rPr>
                <w:color w:val="000000"/>
                <w:kern w:val="0"/>
                <w:sz w:val="24"/>
              </w:rPr>
              <w:t>本基金主要策略为复制标的指数，投资组合将以标的指数的构成为基础，主要利用基金管理人自主开发的定量投资模型在有限范围内进行超配或低配。</w:t>
            </w:r>
            <w:r w:rsidRPr="00DC315B">
              <w:rPr>
                <w:color w:val="000000"/>
                <w:kern w:val="0"/>
                <w:sz w:val="24"/>
              </w:rPr>
              <w:lastRenderedPageBreak/>
              <w:t>一方面严格控制组合跟踪误差，避免大幅偏离标的指数，另一方面在跟踪指数的基础上力求超越指数。基金管理人自主开发的定量投资模型充分借鉴国内外定量分析的研究成果，结合基金管理人的长期研究与实践应用，利用多因子量化模型预测股票超额回报，在有效风险控制及交易成本最低化的基础上优化投资组合，获取超额收益，实现对投资组合的主动增强。</w:t>
            </w:r>
          </w:p>
        </w:tc>
      </w:tr>
      <w:tr w:rsidR="00A62673" w:rsidRPr="00EC5CE0" w:rsidTr="006C3F43">
        <w:tc>
          <w:tcPr>
            <w:tcW w:w="2835" w:type="dxa"/>
          </w:tcPr>
          <w:p w:rsidR="00A62673" w:rsidRPr="00DC315B" w:rsidRDefault="00A62673" w:rsidP="00C21C43">
            <w:pPr>
              <w:adjustRightInd w:val="0"/>
              <w:spacing w:before="29" w:line="360" w:lineRule="auto"/>
              <w:ind w:left="17"/>
              <w:jc w:val="left"/>
              <w:rPr>
                <w:sz w:val="24"/>
              </w:rPr>
            </w:pPr>
            <w:r w:rsidRPr="00DC315B">
              <w:rPr>
                <w:kern w:val="0"/>
                <w:sz w:val="24"/>
              </w:rPr>
              <w:lastRenderedPageBreak/>
              <w:t>业绩比较基准</w:t>
            </w:r>
          </w:p>
        </w:tc>
        <w:tc>
          <w:tcPr>
            <w:tcW w:w="5479" w:type="dxa"/>
          </w:tcPr>
          <w:p w:rsidR="00A62673" w:rsidRPr="00DC315B" w:rsidRDefault="00A62673" w:rsidP="00C21C43">
            <w:pPr>
              <w:adjustRightInd w:val="0"/>
              <w:spacing w:before="29" w:line="360" w:lineRule="auto"/>
              <w:ind w:left="17"/>
              <w:jc w:val="left"/>
              <w:rPr>
                <w:color w:val="000000"/>
                <w:sz w:val="24"/>
              </w:rPr>
            </w:pPr>
            <w:r w:rsidRPr="00DC315B">
              <w:rPr>
                <w:color w:val="000000"/>
                <w:kern w:val="0"/>
                <w:sz w:val="24"/>
              </w:rPr>
              <w:t>沪深</w:t>
            </w:r>
            <w:r w:rsidRPr="00DC315B">
              <w:rPr>
                <w:color w:val="000000"/>
                <w:kern w:val="0"/>
                <w:sz w:val="24"/>
              </w:rPr>
              <w:t>300</w:t>
            </w:r>
            <w:r w:rsidRPr="00DC315B">
              <w:rPr>
                <w:color w:val="000000"/>
                <w:kern w:val="0"/>
                <w:sz w:val="24"/>
              </w:rPr>
              <w:t>指数收益率</w:t>
            </w:r>
            <w:r w:rsidRPr="00DC315B">
              <w:rPr>
                <w:color w:val="000000"/>
                <w:kern w:val="0"/>
                <w:sz w:val="24"/>
              </w:rPr>
              <w:t>×95%+</w:t>
            </w:r>
            <w:r w:rsidRPr="00DC315B">
              <w:rPr>
                <w:color w:val="000000"/>
                <w:kern w:val="0"/>
                <w:sz w:val="24"/>
              </w:rPr>
              <w:t>活期存款利率（税后）</w:t>
            </w:r>
            <w:r w:rsidRPr="00DC315B">
              <w:rPr>
                <w:color w:val="000000"/>
                <w:kern w:val="0"/>
                <w:sz w:val="24"/>
              </w:rPr>
              <w:t>×5%</w:t>
            </w:r>
          </w:p>
        </w:tc>
      </w:tr>
      <w:tr w:rsidR="00A62673" w:rsidRPr="00EC5CE0" w:rsidTr="006C3F43">
        <w:tc>
          <w:tcPr>
            <w:tcW w:w="2835" w:type="dxa"/>
          </w:tcPr>
          <w:p w:rsidR="00A62673" w:rsidRPr="00DC315B" w:rsidRDefault="00A62673" w:rsidP="00C21C43">
            <w:pPr>
              <w:adjustRightInd w:val="0"/>
              <w:spacing w:before="29" w:line="360" w:lineRule="auto"/>
              <w:ind w:left="17"/>
              <w:jc w:val="left"/>
              <w:rPr>
                <w:sz w:val="24"/>
              </w:rPr>
            </w:pPr>
            <w:r w:rsidRPr="00DC315B">
              <w:rPr>
                <w:kern w:val="0"/>
                <w:sz w:val="24"/>
              </w:rPr>
              <w:t>风险收益特征</w:t>
            </w:r>
          </w:p>
        </w:tc>
        <w:tc>
          <w:tcPr>
            <w:tcW w:w="5479" w:type="dxa"/>
          </w:tcPr>
          <w:p w:rsidR="00A62673" w:rsidRPr="00DC315B" w:rsidRDefault="00A62673" w:rsidP="00C21C43">
            <w:pPr>
              <w:adjustRightInd w:val="0"/>
              <w:spacing w:before="29" w:line="360" w:lineRule="auto"/>
              <w:ind w:left="17"/>
              <w:jc w:val="left"/>
              <w:rPr>
                <w:color w:val="000000"/>
                <w:sz w:val="24"/>
              </w:rPr>
            </w:pPr>
            <w:r w:rsidRPr="00DC315B">
              <w:rPr>
                <w:color w:val="000000"/>
                <w:kern w:val="0"/>
                <w:sz w:val="24"/>
              </w:rPr>
              <w:t>本基金属股票型基金中的指数增强型基金，预期风险与预期收益水平高于混合型基金、债券型基金与货币市场基金。</w:t>
            </w:r>
          </w:p>
        </w:tc>
      </w:tr>
      <w:tr w:rsidR="00A62673" w:rsidRPr="00EC5CE0" w:rsidTr="006C3F43">
        <w:tc>
          <w:tcPr>
            <w:tcW w:w="2835" w:type="dxa"/>
          </w:tcPr>
          <w:p w:rsidR="00A62673" w:rsidRPr="00DC315B" w:rsidRDefault="00A62673" w:rsidP="00C21C43">
            <w:pPr>
              <w:adjustRightInd w:val="0"/>
              <w:spacing w:before="29" w:line="360" w:lineRule="auto"/>
              <w:ind w:left="17"/>
              <w:jc w:val="left"/>
              <w:rPr>
                <w:sz w:val="24"/>
              </w:rPr>
            </w:pPr>
            <w:r w:rsidRPr="00DC315B">
              <w:rPr>
                <w:kern w:val="0"/>
                <w:sz w:val="24"/>
              </w:rPr>
              <w:t>基金管理人</w:t>
            </w:r>
          </w:p>
        </w:tc>
        <w:tc>
          <w:tcPr>
            <w:tcW w:w="5479" w:type="dxa"/>
          </w:tcPr>
          <w:p w:rsidR="00A62673" w:rsidRPr="00DC315B" w:rsidRDefault="00A62673" w:rsidP="00C21C43">
            <w:pPr>
              <w:adjustRightInd w:val="0"/>
              <w:spacing w:before="29" w:line="360" w:lineRule="auto"/>
              <w:ind w:left="17"/>
              <w:jc w:val="left"/>
              <w:rPr>
                <w:color w:val="000000"/>
                <w:sz w:val="24"/>
              </w:rPr>
            </w:pPr>
            <w:r w:rsidRPr="00DC315B">
              <w:rPr>
                <w:color w:val="000000"/>
                <w:kern w:val="0"/>
                <w:sz w:val="24"/>
              </w:rPr>
              <w:t>易方达基金管理有限公司</w:t>
            </w:r>
          </w:p>
        </w:tc>
      </w:tr>
      <w:tr w:rsidR="00A62673" w:rsidRPr="00EC5CE0" w:rsidTr="006C3F43">
        <w:tc>
          <w:tcPr>
            <w:tcW w:w="2835" w:type="dxa"/>
          </w:tcPr>
          <w:p w:rsidR="00A62673" w:rsidRPr="00DC315B" w:rsidRDefault="00A62673" w:rsidP="00C21C43">
            <w:pPr>
              <w:adjustRightInd w:val="0"/>
              <w:spacing w:before="29" w:line="360" w:lineRule="auto"/>
              <w:ind w:left="17"/>
              <w:jc w:val="left"/>
              <w:rPr>
                <w:sz w:val="24"/>
              </w:rPr>
            </w:pPr>
            <w:r w:rsidRPr="00DC315B">
              <w:rPr>
                <w:kern w:val="0"/>
                <w:sz w:val="24"/>
              </w:rPr>
              <w:t>基金托管人</w:t>
            </w:r>
          </w:p>
        </w:tc>
        <w:tc>
          <w:tcPr>
            <w:tcW w:w="5479" w:type="dxa"/>
          </w:tcPr>
          <w:p w:rsidR="00A62673" w:rsidRPr="00DC315B" w:rsidRDefault="00A62673" w:rsidP="00C21C43">
            <w:pPr>
              <w:adjustRightInd w:val="0"/>
              <w:spacing w:before="29" w:line="360" w:lineRule="auto"/>
              <w:ind w:left="17"/>
              <w:jc w:val="left"/>
              <w:rPr>
                <w:color w:val="000000"/>
                <w:sz w:val="24"/>
              </w:rPr>
            </w:pPr>
            <w:r w:rsidRPr="00DC315B">
              <w:rPr>
                <w:color w:val="000000"/>
                <w:kern w:val="0"/>
                <w:sz w:val="24"/>
              </w:rPr>
              <w:t>中国建设银行股份有限公司</w:t>
            </w:r>
          </w:p>
        </w:tc>
      </w:tr>
    </w:tbl>
    <w:p w:rsidR="00A62673" w:rsidRPr="00EC5CE0" w:rsidRDefault="00A62673" w:rsidP="007467A8">
      <w:pPr>
        <w:pStyle w:val="1"/>
        <w:spacing w:beforeLines="100" w:before="312" w:afterLines="100" w:after="312" w:line="360" w:lineRule="auto"/>
        <w:jc w:val="center"/>
        <w:rPr>
          <w:rFonts w:ascii="宋体" w:cs="Arial"/>
          <w:color w:val="000000"/>
          <w:kern w:val="0"/>
          <w:sz w:val="24"/>
          <w:szCs w:val="24"/>
        </w:rPr>
      </w:pPr>
      <w:r w:rsidRPr="00EC5CE0">
        <w:rPr>
          <w:rFonts w:ascii="宋体" w:hAnsi="宋体" w:cs="Arial" w:hint="eastAsia"/>
          <w:color w:val="000000"/>
          <w:kern w:val="0"/>
          <w:sz w:val="24"/>
          <w:szCs w:val="24"/>
        </w:rPr>
        <w:t>§</w:t>
      </w:r>
      <w:r w:rsidRPr="00EC5CE0">
        <w:rPr>
          <w:rFonts w:ascii="宋体" w:hAnsi="宋体" w:cs="Arial"/>
          <w:color w:val="000000"/>
          <w:kern w:val="0"/>
          <w:sz w:val="24"/>
          <w:szCs w:val="24"/>
        </w:rPr>
        <w:t xml:space="preserve">3  </w:t>
      </w:r>
      <w:r w:rsidRPr="00EC5CE0">
        <w:rPr>
          <w:rFonts w:ascii="宋体" w:hAnsi="宋体" w:cs="Arial" w:hint="eastAsia"/>
          <w:color w:val="000000"/>
          <w:kern w:val="0"/>
          <w:sz w:val="24"/>
          <w:szCs w:val="24"/>
        </w:rPr>
        <w:t>主要财务指标和基金净值表现</w:t>
      </w:r>
    </w:p>
    <w:p w:rsidR="00A62673" w:rsidRPr="00EC5CE0" w:rsidRDefault="00A62673" w:rsidP="005A2DCB">
      <w:pPr>
        <w:autoSpaceDE w:val="0"/>
        <w:autoSpaceDN w:val="0"/>
        <w:adjustRightInd w:val="0"/>
        <w:spacing w:line="360" w:lineRule="auto"/>
        <w:jc w:val="left"/>
        <w:rPr>
          <w:rFonts w:ascii="宋体" w:cs="Arial"/>
          <w:b/>
          <w:color w:val="000000"/>
          <w:kern w:val="0"/>
          <w:sz w:val="24"/>
        </w:rPr>
      </w:pPr>
      <w:r w:rsidRPr="00EC5CE0">
        <w:rPr>
          <w:rFonts w:ascii="宋体" w:hAnsi="宋体" w:cs="Arial"/>
          <w:b/>
          <w:color w:val="000000"/>
          <w:kern w:val="0"/>
          <w:sz w:val="24"/>
        </w:rPr>
        <w:t xml:space="preserve">3.1 </w:t>
      </w:r>
      <w:r w:rsidRPr="00EC5CE0">
        <w:rPr>
          <w:rFonts w:ascii="宋体" w:hAnsi="宋体" w:cs="Arial" w:hint="eastAsia"/>
          <w:b/>
          <w:color w:val="000000"/>
          <w:kern w:val="0"/>
          <w:sz w:val="24"/>
        </w:rPr>
        <w:t>主要财务指标</w:t>
      </w:r>
    </w:p>
    <w:p w:rsidR="00FE7205" w:rsidRPr="006506EF" w:rsidRDefault="00FE7205" w:rsidP="00FE7205">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FE7205" w:rsidRPr="006506EF" w:rsidTr="00C3442A">
        <w:tc>
          <w:tcPr>
            <w:tcW w:w="3402" w:type="dxa"/>
            <w:vAlign w:val="center"/>
          </w:tcPr>
          <w:p w:rsidR="00FE7205" w:rsidRPr="006506EF" w:rsidRDefault="00FE7205"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FE7205" w:rsidRPr="006506EF" w:rsidRDefault="00FE7205" w:rsidP="00C3442A">
            <w:pPr>
              <w:adjustRightInd w:val="0"/>
              <w:spacing w:before="29" w:line="360" w:lineRule="auto"/>
              <w:ind w:left="17"/>
              <w:jc w:val="center"/>
              <w:rPr>
                <w:color w:val="000000"/>
                <w:sz w:val="24"/>
              </w:rPr>
            </w:pPr>
            <w:r w:rsidRPr="006506EF">
              <w:rPr>
                <w:color w:val="000000"/>
                <w:sz w:val="24"/>
              </w:rPr>
              <w:t>报告期</w:t>
            </w:r>
          </w:p>
          <w:p w:rsidR="00FE7205" w:rsidRPr="006506EF" w:rsidRDefault="00FE7205"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FE7205" w:rsidRPr="006506EF" w:rsidRDefault="00FE7205" w:rsidP="00C3442A">
            <w:pPr>
              <w:adjustRightInd w:val="0"/>
              <w:spacing w:before="29" w:line="360" w:lineRule="auto"/>
              <w:ind w:left="17"/>
              <w:jc w:val="center"/>
              <w:rPr>
                <w:color w:val="000000"/>
                <w:sz w:val="24"/>
              </w:rPr>
            </w:pPr>
            <w:r w:rsidRPr="006506EF">
              <w:rPr>
                <w:color w:val="000000"/>
                <w:sz w:val="24"/>
              </w:rPr>
              <w:t>上期金额</w:t>
            </w:r>
          </w:p>
        </w:tc>
      </w:tr>
      <w:tr w:rsidR="00FE7205" w:rsidRPr="006506EF" w:rsidTr="00C3442A">
        <w:tc>
          <w:tcPr>
            <w:tcW w:w="3402" w:type="dxa"/>
          </w:tcPr>
          <w:p w:rsidR="00FE7205" w:rsidRPr="006506EF" w:rsidRDefault="00FE7205"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FE7205" w:rsidRPr="006506EF" w:rsidRDefault="00FE7205" w:rsidP="00C3442A">
            <w:pPr>
              <w:adjustRightInd w:val="0"/>
              <w:spacing w:before="29" w:line="360" w:lineRule="auto"/>
              <w:ind w:left="17"/>
              <w:jc w:val="right"/>
              <w:rPr>
                <w:color w:val="000000"/>
                <w:sz w:val="24"/>
              </w:rPr>
            </w:pPr>
            <w:r w:rsidRPr="006506EF">
              <w:rPr>
                <w:color w:val="000000"/>
                <w:sz w:val="24"/>
              </w:rPr>
              <w:t>53,912,651.52</w:t>
            </w:r>
          </w:p>
        </w:tc>
        <w:tc>
          <w:tcPr>
            <w:tcW w:w="2410" w:type="dxa"/>
            <w:hMerge/>
            <w:vAlign w:val="bottom"/>
          </w:tcPr>
          <w:p w:rsidR="00FE7205" w:rsidRPr="006506EF" w:rsidRDefault="00FE7205" w:rsidP="00C3442A">
            <w:pPr>
              <w:adjustRightInd w:val="0"/>
              <w:spacing w:before="29" w:line="360" w:lineRule="auto"/>
              <w:ind w:left="17"/>
              <w:jc w:val="right"/>
              <w:rPr>
                <w:color w:val="000000"/>
                <w:sz w:val="24"/>
              </w:rPr>
            </w:pPr>
            <w:r w:rsidRPr="006506EF">
              <w:rPr>
                <w:color w:val="000000"/>
                <w:sz w:val="24"/>
              </w:rPr>
              <w:t>-</w:t>
            </w:r>
          </w:p>
        </w:tc>
      </w:tr>
      <w:tr w:rsidR="00FE7205" w:rsidRPr="006506EF" w:rsidTr="00C3442A">
        <w:tc>
          <w:tcPr>
            <w:tcW w:w="3402" w:type="dxa"/>
          </w:tcPr>
          <w:p w:rsidR="00FE7205" w:rsidRPr="006506EF" w:rsidRDefault="00FE7205"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FE7205" w:rsidRPr="006506EF" w:rsidRDefault="00FE7205" w:rsidP="00C3442A">
            <w:pPr>
              <w:adjustRightInd w:val="0"/>
              <w:spacing w:before="29" w:line="360" w:lineRule="auto"/>
              <w:ind w:left="17"/>
              <w:jc w:val="right"/>
              <w:rPr>
                <w:color w:val="000000"/>
                <w:sz w:val="24"/>
              </w:rPr>
            </w:pPr>
            <w:r w:rsidRPr="006506EF">
              <w:rPr>
                <w:color w:val="000000"/>
                <w:sz w:val="24"/>
              </w:rPr>
              <w:t>11,914,572.71</w:t>
            </w:r>
          </w:p>
        </w:tc>
        <w:tc>
          <w:tcPr>
            <w:tcW w:w="2410" w:type="dxa"/>
            <w:hMerge/>
            <w:vAlign w:val="bottom"/>
          </w:tcPr>
          <w:p w:rsidR="00FE7205" w:rsidRPr="006506EF" w:rsidRDefault="00FE7205" w:rsidP="00C3442A">
            <w:pPr>
              <w:adjustRightInd w:val="0"/>
              <w:spacing w:before="29" w:line="360" w:lineRule="auto"/>
              <w:ind w:left="17"/>
              <w:jc w:val="right"/>
              <w:rPr>
                <w:color w:val="000000"/>
                <w:sz w:val="24"/>
              </w:rPr>
            </w:pPr>
            <w:r w:rsidRPr="006506EF">
              <w:rPr>
                <w:color w:val="000000"/>
                <w:sz w:val="24"/>
              </w:rPr>
              <w:t>-</w:t>
            </w:r>
          </w:p>
        </w:tc>
      </w:tr>
      <w:tr w:rsidR="00FE7205" w:rsidRPr="006506EF" w:rsidTr="00C3442A">
        <w:tc>
          <w:tcPr>
            <w:tcW w:w="3402" w:type="dxa"/>
          </w:tcPr>
          <w:p w:rsidR="00FE7205" w:rsidRPr="006506EF" w:rsidRDefault="00FE7205"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FE7205" w:rsidRPr="006506EF" w:rsidRDefault="00FE7205" w:rsidP="00C3442A">
            <w:pPr>
              <w:adjustRightInd w:val="0"/>
              <w:spacing w:before="29" w:line="360" w:lineRule="auto"/>
              <w:ind w:left="17"/>
              <w:jc w:val="right"/>
              <w:rPr>
                <w:color w:val="000000"/>
                <w:sz w:val="24"/>
              </w:rPr>
            </w:pPr>
            <w:r w:rsidRPr="006506EF">
              <w:rPr>
                <w:color w:val="000000"/>
                <w:sz w:val="24"/>
              </w:rPr>
              <w:t>0.0236</w:t>
            </w:r>
          </w:p>
        </w:tc>
        <w:tc>
          <w:tcPr>
            <w:tcW w:w="2410" w:type="dxa"/>
            <w:hMerge/>
            <w:vAlign w:val="bottom"/>
          </w:tcPr>
          <w:p w:rsidR="00FE7205" w:rsidRPr="006506EF" w:rsidRDefault="00FE7205" w:rsidP="00C3442A">
            <w:pPr>
              <w:adjustRightInd w:val="0"/>
              <w:spacing w:before="29" w:line="360" w:lineRule="auto"/>
              <w:ind w:left="17"/>
              <w:jc w:val="right"/>
              <w:rPr>
                <w:color w:val="000000"/>
                <w:sz w:val="24"/>
              </w:rPr>
            </w:pPr>
            <w:r w:rsidRPr="006506EF">
              <w:rPr>
                <w:color w:val="000000"/>
                <w:sz w:val="24"/>
              </w:rPr>
              <w:t>-</w:t>
            </w:r>
          </w:p>
        </w:tc>
      </w:tr>
      <w:tr w:rsidR="00FE7205" w:rsidRPr="006506EF" w:rsidTr="00C3442A">
        <w:tc>
          <w:tcPr>
            <w:tcW w:w="3402" w:type="dxa"/>
          </w:tcPr>
          <w:p w:rsidR="00FE7205" w:rsidRPr="006506EF" w:rsidRDefault="00FE7205"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FE7205" w:rsidRPr="006506EF" w:rsidRDefault="00FE7205" w:rsidP="00C3442A">
            <w:pPr>
              <w:adjustRightInd w:val="0"/>
              <w:spacing w:before="29" w:line="360" w:lineRule="auto"/>
              <w:ind w:left="17"/>
              <w:jc w:val="right"/>
              <w:rPr>
                <w:color w:val="000000"/>
                <w:sz w:val="24"/>
              </w:rPr>
            </w:pPr>
            <w:r w:rsidRPr="006506EF">
              <w:rPr>
                <w:color w:val="000000"/>
                <w:sz w:val="24"/>
              </w:rPr>
              <w:t>1,131,523,346.29</w:t>
            </w:r>
          </w:p>
        </w:tc>
        <w:tc>
          <w:tcPr>
            <w:tcW w:w="2410" w:type="dxa"/>
            <w:hMerge/>
          </w:tcPr>
          <w:p w:rsidR="00FE7205" w:rsidRPr="006506EF" w:rsidRDefault="00FE7205" w:rsidP="00C3442A">
            <w:pPr>
              <w:adjustRightInd w:val="0"/>
              <w:spacing w:before="29" w:line="360" w:lineRule="auto"/>
              <w:ind w:left="17"/>
              <w:jc w:val="right"/>
              <w:rPr>
                <w:color w:val="000000"/>
                <w:sz w:val="24"/>
              </w:rPr>
            </w:pPr>
            <w:r w:rsidRPr="006506EF">
              <w:rPr>
                <w:color w:val="000000"/>
                <w:sz w:val="24"/>
              </w:rPr>
              <w:t>-</w:t>
            </w:r>
          </w:p>
        </w:tc>
      </w:tr>
      <w:tr w:rsidR="00FE7205" w:rsidRPr="006506EF" w:rsidTr="00C3442A">
        <w:trPr>
          <w:trHeight w:val="158"/>
        </w:trPr>
        <w:tc>
          <w:tcPr>
            <w:tcW w:w="3402" w:type="dxa"/>
          </w:tcPr>
          <w:p w:rsidR="00FE7205" w:rsidRPr="006506EF" w:rsidRDefault="00FE7205"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FE7205" w:rsidRPr="006506EF" w:rsidRDefault="00FE7205" w:rsidP="00C3442A">
            <w:pPr>
              <w:adjustRightInd w:val="0"/>
              <w:spacing w:before="29" w:line="360" w:lineRule="auto"/>
              <w:ind w:left="17"/>
              <w:jc w:val="right"/>
              <w:rPr>
                <w:color w:val="000000"/>
                <w:sz w:val="24"/>
              </w:rPr>
            </w:pPr>
            <w:r w:rsidRPr="006506EF">
              <w:rPr>
                <w:color w:val="000000"/>
                <w:sz w:val="24"/>
              </w:rPr>
              <w:t>2.3814</w:t>
            </w:r>
          </w:p>
        </w:tc>
        <w:tc>
          <w:tcPr>
            <w:tcW w:w="2410" w:type="dxa"/>
            <w:hMerge/>
          </w:tcPr>
          <w:p w:rsidR="00FE7205" w:rsidRPr="006506EF" w:rsidRDefault="00FE7205" w:rsidP="00C3442A">
            <w:pPr>
              <w:adjustRightInd w:val="0"/>
              <w:spacing w:before="29" w:line="360" w:lineRule="auto"/>
              <w:ind w:left="17"/>
              <w:jc w:val="right"/>
              <w:rPr>
                <w:color w:val="000000"/>
                <w:sz w:val="24"/>
              </w:rPr>
            </w:pPr>
            <w:r w:rsidRPr="006506EF">
              <w:rPr>
                <w:color w:val="000000"/>
                <w:sz w:val="24"/>
              </w:rPr>
              <w:t>-</w:t>
            </w:r>
          </w:p>
        </w:tc>
      </w:tr>
    </w:tbl>
    <w:p w:rsidR="003469A5" w:rsidRDefault="00541837">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A62673" w:rsidRPr="00C1648E" w:rsidRDefault="00FE7205" w:rsidP="00C1648E">
      <w:pPr>
        <w:spacing w:line="360" w:lineRule="auto"/>
        <w:ind w:firstLineChars="200" w:firstLine="480"/>
        <w:rPr>
          <w:color w:val="000000"/>
          <w:sz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A62673" w:rsidRPr="00EC5CE0" w:rsidRDefault="00A62673" w:rsidP="005A2DCB">
      <w:pPr>
        <w:autoSpaceDE w:val="0"/>
        <w:autoSpaceDN w:val="0"/>
        <w:adjustRightInd w:val="0"/>
        <w:spacing w:line="360" w:lineRule="auto"/>
        <w:jc w:val="left"/>
        <w:rPr>
          <w:rFonts w:ascii="宋体" w:cs="Arial"/>
          <w:b/>
          <w:color w:val="000000"/>
          <w:kern w:val="0"/>
          <w:sz w:val="24"/>
        </w:rPr>
      </w:pPr>
      <w:r w:rsidRPr="00EC5CE0">
        <w:rPr>
          <w:rFonts w:ascii="宋体" w:hAnsi="宋体" w:cs="Arial"/>
          <w:b/>
          <w:color w:val="000000"/>
          <w:kern w:val="0"/>
          <w:sz w:val="24"/>
        </w:rPr>
        <w:t xml:space="preserve">3.2 </w:t>
      </w:r>
      <w:r w:rsidRPr="00EC5CE0">
        <w:rPr>
          <w:rFonts w:ascii="宋体" w:hAnsi="宋体" w:cs="Arial" w:hint="eastAsia"/>
          <w:b/>
          <w:color w:val="000000"/>
          <w:kern w:val="0"/>
          <w:sz w:val="24"/>
        </w:rPr>
        <w:t>基金净值表现</w:t>
      </w:r>
    </w:p>
    <w:p w:rsidR="00A62673" w:rsidRPr="00EC5CE0" w:rsidRDefault="00A62673" w:rsidP="005A2DCB">
      <w:pPr>
        <w:autoSpaceDE w:val="0"/>
        <w:autoSpaceDN w:val="0"/>
        <w:adjustRightInd w:val="0"/>
        <w:spacing w:line="360" w:lineRule="auto"/>
        <w:jc w:val="left"/>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EC5CE0">
          <w:rPr>
            <w:rFonts w:ascii="宋体" w:hAnsi="宋体" w:cs="Arial"/>
            <w:b/>
            <w:color w:val="000000"/>
            <w:kern w:val="0"/>
            <w:sz w:val="24"/>
          </w:rPr>
          <w:t>3.2.1</w:t>
        </w:r>
      </w:smartTag>
      <w:r w:rsidRPr="00EC5CE0">
        <w:rPr>
          <w:rFonts w:ascii="宋体" w:hAnsi="宋体" w:cs="Arial" w:hint="eastAsia"/>
          <w:b/>
          <w:color w:val="000000"/>
          <w:kern w:val="0"/>
          <w:sz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A62673" w:rsidRPr="00EC5CE0" w:rsidTr="006B315F">
        <w:tc>
          <w:tcPr>
            <w:tcW w:w="1395" w:type="dxa"/>
            <w:vAlign w:val="center"/>
          </w:tcPr>
          <w:p w:rsidR="00A62673" w:rsidRPr="00C1648E" w:rsidRDefault="00A62673" w:rsidP="006B315F">
            <w:pPr>
              <w:autoSpaceDE w:val="0"/>
              <w:autoSpaceDN w:val="0"/>
              <w:adjustRightInd w:val="0"/>
              <w:spacing w:before="29" w:line="360" w:lineRule="auto"/>
              <w:ind w:left="17"/>
              <w:jc w:val="center"/>
              <w:rPr>
                <w:color w:val="000000"/>
                <w:sz w:val="24"/>
              </w:rPr>
            </w:pPr>
            <w:r w:rsidRPr="00C1648E">
              <w:rPr>
                <w:color w:val="000000"/>
                <w:sz w:val="24"/>
              </w:rPr>
              <w:t>阶段</w:t>
            </w:r>
          </w:p>
        </w:tc>
        <w:tc>
          <w:tcPr>
            <w:tcW w:w="1092" w:type="dxa"/>
            <w:vAlign w:val="center"/>
          </w:tcPr>
          <w:p w:rsidR="00A62673" w:rsidRPr="00C1648E" w:rsidRDefault="00A62673" w:rsidP="006B315F">
            <w:pPr>
              <w:autoSpaceDE w:val="0"/>
              <w:autoSpaceDN w:val="0"/>
              <w:adjustRightInd w:val="0"/>
              <w:spacing w:before="29" w:line="360" w:lineRule="auto"/>
              <w:ind w:left="17"/>
              <w:jc w:val="center"/>
              <w:rPr>
                <w:color w:val="000000"/>
                <w:sz w:val="24"/>
              </w:rPr>
            </w:pPr>
            <w:r w:rsidRPr="00C1648E">
              <w:rPr>
                <w:color w:val="000000"/>
                <w:sz w:val="24"/>
              </w:rPr>
              <w:t>净值增长率</w:t>
            </w:r>
            <w:r w:rsidRPr="00C1648E">
              <w:rPr>
                <w:rFonts w:ascii="宋体" w:hAnsi="宋体" w:cs="宋体" w:hint="eastAsia"/>
                <w:color w:val="000000"/>
                <w:sz w:val="24"/>
              </w:rPr>
              <w:t>①</w:t>
            </w:r>
          </w:p>
        </w:tc>
        <w:tc>
          <w:tcPr>
            <w:tcW w:w="1161" w:type="dxa"/>
            <w:vAlign w:val="center"/>
          </w:tcPr>
          <w:p w:rsidR="00A62673" w:rsidRPr="00C1648E" w:rsidRDefault="00A62673" w:rsidP="006B315F">
            <w:pPr>
              <w:autoSpaceDE w:val="0"/>
              <w:autoSpaceDN w:val="0"/>
              <w:adjustRightInd w:val="0"/>
              <w:spacing w:before="29" w:line="360" w:lineRule="auto"/>
              <w:ind w:left="17"/>
              <w:jc w:val="center"/>
              <w:rPr>
                <w:color w:val="000000"/>
                <w:sz w:val="24"/>
              </w:rPr>
            </w:pPr>
            <w:r w:rsidRPr="00C1648E">
              <w:rPr>
                <w:color w:val="000000"/>
                <w:sz w:val="24"/>
              </w:rPr>
              <w:t>净值增长率标准差</w:t>
            </w:r>
            <w:r w:rsidRPr="00C1648E">
              <w:rPr>
                <w:rFonts w:ascii="宋体" w:hAnsi="宋体" w:cs="宋体" w:hint="eastAsia"/>
                <w:color w:val="000000"/>
                <w:sz w:val="24"/>
              </w:rPr>
              <w:t>②</w:t>
            </w:r>
          </w:p>
        </w:tc>
        <w:tc>
          <w:tcPr>
            <w:tcW w:w="1181" w:type="dxa"/>
            <w:vAlign w:val="center"/>
          </w:tcPr>
          <w:p w:rsidR="00A62673" w:rsidRPr="00C1648E" w:rsidRDefault="00A62673" w:rsidP="006B315F">
            <w:pPr>
              <w:autoSpaceDE w:val="0"/>
              <w:autoSpaceDN w:val="0"/>
              <w:adjustRightInd w:val="0"/>
              <w:spacing w:before="29" w:line="360" w:lineRule="auto"/>
              <w:ind w:left="17"/>
              <w:jc w:val="center"/>
              <w:rPr>
                <w:color w:val="000000"/>
                <w:sz w:val="24"/>
              </w:rPr>
            </w:pPr>
            <w:r w:rsidRPr="00C1648E">
              <w:rPr>
                <w:color w:val="000000"/>
                <w:sz w:val="24"/>
              </w:rPr>
              <w:t>业绩比较基准收益率</w:t>
            </w:r>
            <w:r w:rsidRPr="00C1648E">
              <w:rPr>
                <w:rFonts w:ascii="宋体" w:hAnsi="宋体" w:cs="宋体" w:hint="eastAsia"/>
                <w:color w:val="000000"/>
                <w:sz w:val="24"/>
              </w:rPr>
              <w:t>③</w:t>
            </w:r>
          </w:p>
        </w:tc>
        <w:tc>
          <w:tcPr>
            <w:tcW w:w="1188" w:type="dxa"/>
            <w:vAlign w:val="center"/>
          </w:tcPr>
          <w:p w:rsidR="00A62673" w:rsidRPr="00C1648E" w:rsidRDefault="00A62673" w:rsidP="006B315F">
            <w:pPr>
              <w:autoSpaceDE w:val="0"/>
              <w:autoSpaceDN w:val="0"/>
              <w:adjustRightInd w:val="0"/>
              <w:spacing w:before="29" w:line="360" w:lineRule="auto"/>
              <w:ind w:left="17"/>
              <w:jc w:val="center"/>
              <w:rPr>
                <w:color w:val="000000"/>
                <w:sz w:val="24"/>
              </w:rPr>
            </w:pPr>
            <w:r w:rsidRPr="00C1648E">
              <w:rPr>
                <w:color w:val="000000"/>
                <w:sz w:val="24"/>
              </w:rPr>
              <w:t>业绩比较基准收益率标准差</w:t>
            </w:r>
            <w:r w:rsidRPr="00C1648E">
              <w:rPr>
                <w:rFonts w:ascii="宋体" w:hAnsi="宋体" w:cs="宋体" w:hint="eastAsia"/>
                <w:color w:val="000000"/>
                <w:sz w:val="24"/>
              </w:rPr>
              <w:t>④</w:t>
            </w:r>
          </w:p>
        </w:tc>
        <w:tc>
          <w:tcPr>
            <w:tcW w:w="1199" w:type="dxa"/>
            <w:vAlign w:val="center"/>
          </w:tcPr>
          <w:p w:rsidR="00A62673" w:rsidRPr="00C1648E" w:rsidRDefault="00A62673" w:rsidP="006B315F">
            <w:pPr>
              <w:autoSpaceDE w:val="0"/>
              <w:autoSpaceDN w:val="0"/>
              <w:adjustRightInd w:val="0"/>
              <w:spacing w:before="29" w:line="360" w:lineRule="auto"/>
              <w:ind w:left="17"/>
              <w:jc w:val="center"/>
              <w:rPr>
                <w:color w:val="000000"/>
                <w:sz w:val="24"/>
              </w:rPr>
            </w:pPr>
            <w:r w:rsidRPr="00C1648E">
              <w:rPr>
                <w:rFonts w:ascii="宋体" w:hAnsi="宋体" w:cs="宋体" w:hint="eastAsia"/>
                <w:color w:val="000000"/>
                <w:sz w:val="24"/>
              </w:rPr>
              <w:t>①</w:t>
            </w:r>
            <w:r w:rsidRPr="00C1648E">
              <w:rPr>
                <w:color w:val="000000"/>
                <w:sz w:val="24"/>
              </w:rPr>
              <w:t>-</w:t>
            </w:r>
            <w:r w:rsidRPr="00C1648E">
              <w:rPr>
                <w:rFonts w:ascii="宋体" w:hAnsi="宋体" w:cs="宋体" w:hint="eastAsia"/>
                <w:color w:val="000000"/>
                <w:sz w:val="24"/>
              </w:rPr>
              <w:t>③</w:t>
            </w:r>
          </w:p>
        </w:tc>
        <w:tc>
          <w:tcPr>
            <w:tcW w:w="1204" w:type="dxa"/>
            <w:vAlign w:val="center"/>
          </w:tcPr>
          <w:p w:rsidR="00A62673" w:rsidRPr="00C1648E" w:rsidRDefault="00A62673" w:rsidP="006B315F">
            <w:pPr>
              <w:autoSpaceDE w:val="0"/>
              <w:autoSpaceDN w:val="0"/>
              <w:adjustRightInd w:val="0"/>
              <w:spacing w:before="29" w:line="360" w:lineRule="auto"/>
              <w:ind w:left="17"/>
              <w:jc w:val="center"/>
              <w:rPr>
                <w:color w:val="000000"/>
                <w:sz w:val="24"/>
              </w:rPr>
            </w:pPr>
            <w:r w:rsidRPr="00C1648E">
              <w:rPr>
                <w:rFonts w:ascii="宋体" w:hAnsi="宋体" w:cs="宋体" w:hint="eastAsia"/>
                <w:color w:val="000000"/>
                <w:sz w:val="24"/>
              </w:rPr>
              <w:t>②</w:t>
            </w:r>
            <w:r w:rsidRPr="00C1648E">
              <w:rPr>
                <w:color w:val="000000"/>
                <w:sz w:val="24"/>
              </w:rPr>
              <w:t>-</w:t>
            </w:r>
            <w:r w:rsidRPr="00C1648E">
              <w:rPr>
                <w:rFonts w:ascii="宋体" w:hAnsi="宋体" w:cs="宋体" w:hint="eastAsia"/>
                <w:color w:val="000000"/>
                <w:sz w:val="24"/>
              </w:rPr>
              <w:t>④</w:t>
            </w:r>
          </w:p>
        </w:tc>
      </w:tr>
      <w:tr w:rsidR="003469A5">
        <w:tc>
          <w:tcPr>
            <w:tcW w:w="1395" w:type="dxa"/>
            <w:vAlign w:val="center"/>
          </w:tcPr>
          <w:p w:rsidR="003469A5" w:rsidRDefault="00541837">
            <w:pPr>
              <w:jc w:val="left"/>
            </w:pPr>
            <w:r>
              <w:rPr>
                <w:color w:val="000000"/>
                <w:sz w:val="24"/>
              </w:rPr>
              <w:t>过去三个月</w:t>
            </w:r>
          </w:p>
        </w:tc>
        <w:tc>
          <w:tcPr>
            <w:tcW w:w="1092" w:type="dxa"/>
            <w:vAlign w:val="center"/>
          </w:tcPr>
          <w:p w:rsidR="003469A5" w:rsidRDefault="00541837">
            <w:pPr>
              <w:jc w:val="center"/>
            </w:pPr>
            <w:r>
              <w:rPr>
                <w:color w:val="000000"/>
                <w:sz w:val="24"/>
              </w:rPr>
              <w:t>1.15%</w:t>
            </w:r>
          </w:p>
        </w:tc>
        <w:tc>
          <w:tcPr>
            <w:tcW w:w="1161" w:type="dxa"/>
            <w:vAlign w:val="center"/>
          </w:tcPr>
          <w:p w:rsidR="003469A5" w:rsidRDefault="00541837">
            <w:pPr>
              <w:jc w:val="center"/>
            </w:pPr>
            <w:r>
              <w:rPr>
                <w:color w:val="000000"/>
                <w:sz w:val="24"/>
              </w:rPr>
              <w:t>0.89%</w:t>
            </w:r>
          </w:p>
        </w:tc>
        <w:tc>
          <w:tcPr>
            <w:tcW w:w="1181" w:type="dxa"/>
            <w:vAlign w:val="center"/>
          </w:tcPr>
          <w:p w:rsidR="003469A5" w:rsidRDefault="00541837">
            <w:pPr>
              <w:jc w:val="center"/>
            </w:pPr>
            <w:r>
              <w:rPr>
                <w:color w:val="000000"/>
                <w:sz w:val="24"/>
              </w:rPr>
              <w:t>-0.26%</w:t>
            </w:r>
          </w:p>
        </w:tc>
        <w:tc>
          <w:tcPr>
            <w:tcW w:w="1188" w:type="dxa"/>
            <w:vAlign w:val="center"/>
          </w:tcPr>
          <w:p w:rsidR="003469A5" w:rsidRDefault="00541837">
            <w:pPr>
              <w:jc w:val="center"/>
            </w:pPr>
            <w:r>
              <w:rPr>
                <w:color w:val="000000"/>
                <w:sz w:val="24"/>
              </w:rPr>
              <w:t>0.91%</w:t>
            </w:r>
          </w:p>
        </w:tc>
        <w:tc>
          <w:tcPr>
            <w:tcW w:w="1199" w:type="dxa"/>
            <w:vAlign w:val="center"/>
          </w:tcPr>
          <w:p w:rsidR="003469A5" w:rsidRDefault="00541837">
            <w:pPr>
              <w:jc w:val="center"/>
            </w:pPr>
            <w:r>
              <w:rPr>
                <w:color w:val="000000"/>
                <w:sz w:val="24"/>
              </w:rPr>
              <w:t>1.41%</w:t>
            </w:r>
          </w:p>
        </w:tc>
        <w:tc>
          <w:tcPr>
            <w:tcW w:w="1204" w:type="dxa"/>
            <w:vAlign w:val="center"/>
          </w:tcPr>
          <w:p w:rsidR="003469A5" w:rsidRDefault="00541837">
            <w:pPr>
              <w:jc w:val="center"/>
            </w:pPr>
            <w:r>
              <w:rPr>
                <w:color w:val="000000"/>
                <w:sz w:val="24"/>
              </w:rPr>
              <w:t>-0.02%</w:t>
            </w:r>
          </w:p>
        </w:tc>
      </w:tr>
    </w:tbl>
    <w:p w:rsidR="00A62673" w:rsidRPr="00EC5CE0" w:rsidRDefault="00A62673" w:rsidP="005A2DCB">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EC5CE0">
          <w:rPr>
            <w:rFonts w:ascii="宋体" w:hAnsi="宋体" w:cs="Arial"/>
            <w:b/>
            <w:color w:val="000000"/>
            <w:kern w:val="0"/>
            <w:sz w:val="24"/>
          </w:rPr>
          <w:t>3.2.2</w:t>
        </w:r>
        <w:r w:rsidR="00457251" w:rsidRPr="00370BEA">
          <w:rPr>
            <w:rStyle w:val="af8"/>
            <w:rFonts w:hint="eastAsia"/>
            <w:color w:val="000000"/>
            <w:sz w:val="24"/>
            <w:shd w:val="clear" w:color="auto" w:fill="FFFFFF"/>
          </w:rPr>
          <w:t>自基金合同生效以来</w:t>
        </w:r>
      </w:smartTag>
      <w:r w:rsidRPr="00EC5CE0">
        <w:rPr>
          <w:rFonts w:ascii="宋体" w:hAnsi="宋体" w:hint="eastAsia"/>
          <w:b/>
          <w:bCs/>
          <w:color w:val="000000"/>
          <w:sz w:val="24"/>
        </w:rPr>
        <w:t>基金累计净值增长率变动及其与同期业绩比较基准收益率变动的比较</w:t>
      </w:r>
    </w:p>
    <w:p w:rsidR="00A62673" w:rsidRPr="00C1648E" w:rsidRDefault="00A62673" w:rsidP="005A2DCB">
      <w:pPr>
        <w:spacing w:line="360" w:lineRule="auto"/>
        <w:jc w:val="center"/>
        <w:rPr>
          <w:sz w:val="24"/>
        </w:rPr>
      </w:pPr>
      <w:r w:rsidRPr="00C1648E">
        <w:rPr>
          <w:sz w:val="24"/>
        </w:rPr>
        <w:t>易方达沪深</w:t>
      </w:r>
      <w:r w:rsidRPr="00C1648E">
        <w:rPr>
          <w:sz w:val="24"/>
        </w:rPr>
        <w:t>300</w:t>
      </w:r>
      <w:r w:rsidRPr="00C1648E">
        <w:rPr>
          <w:sz w:val="24"/>
        </w:rPr>
        <w:t>量化增强证券投资基金</w:t>
      </w:r>
    </w:p>
    <w:p w:rsidR="00A62673" w:rsidRPr="00C1648E" w:rsidRDefault="00A62673" w:rsidP="005A2DCB">
      <w:pPr>
        <w:pStyle w:val="a5"/>
        <w:snapToGrid w:val="0"/>
        <w:spacing w:line="360" w:lineRule="auto"/>
        <w:jc w:val="center"/>
        <w:rPr>
          <w:rFonts w:ascii="Times New Roman" w:hAnsi="Times New Roman"/>
          <w:color w:val="000000"/>
          <w:sz w:val="24"/>
          <w:szCs w:val="24"/>
        </w:rPr>
      </w:pPr>
      <w:r w:rsidRPr="00C1648E">
        <w:rPr>
          <w:rFonts w:ascii="Times New Roman" w:hAnsi="Times New Roman"/>
          <w:color w:val="000000"/>
          <w:sz w:val="24"/>
          <w:szCs w:val="24"/>
        </w:rPr>
        <w:t>累计净值增长率与业绩比较基准收益率的历史走势对比图</w:t>
      </w:r>
    </w:p>
    <w:p w:rsidR="00A62673" w:rsidRPr="00EC5CE0" w:rsidRDefault="00A62673" w:rsidP="005A2DCB">
      <w:pPr>
        <w:spacing w:line="360" w:lineRule="auto"/>
        <w:jc w:val="center"/>
        <w:rPr>
          <w:rFonts w:ascii="宋体"/>
          <w:sz w:val="24"/>
        </w:rPr>
      </w:pPr>
      <w:r w:rsidRPr="00C1648E">
        <w:rPr>
          <w:color w:val="000000"/>
          <w:kern w:val="0"/>
          <w:sz w:val="24"/>
        </w:rPr>
        <w:t>（</w:t>
      </w:r>
      <w:r w:rsidRPr="00C1648E">
        <w:rPr>
          <w:color w:val="000000"/>
          <w:kern w:val="0"/>
          <w:sz w:val="24"/>
        </w:rPr>
        <w:t>2012</w:t>
      </w:r>
      <w:r w:rsidRPr="00C1648E">
        <w:rPr>
          <w:color w:val="000000"/>
          <w:kern w:val="0"/>
          <w:sz w:val="24"/>
        </w:rPr>
        <w:t>年</w:t>
      </w:r>
      <w:r w:rsidRPr="00C1648E">
        <w:rPr>
          <w:color w:val="000000"/>
          <w:kern w:val="0"/>
          <w:sz w:val="24"/>
        </w:rPr>
        <w:t>7</w:t>
      </w:r>
      <w:r w:rsidRPr="00C1648E">
        <w:rPr>
          <w:color w:val="000000"/>
          <w:kern w:val="0"/>
          <w:sz w:val="24"/>
        </w:rPr>
        <w:t>月</w:t>
      </w:r>
      <w:r w:rsidRPr="00C1648E">
        <w:rPr>
          <w:color w:val="000000"/>
          <w:kern w:val="0"/>
          <w:sz w:val="24"/>
        </w:rPr>
        <w:t>5</w:t>
      </w:r>
      <w:r w:rsidRPr="00C1648E">
        <w:rPr>
          <w:color w:val="000000"/>
          <w:kern w:val="0"/>
          <w:sz w:val="24"/>
        </w:rPr>
        <w:t>日至</w:t>
      </w:r>
      <w:r w:rsidRPr="00C1648E">
        <w:rPr>
          <w:color w:val="000000"/>
          <w:kern w:val="0"/>
          <w:sz w:val="24"/>
        </w:rPr>
        <w:t>2019</w:t>
      </w:r>
      <w:r w:rsidRPr="00C1648E">
        <w:rPr>
          <w:color w:val="000000"/>
          <w:kern w:val="0"/>
          <w:sz w:val="24"/>
        </w:rPr>
        <w:t>年</w:t>
      </w:r>
      <w:r w:rsidRPr="00C1648E">
        <w:rPr>
          <w:color w:val="000000"/>
          <w:kern w:val="0"/>
          <w:sz w:val="24"/>
        </w:rPr>
        <w:t>9</w:t>
      </w:r>
      <w:r w:rsidRPr="00C1648E">
        <w:rPr>
          <w:color w:val="000000"/>
          <w:kern w:val="0"/>
          <w:sz w:val="24"/>
        </w:rPr>
        <w:t>月</w:t>
      </w:r>
      <w:r w:rsidRPr="00C1648E">
        <w:rPr>
          <w:color w:val="000000"/>
          <w:kern w:val="0"/>
          <w:sz w:val="24"/>
        </w:rPr>
        <w:t>30</w:t>
      </w:r>
      <w:r w:rsidRPr="00C1648E">
        <w:rPr>
          <w:color w:val="000000"/>
          <w:kern w:val="0"/>
          <w:sz w:val="24"/>
        </w:rPr>
        <w:t>日）</w:t>
      </w:r>
    </w:p>
    <w:p w:rsidR="00A62673" w:rsidRPr="00EC5CE0" w:rsidRDefault="00541837" w:rsidP="00CE3519">
      <w:pPr>
        <w:tabs>
          <w:tab w:val="left" w:pos="1800"/>
        </w:tabs>
        <w:spacing w:line="360" w:lineRule="auto"/>
        <w:jc w:val="center"/>
        <w:rPr>
          <w:rFonts w:ascii="宋体"/>
          <w:color w:val="000000"/>
          <w:sz w:val="24"/>
        </w:rPr>
      </w:pPr>
      <w:r>
        <w:rPr>
          <w:rFonts w:ascii="宋体"/>
          <w:noProof/>
          <w:color w:val="00000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1.75pt;height:241.5pt;visibility:visible">
            <v:imagedata r:id="rId9" o:title=""/>
          </v:shape>
        </w:pict>
      </w:r>
    </w:p>
    <w:p w:rsidR="00A62673" w:rsidRPr="00EC5CE0" w:rsidRDefault="00A62673" w:rsidP="00C1648E">
      <w:pPr>
        <w:spacing w:line="360" w:lineRule="auto"/>
        <w:ind w:firstLineChars="200" w:firstLine="480"/>
        <w:rPr>
          <w:rFonts w:hAnsi="宋体"/>
          <w:color w:val="000000"/>
          <w:sz w:val="24"/>
        </w:rPr>
      </w:pPr>
      <w:r w:rsidRPr="00DC315B">
        <w:rPr>
          <w:color w:val="000000"/>
          <w:sz w:val="24"/>
        </w:rPr>
        <w:t>注：自基金合同生效至报告期末，基金份额净值增长率为</w:t>
      </w:r>
      <w:r w:rsidRPr="00DC315B">
        <w:rPr>
          <w:color w:val="000000"/>
          <w:sz w:val="24"/>
        </w:rPr>
        <w:t>138.14%</w:t>
      </w:r>
      <w:r w:rsidRPr="00DC315B">
        <w:rPr>
          <w:color w:val="000000"/>
          <w:sz w:val="24"/>
        </w:rPr>
        <w:t>，同期业绩比较基准收益率为</w:t>
      </w:r>
      <w:r w:rsidRPr="00DC315B">
        <w:rPr>
          <w:color w:val="000000"/>
          <w:sz w:val="24"/>
        </w:rPr>
        <w:t>52.85%</w:t>
      </w:r>
      <w:r w:rsidRPr="00DC315B">
        <w:rPr>
          <w:color w:val="000000"/>
          <w:sz w:val="24"/>
        </w:rPr>
        <w:t>。</w:t>
      </w:r>
    </w:p>
    <w:p w:rsidR="00A62673" w:rsidRPr="00C1648E" w:rsidRDefault="00A62673" w:rsidP="006C1D5C">
      <w:pPr>
        <w:tabs>
          <w:tab w:val="left" w:pos="1800"/>
        </w:tabs>
        <w:spacing w:line="288" w:lineRule="auto"/>
        <w:rPr>
          <w:color w:val="000000"/>
          <w:sz w:val="24"/>
        </w:rPr>
      </w:pPr>
    </w:p>
    <w:p w:rsidR="00A62673" w:rsidRPr="00EC5CE0" w:rsidRDefault="00A62673" w:rsidP="007467A8">
      <w:pPr>
        <w:pStyle w:val="1"/>
        <w:spacing w:beforeLines="100" w:before="312" w:afterLines="100" w:after="312" w:line="360" w:lineRule="auto"/>
        <w:jc w:val="center"/>
        <w:rPr>
          <w:rFonts w:ascii="宋体" w:cs="Arial"/>
          <w:color w:val="000000"/>
          <w:kern w:val="0"/>
          <w:sz w:val="24"/>
          <w:szCs w:val="24"/>
        </w:rPr>
      </w:pPr>
      <w:r w:rsidRPr="00EC5CE0">
        <w:rPr>
          <w:rFonts w:ascii="宋体" w:hAnsi="宋体" w:cs="Arial" w:hint="eastAsia"/>
          <w:color w:val="000000"/>
          <w:kern w:val="0"/>
          <w:sz w:val="24"/>
          <w:szCs w:val="24"/>
        </w:rPr>
        <w:t>§</w:t>
      </w:r>
      <w:r w:rsidRPr="00EC5CE0">
        <w:rPr>
          <w:rFonts w:ascii="宋体" w:hAnsi="宋体" w:cs="Arial"/>
          <w:color w:val="000000"/>
          <w:kern w:val="0"/>
          <w:sz w:val="24"/>
          <w:szCs w:val="24"/>
        </w:rPr>
        <w:t xml:space="preserve">4  </w:t>
      </w:r>
      <w:r w:rsidRPr="00EC5CE0">
        <w:rPr>
          <w:rFonts w:ascii="宋体" w:hAnsi="宋体" w:cs="Arial" w:hint="eastAsia"/>
          <w:color w:val="000000"/>
          <w:kern w:val="0"/>
          <w:sz w:val="24"/>
          <w:szCs w:val="24"/>
        </w:rPr>
        <w:t>管理人报告</w:t>
      </w:r>
    </w:p>
    <w:p w:rsidR="007467A8" w:rsidRPr="0078105B" w:rsidRDefault="00A62673" w:rsidP="007467A8">
      <w:pPr>
        <w:autoSpaceDE w:val="0"/>
        <w:autoSpaceDN w:val="0"/>
        <w:adjustRightInd w:val="0"/>
        <w:spacing w:line="360" w:lineRule="auto"/>
        <w:jc w:val="left"/>
        <w:rPr>
          <w:rFonts w:ascii="宋体" w:cs="Arial"/>
          <w:b/>
          <w:color w:val="000000"/>
          <w:kern w:val="0"/>
          <w:sz w:val="24"/>
        </w:rPr>
      </w:pPr>
      <w:r w:rsidRPr="00EC5CE0">
        <w:rPr>
          <w:rFonts w:ascii="宋体" w:hAnsi="宋体" w:cs="Arial"/>
          <w:b/>
          <w:color w:val="000000"/>
          <w:kern w:val="0"/>
          <w:sz w:val="24"/>
        </w:rPr>
        <w:t xml:space="preserve">4.1 </w:t>
      </w:r>
      <w:r w:rsidRPr="00EC5CE0">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7467A8" w:rsidRPr="0078105B" w:rsidTr="00B7074C">
        <w:trPr>
          <w:cantSplit/>
        </w:trPr>
        <w:tc>
          <w:tcPr>
            <w:tcW w:w="567" w:type="dxa"/>
            <w:vMerge w:val="restart"/>
            <w:vAlign w:val="center"/>
          </w:tcPr>
          <w:p w:rsidR="007467A8" w:rsidRPr="00FA472B" w:rsidRDefault="007467A8"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7467A8" w:rsidRPr="00FA472B" w:rsidRDefault="007467A8"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7467A8" w:rsidRPr="00FA472B" w:rsidRDefault="007467A8"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7467A8" w:rsidRPr="00FA472B" w:rsidRDefault="007467A8"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7467A8" w:rsidRPr="00FA472B" w:rsidRDefault="007467A8"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7467A8" w:rsidRPr="0078105B" w:rsidTr="00B7074C">
        <w:trPr>
          <w:cantSplit/>
        </w:trPr>
        <w:tc>
          <w:tcPr>
            <w:tcW w:w="567" w:type="dxa"/>
            <w:vMerge/>
            <w:vAlign w:val="center"/>
          </w:tcPr>
          <w:p w:rsidR="007467A8" w:rsidRPr="00FA472B" w:rsidRDefault="007467A8" w:rsidP="00B7074C">
            <w:pPr>
              <w:autoSpaceDE w:val="0"/>
              <w:autoSpaceDN w:val="0"/>
              <w:adjustRightInd w:val="0"/>
              <w:spacing w:before="29" w:line="288" w:lineRule="auto"/>
              <w:ind w:left="15"/>
              <w:jc w:val="center"/>
              <w:rPr>
                <w:color w:val="000000"/>
                <w:kern w:val="0"/>
                <w:sz w:val="24"/>
              </w:rPr>
            </w:pPr>
          </w:p>
        </w:tc>
        <w:tc>
          <w:tcPr>
            <w:tcW w:w="2835" w:type="dxa"/>
            <w:vMerge/>
          </w:tcPr>
          <w:p w:rsidR="007467A8" w:rsidRPr="00FA472B" w:rsidRDefault="007467A8" w:rsidP="00B7074C">
            <w:pPr>
              <w:autoSpaceDE w:val="0"/>
              <w:autoSpaceDN w:val="0"/>
              <w:adjustRightInd w:val="0"/>
              <w:spacing w:before="29" w:line="288" w:lineRule="auto"/>
              <w:ind w:left="15"/>
              <w:jc w:val="center"/>
              <w:rPr>
                <w:color w:val="000000"/>
                <w:kern w:val="0"/>
                <w:sz w:val="24"/>
              </w:rPr>
            </w:pPr>
          </w:p>
        </w:tc>
        <w:tc>
          <w:tcPr>
            <w:tcW w:w="851" w:type="dxa"/>
            <w:vAlign w:val="center"/>
          </w:tcPr>
          <w:p w:rsidR="007467A8" w:rsidRPr="00FA472B" w:rsidRDefault="007467A8"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7467A8" w:rsidRPr="00FA472B" w:rsidRDefault="007467A8"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7467A8" w:rsidRPr="00FA472B" w:rsidRDefault="007467A8" w:rsidP="00B7074C">
            <w:pPr>
              <w:autoSpaceDE w:val="0"/>
              <w:autoSpaceDN w:val="0"/>
              <w:adjustRightInd w:val="0"/>
              <w:spacing w:before="29" w:line="288" w:lineRule="auto"/>
              <w:ind w:left="15"/>
              <w:jc w:val="center"/>
              <w:rPr>
                <w:color w:val="000000"/>
                <w:kern w:val="0"/>
                <w:sz w:val="24"/>
              </w:rPr>
            </w:pPr>
          </w:p>
        </w:tc>
        <w:tc>
          <w:tcPr>
            <w:tcW w:w="2977" w:type="dxa"/>
            <w:vMerge/>
            <w:vAlign w:val="center"/>
          </w:tcPr>
          <w:p w:rsidR="007467A8" w:rsidRPr="00FA472B" w:rsidRDefault="007467A8" w:rsidP="00B7074C">
            <w:pPr>
              <w:autoSpaceDE w:val="0"/>
              <w:autoSpaceDN w:val="0"/>
              <w:adjustRightInd w:val="0"/>
              <w:spacing w:before="29" w:line="288" w:lineRule="auto"/>
              <w:ind w:left="15"/>
              <w:jc w:val="center"/>
              <w:rPr>
                <w:color w:val="000000"/>
                <w:kern w:val="0"/>
                <w:sz w:val="24"/>
              </w:rPr>
            </w:pPr>
          </w:p>
        </w:tc>
      </w:tr>
      <w:tr w:rsidR="003469A5">
        <w:tc>
          <w:tcPr>
            <w:tcW w:w="567" w:type="dxa"/>
            <w:vAlign w:val="center"/>
          </w:tcPr>
          <w:p w:rsidR="003469A5" w:rsidRDefault="00541837">
            <w:pPr>
              <w:jc w:val="center"/>
            </w:pPr>
            <w:r>
              <w:rPr>
                <w:color w:val="000000"/>
                <w:sz w:val="24"/>
              </w:rPr>
              <w:t>官泽帆</w:t>
            </w:r>
          </w:p>
        </w:tc>
        <w:tc>
          <w:tcPr>
            <w:tcW w:w="2835" w:type="dxa"/>
            <w:vAlign w:val="center"/>
          </w:tcPr>
          <w:p w:rsidR="003469A5" w:rsidRDefault="00541837">
            <w:pPr>
              <w:jc w:val="center"/>
            </w:pPr>
            <w:r>
              <w:rPr>
                <w:color w:val="000000"/>
                <w:sz w:val="24"/>
              </w:rPr>
              <w:t>本基金的基金经理、易方达易百智能量化策略灵活配置混合型证券投资基金的基金经理、易方达量化策略精选灵活配置混合型证券投资基金的基金经理</w:t>
            </w:r>
          </w:p>
        </w:tc>
        <w:tc>
          <w:tcPr>
            <w:tcW w:w="851" w:type="dxa"/>
            <w:vAlign w:val="center"/>
          </w:tcPr>
          <w:p w:rsidR="003469A5" w:rsidRDefault="00541837">
            <w:pPr>
              <w:jc w:val="center"/>
            </w:pPr>
            <w:r>
              <w:rPr>
                <w:color w:val="000000"/>
                <w:sz w:val="24"/>
              </w:rPr>
              <w:t>2016-09-24</w:t>
            </w:r>
          </w:p>
        </w:tc>
        <w:tc>
          <w:tcPr>
            <w:tcW w:w="850" w:type="dxa"/>
            <w:vAlign w:val="center"/>
          </w:tcPr>
          <w:p w:rsidR="003469A5" w:rsidRDefault="00541837">
            <w:pPr>
              <w:jc w:val="center"/>
            </w:pPr>
            <w:r>
              <w:rPr>
                <w:color w:val="000000"/>
                <w:sz w:val="24"/>
              </w:rPr>
              <w:t>-</w:t>
            </w:r>
          </w:p>
        </w:tc>
        <w:tc>
          <w:tcPr>
            <w:tcW w:w="851" w:type="dxa"/>
            <w:vAlign w:val="center"/>
          </w:tcPr>
          <w:p w:rsidR="003469A5" w:rsidRDefault="00541837">
            <w:pPr>
              <w:jc w:val="center"/>
            </w:pPr>
            <w:r>
              <w:rPr>
                <w:color w:val="000000"/>
                <w:sz w:val="24"/>
              </w:rPr>
              <w:t>9</w:t>
            </w:r>
            <w:r>
              <w:rPr>
                <w:color w:val="000000"/>
                <w:sz w:val="24"/>
              </w:rPr>
              <w:t>年</w:t>
            </w:r>
          </w:p>
        </w:tc>
        <w:tc>
          <w:tcPr>
            <w:tcW w:w="2977" w:type="dxa"/>
            <w:vAlign w:val="center"/>
          </w:tcPr>
          <w:p w:rsidR="003469A5" w:rsidRDefault="00541837">
            <w:r>
              <w:rPr>
                <w:color w:val="000000"/>
                <w:sz w:val="24"/>
              </w:rPr>
              <w:t>硕士研究生，曾任招商基金管理有限公司投资开发工程师，摩根士丹利华鑫基金管理有限公司数量化研究员、基金经理助理，易方达基金管理有限公司易方达沪深</w:t>
            </w:r>
            <w:r>
              <w:rPr>
                <w:color w:val="000000"/>
                <w:sz w:val="24"/>
              </w:rPr>
              <w:t>300</w:t>
            </w:r>
            <w:r>
              <w:rPr>
                <w:color w:val="000000"/>
                <w:sz w:val="24"/>
              </w:rPr>
              <w:t>量化增强证券投资基金基金经理助理。</w:t>
            </w:r>
          </w:p>
        </w:tc>
      </w:tr>
    </w:tbl>
    <w:p w:rsidR="003469A5" w:rsidRDefault="00541837">
      <w:pPr>
        <w:autoSpaceDE w:val="0"/>
        <w:autoSpaceDN w:val="0"/>
        <w:adjustRightInd w:val="0"/>
        <w:spacing w:line="360" w:lineRule="auto"/>
        <w:ind w:firstLineChars="200" w:firstLine="480"/>
        <w:jc w:val="left"/>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560F37" w:rsidRPr="00232B03" w:rsidRDefault="007467A8" w:rsidP="007467A8">
      <w:pPr>
        <w:autoSpaceDE w:val="0"/>
        <w:autoSpaceDN w:val="0"/>
        <w:adjustRightInd w:val="0"/>
        <w:spacing w:line="360" w:lineRule="auto"/>
        <w:ind w:firstLineChars="200" w:firstLine="480"/>
        <w:jc w:val="left"/>
        <w:rPr>
          <w:color w:val="000000"/>
          <w:sz w:val="24"/>
        </w:rPr>
      </w:pPr>
      <w:r w:rsidRPr="00DF18FE">
        <w:rPr>
          <w:color w:val="000000"/>
          <w:sz w:val="24"/>
        </w:rPr>
        <w:t>2.</w:t>
      </w:r>
      <w:r w:rsidRPr="00DF18FE">
        <w:rPr>
          <w:color w:val="000000"/>
          <w:sz w:val="24"/>
        </w:rPr>
        <w:t>证券从业的含义遵从《证券业从业人员资格管理办法》的相关规定。</w:t>
      </w:r>
    </w:p>
    <w:p w:rsidR="00A62673" w:rsidRPr="00EC5CE0" w:rsidRDefault="00A62673" w:rsidP="00560F37">
      <w:pPr>
        <w:autoSpaceDE w:val="0"/>
        <w:autoSpaceDN w:val="0"/>
        <w:adjustRightInd w:val="0"/>
        <w:spacing w:line="360" w:lineRule="auto"/>
        <w:jc w:val="left"/>
        <w:rPr>
          <w:rFonts w:ascii="宋体" w:cs="Arial"/>
          <w:b/>
          <w:color w:val="000000"/>
          <w:kern w:val="0"/>
          <w:sz w:val="24"/>
        </w:rPr>
      </w:pPr>
      <w:r w:rsidRPr="00EC5CE0">
        <w:rPr>
          <w:rFonts w:ascii="宋体" w:hAnsi="宋体" w:cs="Arial"/>
          <w:b/>
          <w:color w:val="000000"/>
          <w:kern w:val="0"/>
          <w:sz w:val="24"/>
        </w:rPr>
        <w:t>4.2</w:t>
      </w:r>
      <w:r w:rsidRPr="00EC5CE0">
        <w:rPr>
          <w:rFonts w:ascii="宋体" w:hAnsi="宋体" w:hint="eastAsia"/>
          <w:b/>
          <w:bCs/>
          <w:color w:val="000000"/>
          <w:sz w:val="24"/>
        </w:rPr>
        <w:t>管理人对报告期内本基金运作遵规守信情况的说明</w:t>
      </w:r>
    </w:p>
    <w:p w:rsidR="00A62673" w:rsidRPr="00C1648E" w:rsidRDefault="00A62673" w:rsidP="00C1648E">
      <w:pPr>
        <w:spacing w:line="360" w:lineRule="auto"/>
        <w:ind w:firstLineChars="200" w:firstLine="480"/>
        <w:rPr>
          <w:color w:val="000000"/>
          <w:sz w:val="24"/>
        </w:rPr>
      </w:pPr>
      <w:r w:rsidRPr="00DC315B">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A62673" w:rsidRPr="00EC5CE0" w:rsidRDefault="00A62673" w:rsidP="005A2DCB">
      <w:pPr>
        <w:autoSpaceDE w:val="0"/>
        <w:autoSpaceDN w:val="0"/>
        <w:adjustRightInd w:val="0"/>
        <w:spacing w:line="360" w:lineRule="auto"/>
        <w:jc w:val="left"/>
        <w:rPr>
          <w:rFonts w:ascii="宋体" w:cs="Arial"/>
          <w:b/>
          <w:color w:val="000000"/>
          <w:kern w:val="0"/>
          <w:sz w:val="24"/>
        </w:rPr>
      </w:pPr>
      <w:r w:rsidRPr="00EC5CE0">
        <w:rPr>
          <w:rFonts w:ascii="宋体" w:hAnsi="宋体" w:cs="Arial"/>
          <w:b/>
          <w:color w:val="000000"/>
          <w:kern w:val="0"/>
          <w:sz w:val="24"/>
        </w:rPr>
        <w:t xml:space="preserve">4.3 </w:t>
      </w:r>
      <w:r w:rsidRPr="00EC5CE0">
        <w:rPr>
          <w:rFonts w:ascii="宋体" w:hAnsi="宋体" w:cs="Arial" w:hint="eastAsia"/>
          <w:b/>
          <w:color w:val="000000"/>
          <w:kern w:val="0"/>
          <w:sz w:val="24"/>
        </w:rPr>
        <w:t>公平交易专项说明</w:t>
      </w:r>
    </w:p>
    <w:p w:rsidR="00A62673" w:rsidRPr="00EC5CE0" w:rsidRDefault="00A62673" w:rsidP="005A2DCB">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EC5CE0">
          <w:rPr>
            <w:rFonts w:ascii="宋体" w:hAnsi="宋体"/>
            <w:sz w:val="24"/>
          </w:rPr>
          <w:t>4.3.1</w:t>
        </w:r>
      </w:smartTag>
      <w:r w:rsidRPr="00EC5CE0">
        <w:rPr>
          <w:rFonts w:ascii="宋体" w:hAnsi="宋体" w:hint="eastAsia"/>
          <w:sz w:val="24"/>
        </w:rPr>
        <w:t>公平交易制度的执行情况</w:t>
      </w:r>
    </w:p>
    <w:p w:rsidR="00A62673" w:rsidRPr="00DC315B" w:rsidRDefault="00A62673" w:rsidP="005A2769">
      <w:pPr>
        <w:spacing w:line="360" w:lineRule="auto"/>
        <w:ind w:firstLineChars="200" w:firstLine="480"/>
        <w:rPr>
          <w:color w:val="000000"/>
          <w:sz w:val="24"/>
        </w:rPr>
      </w:pPr>
      <w:r w:rsidRPr="00DC315B">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C315B">
        <w:rPr>
          <w:color w:val="000000"/>
          <w:sz w:val="24"/>
        </w:rPr>
        <w:t>“</w:t>
      </w:r>
      <w:r w:rsidRPr="00DC315B">
        <w:rPr>
          <w:color w:val="000000"/>
          <w:sz w:val="24"/>
        </w:rPr>
        <w:t>时间优先、价格优先</w:t>
      </w:r>
      <w:r w:rsidRPr="00DC315B">
        <w:rPr>
          <w:color w:val="000000"/>
          <w:sz w:val="24"/>
        </w:rPr>
        <w:t>”</w:t>
      </w:r>
      <w:r w:rsidRPr="00DC315B">
        <w:rPr>
          <w:color w:val="000000"/>
          <w:sz w:val="24"/>
        </w:rPr>
        <w:t>作为执行指令的基本原则，通过投资交易系统中的公平交易模块，以尽可能确保公平对待各投资组合。本报告期内，公平交易制度总体执行情况良好。</w:t>
      </w:r>
    </w:p>
    <w:p w:rsidR="00A62673" w:rsidRPr="00EC5CE0" w:rsidRDefault="00A62673" w:rsidP="005A2DCB">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EC5CE0">
          <w:rPr>
            <w:rFonts w:ascii="宋体" w:hAnsi="宋体"/>
            <w:sz w:val="24"/>
          </w:rPr>
          <w:t>4.3.2</w:t>
        </w:r>
      </w:smartTag>
      <w:r w:rsidRPr="00EC5CE0">
        <w:rPr>
          <w:rFonts w:ascii="宋体" w:hAnsi="宋体" w:hint="eastAsia"/>
          <w:sz w:val="24"/>
        </w:rPr>
        <w:t>异常交易行为的专项说明</w:t>
      </w:r>
    </w:p>
    <w:p w:rsidR="003469A5" w:rsidRDefault="00541837">
      <w:pPr>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A62673" w:rsidRPr="00C1648E" w:rsidRDefault="00A62673" w:rsidP="00C1648E">
      <w:pPr>
        <w:spacing w:line="360" w:lineRule="auto"/>
        <w:ind w:firstLineChars="200" w:firstLine="480"/>
        <w:rPr>
          <w:color w:val="000000"/>
          <w:sz w:val="24"/>
        </w:rPr>
      </w:pPr>
      <w:r w:rsidRPr="00DC315B">
        <w:rPr>
          <w:color w:val="000000"/>
          <w:sz w:val="24"/>
        </w:rPr>
        <w:t>本报告期内，未发现本基金有可能导致不公平交易和利益输送的异常交易。</w:t>
      </w:r>
    </w:p>
    <w:p w:rsidR="00A62673" w:rsidRPr="00EC5CE0" w:rsidRDefault="00A62673" w:rsidP="005A2DCB">
      <w:pPr>
        <w:autoSpaceDE w:val="0"/>
        <w:autoSpaceDN w:val="0"/>
        <w:adjustRightInd w:val="0"/>
        <w:spacing w:line="360" w:lineRule="auto"/>
        <w:jc w:val="left"/>
        <w:rPr>
          <w:rFonts w:ascii="宋体" w:cs="Arial"/>
          <w:b/>
          <w:color w:val="000000"/>
          <w:kern w:val="0"/>
          <w:sz w:val="24"/>
        </w:rPr>
      </w:pPr>
      <w:r w:rsidRPr="00EC5CE0">
        <w:rPr>
          <w:rFonts w:ascii="宋体" w:hAnsi="宋体" w:cs="Arial"/>
          <w:b/>
          <w:color w:val="000000"/>
          <w:kern w:val="0"/>
          <w:sz w:val="24"/>
        </w:rPr>
        <w:t xml:space="preserve">4.4 </w:t>
      </w:r>
      <w:r w:rsidRPr="00EC5CE0">
        <w:rPr>
          <w:rFonts w:ascii="宋体" w:hAnsi="宋体" w:cs="Arial" w:hint="eastAsia"/>
          <w:b/>
          <w:color w:val="000000"/>
          <w:kern w:val="0"/>
          <w:sz w:val="24"/>
        </w:rPr>
        <w:t>报告期内基金的投资策略和业绩表现说明</w:t>
      </w:r>
    </w:p>
    <w:p w:rsidR="00A62673" w:rsidRPr="00EC5CE0" w:rsidRDefault="00A62673" w:rsidP="005A2DCB">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EC5CE0">
          <w:rPr>
            <w:rFonts w:ascii="宋体" w:hAnsi="宋体"/>
            <w:sz w:val="24"/>
          </w:rPr>
          <w:t>4.4.1</w:t>
        </w:r>
      </w:smartTag>
      <w:r w:rsidRPr="00EC5CE0">
        <w:rPr>
          <w:rFonts w:ascii="宋体" w:hAnsi="宋体" w:hint="eastAsia"/>
          <w:sz w:val="24"/>
        </w:rPr>
        <w:t>报告期内基金投资策略和运作分析</w:t>
      </w:r>
    </w:p>
    <w:p w:rsidR="003469A5" w:rsidRDefault="00541837">
      <w:pPr>
        <w:spacing w:line="360" w:lineRule="auto"/>
        <w:ind w:firstLineChars="200" w:firstLine="480"/>
        <w:rPr>
          <w:color w:val="000000"/>
          <w:sz w:val="24"/>
        </w:rPr>
      </w:pPr>
      <w:r>
        <w:rPr>
          <w:color w:val="000000"/>
          <w:sz w:val="24"/>
        </w:rPr>
        <w:t>回顾本报告期，从传统意义上的经济的</w:t>
      </w:r>
      <w:r>
        <w:rPr>
          <w:color w:val="000000"/>
          <w:sz w:val="24"/>
        </w:rPr>
        <w:t>“</w:t>
      </w:r>
      <w:r>
        <w:rPr>
          <w:color w:val="000000"/>
          <w:sz w:val="24"/>
        </w:rPr>
        <w:t>三驾马车</w:t>
      </w:r>
      <w:r>
        <w:rPr>
          <w:color w:val="000000"/>
          <w:sz w:val="24"/>
        </w:rPr>
        <w:t>”</w:t>
      </w:r>
      <w:r>
        <w:rPr>
          <w:color w:val="000000"/>
          <w:sz w:val="24"/>
        </w:rPr>
        <w:t>：投资、消费、净出口相关数据来看，国内宏观经济下行压力依旧。</w:t>
      </w:r>
      <w:r>
        <w:rPr>
          <w:color w:val="000000"/>
          <w:sz w:val="24"/>
        </w:rPr>
        <w:t>8</w:t>
      </w:r>
      <w:r>
        <w:rPr>
          <w:color w:val="000000"/>
          <w:sz w:val="24"/>
        </w:rPr>
        <w:t>月份固定资产投资完成额累计同比增长</w:t>
      </w:r>
      <w:r>
        <w:rPr>
          <w:color w:val="000000"/>
          <w:sz w:val="24"/>
        </w:rPr>
        <w:t>5.5%</w:t>
      </w:r>
      <w:r>
        <w:rPr>
          <w:color w:val="000000"/>
          <w:sz w:val="24"/>
        </w:rPr>
        <w:t>，社会消费</w:t>
      </w:r>
      <w:r>
        <w:rPr>
          <w:color w:val="000000"/>
          <w:sz w:val="24"/>
        </w:rPr>
        <w:t>品零售总额当月同比增长</w:t>
      </w:r>
      <w:r>
        <w:rPr>
          <w:color w:val="000000"/>
          <w:sz w:val="24"/>
        </w:rPr>
        <w:t>7.5%</w:t>
      </w:r>
      <w:r>
        <w:rPr>
          <w:color w:val="000000"/>
          <w:sz w:val="24"/>
        </w:rPr>
        <w:t>，均显著低于二季度末的值。进出口方面，受贸易战影响，虽然我国对外贸易整体仍处在贸易顺差的环境中，但</w:t>
      </w:r>
      <w:r>
        <w:rPr>
          <w:color w:val="000000"/>
          <w:sz w:val="24"/>
        </w:rPr>
        <w:t>8</w:t>
      </w:r>
      <w:r>
        <w:rPr>
          <w:color w:val="000000"/>
          <w:sz w:val="24"/>
        </w:rPr>
        <w:t>月份的出口金额当月同比下降了</w:t>
      </w:r>
      <w:r>
        <w:rPr>
          <w:color w:val="000000"/>
          <w:sz w:val="24"/>
        </w:rPr>
        <w:t>1%</w:t>
      </w:r>
      <w:r>
        <w:rPr>
          <w:color w:val="000000"/>
          <w:sz w:val="24"/>
        </w:rPr>
        <w:t>。资金方面，</w:t>
      </w:r>
      <w:r>
        <w:rPr>
          <w:color w:val="000000"/>
          <w:sz w:val="24"/>
        </w:rPr>
        <w:t>7</w:t>
      </w:r>
      <w:r>
        <w:rPr>
          <w:color w:val="000000"/>
          <w:sz w:val="24"/>
        </w:rPr>
        <w:t>月、</w:t>
      </w:r>
      <w:r>
        <w:rPr>
          <w:color w:val="000000"/>
          <w:sz w:val="24"/>
        </w:rPr>
        <w:t>8</w:t>
      </w:r>
      <w:r>
        <w:rPr>
          <w:color w:val="000000"/>
          <w:sz w:val="24"/>
        </w:rPr>
        <w:t>月的</w:t>
      </w:r>
      <w:r>
        <w:rPr>
          <w:color w:val="000000"/>
          <w:sz w:val="24"/>
        </w:rPr>
        <w:t>M2</w:t>
      </w:r>
      <w:r>
        <w:rPr>
          <w:color w:val="000000"/>
          <w:sz w:val="24"/>
        </w:rPr>
        <w:t>同比增长相较</w:t>
      </w:r>
      <w:r>
        <w:rPr>
          <w:color w:val="000000"/>
          <w:sz w:val="24"/>
        </w:rPr>
        <w:t>6</w:t>
      </w:r>
      <w:r>
        <w:rPr>
          <w:color w:val="000000"/>
          <w:sz w:val="24"/>
        </w:rPr>
        <w:t>月均有一定下降，而信用扩张的脚步也逐渐放缓，广义社融增速在达到</w:t>
      </w:r>
      <w:r>
        <w:rPr>
          <w:color w:val="000000"/>
          <w:sz w:val="24"/>
        </w:rPr>
        <w:t>6</w:t>
      </w:r>
      <w:r>
        <w:rPr>
          <w:color w:val="000000"/>
          <w:sz w:val="24"/>
        </w:rPr>
        <w:t>月份的高点后回落。但与此同时，我国金融市场逐步开放的方向不变，国家外汇管理局近日正式宣布全面取消合格境外机构投资者</w:t>
      </w:r>
      <w:r>
        <w:rPr>
          <w:color w:val="000000"/>
          <w:sz w:val="24"/>
        </w:rPr>
        <w:t>(QFII)</w:t>
      </w:r>
      <w:r>
        <w:rPr>
          <w:color w:val="000000"/>
          <w:sz w:val="24"/>
        </w:rPr>
        <w:t>和人民币合格境外机构投资者</w:t>
      </w:r>
      <w:r>
        <w:rPr>
          <w:color w:val="000000"/>
          <w:sz w:val="24"/>
        </w:rPr>
        <w:t>(RQFII)</w:t>
      </w:r>
      <w:r>
        <w:rPr>
          <w:color w:val="000000"/>
          <w:sz w:val="24"/>
        </w:rPr>
        <w:t>投资额度限制，料将带来大量增量资金，并且进一步促进</w:t>
      </w:r>
      <w:r>
        <w:rPr>
          <w:color w:val="000000"/>
          <w:sz w:val="24"/>
        </w:rPr>
        <w:t>A</w:t>
      </w:r>
      <w:r>
        <w:rPr>
          <w:color w:val="000000"/>
          <w:sz w:val="24"/>
        </w:rPr>
        <w:t>股市场的机构化。</w:t>
      </w:r>
    </w:p>
    <w:p w:rsidR="003469A5" w:rsidRDefault="00541837">
      <w:pPr>
        <w:spacing w:line="360" w:lineRule="auto"/>
        <w:ind w:firstLineChars="200" w:firstLine="480"/>
        <w:rPr>
          <w:color w:val="000000"/>
          <w:sz w:val="24"/>
        </w:rPr>
      </w:pPr>
      <w:r>
        <w:rPr>
          <w:color w:val="000000"/>
          <w:sz w:val="24"/>
        </w:rPr>
        <w:t>得益于政</w:t>
      </w:r>
      <w:r>
        <w:rPr>
          <w:color w:val="000000"/>
          <w:sz w:val="24"/>
        </w:rPr>
        <w:t>策的边际宽松，以及</w:t>
      </w:r>
      <w:r>
        <w:rPr>
          <w:color w:val="000000"/>
          <w:sz w:val="24"/>
        </w:rPr>
        <w:t>7</w:t>
      </w:r>
      <w:r>
        <w:rPr>
          <w:color w:val="000000"/>
          <w:sz w:val="24"/>
        </w:rPr>
        <w:t>月份科创板的正式开板，三季度市场情绪有所修复，市场风格整体上偏向成长股。因此，在三季度中，上证综指跌</w:t>
      </w:r>
      <w:r>
        <w:rPr>
          <w:color w:val="000000"/>
          <w:sz w:val="24"/>
        </w:rPr>
        <w:t>2.47%</w:t>
      </w:r>
      <w:r>
        <w:rPr>
          <w:color w:val="000000"/>
          <w:sz w:val="24"/>
        </w:rPr>
        <w:t>，而深证成指和创业板指则分别涨</w:t>
      </w:r>
      <w:r>
        <w:rPr>
          <w:color w:val="000000"/>
          <w:sz w:val="24"/>
        </w:rPr>
        <w:t>2.92%</w:t>
      </w:r>
      <w:r>
        <w:rPr>
          <w:color w:val="000000"/>
          <w:sz w:val="24"/>
        </w:rPr>
        <w:t>和</w:t>
      </w:r>
      <w:r>
        <w:rPr>
          <w:color w:val="000000"/>
          <w:sz w:val="24"/>
        </w:rPr>
        <w:t>7.68%</w:t>
      </w:r>
      <w:r>
        <w:rPr>
          <w:color w:val="000000"/>
          <w:sz w:val="24"/>
        </w:rPr>
        <w:t>，深证成指和创业板指在三季度的表现明显强于上证综指。而行业方面，也同样是偏高科技、成长类的行业如电子、医药生物和计算机表现最为强势，而部分传统周期类行业如钢铁、采掘、建筑装饰和有色金属则表现较弱。市场情绪修复下的成长股行情也在因子层面得到了体现，动量、盈利质量、盈利惊喜和历史成长等因子在三季度整体表现较为突出，而偏向价值股的传统</w:t>
      </w:r>
      <w:r>
        <w:rPr>
          <w:color w:val="000000"/>
          <w:sz w:val="24"/>
        </w:rPr>
        <w:t>估值类因子和短期反转类因子则集体失效。</w:t>
      </w:r>
    </w:p>
    <w:p w:rsidR="00A62673" w:rsidRPr="00DC315B" w:rsidRDefault="00A62673" w:rsidP="005A2769">
      <w:pPr>
        <w:spacing w:line="360" w:lineRule="auto"/>
        <w:ind w:firstLineChars="200" w:firstLine="480"/>
        <w:rPr>
          <w:color w:val="000000"/>
          <w:sz w:val="24"/>
        </w:rPr>
      </w:pPr>
      <w:r w:rsidRPr="00DC315B">
        <w:rPr>
          <w:color w:val="000000"/>
          <w:sz w:val="24"/>
        </w:rPr>
        <w:t>在此期间，作为指数增强型基金，管理人严格遵照量化指数增强的投资模式进行操作，以标的指数的构成为基础，主要利用基金管理人自主开发的以基本面选股因子为主的定量投资模型在有限范围内进行超配或低配。一方面严格控制组合跟踪误差，避免大幅偏离标的指数，另一方面在跟踪指数的基础上力求超越指数。</w:t>
      </w:r>
    </w:p>
    <w:p w:rsidR="00A62673" w:rsidRPr="00EC5CE0" w:rsidRDefault="00A62673" w:rsidP="005A2DCB">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EC5CE0">
          <w:rPr>
            <w:rFonts w:ascii="宋体" w:hAnsi="宋体"/>
            <w:sz w:val="24"/>
          </w:rPr>
          <w:t>4.4.2</w:t>
        </w:r>
      </w:smartTag>
      <w:r w:rsidRPr="00EC5CE0">
        <w:rPr>
          <w:rFonts w:ascii="宋体" w:hAnsi="宋体" w:hint="eastAsia"/>
          <w:sz w:val="24"/>
        </w:rPr>
        <w:t>报告期内基金的业绩表现</w:t>
      </w:r>
    </w:p>
    <w:p w:rsidR="00A62673" w:rsidRPr="00C1648E" w:rsidRDefault="00A62673" w:rsidP="00C1648E">
      <w:pPr>
        <w:spacing w:line="360" w:lineRule="auto"/>
        <w:ind w:firstLineChars="200" w:firstLine="480"/>
        <w:rPr>
          <w:color w:val="000000"/>
          <w:sz w:val="24"/>
        </w:rPr>
      </w:pPr>
      <w:r w:rsidRPr="00DC315B">
        <w:rPr>
          <w:color w:val="000000"/>
          <w:sz w:val="24"/>
        </w:rPr>
        <w:t>截至报告期末，本基金份额净值为</w:t>
      </w:r>
      <w:r w:rsidRPr="00DC315B">
        <w:rPr>
          <w:color w:val="000000"/>
          <w:sz w:val="24"/>
        </w:rPr>
        <w:t>2.3814</w:t>
      </w:r>
      <w:r w:rsidRPr="00DC315B">
        <w:rPr>
          <w:color w:val="000000"/>
          <w:sz w:val="24"/>
        </w:rPr>
        <w:t>元，本报告期份额净值增长率为</w:t>
      </w:r>
      <w:r w:rsidRPr="00DC315B">
        <w:rPr>
          <w:color w:val="000000"/>
          <w:sz w:val="24"/>
        </w:rPr>
        <w:t>1.15%</w:t>
      </w:r>
      <w:r w:rsidRPr="00DC315B">
        <w:rPr>
          <w:color w:val="000000"/>
          <w:sz w:val="24"/>
        </w:rPr>
        <w:t>，同期业绩比较基准收益率为</w:t>
      </w:r>
      <w:r w:rsidRPr="00DC315B">
        <w:rPr>
          <w:color w:val="000000"/>
          <w:sz w:val="24"/>
        </w:rPr>
        <w:t>-0.26%</w:t>
      </w:r>
      <w:r w:rsidRPr="00DC315B">
        <w:rPr>
          <w:color w:val="000000"/>
          <w:sz w:val="24"/>
        </w:rPr>
        <w:t>，年化跟踪误差</w:t>
      </w:r>
      <w:r w:rsidRPr="00DC315B">
        <w:rPr>
          <w:color w:val="000000"/>
          <w:sz w:val="24"/>
        </w:rPr>
        <w:t>2.28%</w:t>
      </w:r>
      <w:r w:rsidRPr="00DC315B">
        <w:rPr>
          <w:color w:val="000000"/>
          <w:sz w:val="24"/>
        </w:rPr>
        <w:t>，各项指标均在合同规定的目标控制范围之内。</w:t>
      </w:r>
    </w:p>
    <w:p w:rsidR="00A62673" w:rsidRPr="00EC5CE0" w:rsidRDefault="00A62673" w:rsidP="007467A8">
      <w:pPr>
        <w:pStyle w:val="1"/>
        <w:spacing w:beforeLines="100" w:before="312" w:afterLines="100" w:after="312" w:line="360" w:lineRule="auto"/>
        <w:jc w:val="center"/>
        <w:rPr>
          <w:rFonts w:ascii="宋体" w:cs="Arial"/>
          <w:color w:val="000000"/>
          <w:kern w:val="0"/>
          <w:sz w:val="24"/>
          <w:szCs w:val="24"/>
        </w:rPr>
      </w:pPr>
      <w:r w:rsidRPr="00EC5CE0">
        <w:rPr>
          <w:rFonts w:ascii="宋体" w:hAnsi="宋体" w:cs="Arial" w:hint="eastAsia"/>
          <w:color w:val="000000"/>
          <w:kern w:val="0"/>
          <w:sz w:val="24"/>
          <w:szCs w:val="24"/>
        </w:rPr>
        <w:t>§</w:t>
      </w:r>
      <w:r w:rsidRPr="00EC5CE0">
        <w:rPr>
          <w:rFonts w:ascii="宋体" w:hAnsi="宋体" w:cs="Arial"/>
          <w:color w:val="000000"/>
          <w:kern w:val="0"/>
          <w:sz w:val="24"/>
          <w:szCs w:val="24"/>
        </w:rPr>
        <w:t xml:space="preserve">5  </w:t>
      </w:r>
      <w:r w:rsidRPr="00EC5CE0">
        <w:rPr>
          <w:rFonts w:ascii="宋体" w:hAnsi="宋体" w:cs="Arial" w:hint="eastAsia"/>
          <w:color w:val="000000"/>
          <w:kern w:val="0"/>
          <w:sz w:val="24"/>
          <w:szCs w:val="24"/>
        </w:rPr>
        <w:t>投资组合报告</w:t>
      </w:r>
    </w:p>
    <w:p w:rsidR="00A62673" w:rsidRPr="00EC5CE0" w:rsidRDefault="00A62673" w:rsidP="00045BEC">
      <w:pPr>
        <w:autoSpaceDE w:val="0"/>
        <w:autoSpaceDN w:val="0"/>
        <w:adjustRightInd w:val="0"/>
        <w:spacing w:line="360" w:lineRule="auto"/>
        <w:jc w:val="left"/>
        <w:rPr>
          <w:rFonts w:ascii="宋体" w:cs="Arial"/>
          <w:b/>
          <w:color w:val="000000"/>
          <w:kern w:val="0"/>
          <w:sz w:val="24"/>
        </w:rPr>
      </w:pPr>
      <w:r w:rsidRPr="00EC5CE0">
        <w:rPr>
          <w:rFonts w:ascii="宋体" w:hAnsi="宋体" w:cs="Arial"/>
          <w:b/>
          <w:color w:val="000000"/>
          <w:kern w:val="0"/>
          <w:sz w:val="24"/>
        </w:rPr>
        <w:t xml:space="preserve">5.1 </w:t>
      </w:r>
      <w:r w:rsidRPr="00EC5CE0">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A62673" w:rsidRPr="00264E55" w:rsidTr="006B315F">
        <w:trPr>
          <w:jc w:val="center"/>
        </w:trPr>
        <w:tc>
          <w:tcPr>
            <w:tcW w:w="720" w:type="dxa"/>
            <w:vAlign w:val="center"/>
          </w:tcPr>
          <w:p w:rsidR="00A62673" w:rsidRPr="00C1648E" w:rsidRDefault="00A62673" w:rsidP="006B315F">
            <w:pPr>
              <w:spacing w:before="29" w:line="360" w:lineRule="auto"/>
              <w:ind w:left="17"/>
              <w:jc w:val="center"/>
              <w:rPr>
                <w:color w:val="000000"/>
                <w:sz w:val="24"/>
              </w:rPr>
            </w:pPr>
            <w:r w:rsidRPr="00C1648E">
              <w:rPr>
                <w:color w:val="000000"/>
                <w:sz w:val="24"/>
              </w:rPr>
              <w:t>序号</w:t>
            </w:r>
          </w:p>
        </w:tc>
        <w:tc>
          <w:tcPr>
            <w:tcW w:w="3357" w:type="dxa"/>
            <w:vAlign w:val="center"/>
          </w:tcPr>
          <w:p w:rsidR="00A62673" w:rsidRPr="00C1648E" w:rsidRDefault="00A62673" w:rsidP="006B315F">
            <w:pPr>
              <w:spacing w:before="29" w:line="360" w:lineRule="auto"/>
              <w:ind w:left="17"/>
              <w:jc w:val="center"/>
              <w:rPr>
                <w:color w:val="000000"/>
                <w:sz w:val="24"/>
              </w:rPr>
            </w:pPr>
            <w:r w:rsidRPr="00C1648E">
              <w:rPr>
                <w:color w:val="000000"/>
                <w:sz w:val="24"/>
              </w:rPr>
              <w:t>项目</w:t>
            </w:r>
          </w:p>
        </w:tc>
        <w:tc>
          <w:tcPr>
            <w:tcW w:w="2977" w:type="dxa"/>
            <w:vAlign w:val="center"/>
          </w:tcPr>
          <w:p w:rsidR="00A62673" w:rsidRPr="00C1648E" w:rsidRDefault="00A62673" w:rsidP="005A2769">
            <w:pPr>
              <w:spacing w:before="29" w:line="360" w:lineRule="auto"/>
              <w:ind w:left="17"/>
              <w:jc w:val="center"/>
              <w:rPr>
                <w:color w:val="000000"/>
                <w:sz w:val="24"/>
              </w:rPr>
            </w:pPr>
            <w:r w:rsidRPr="00C1648E">
              <w:rPr>
                <w:color w:val="000000"/>
                <w:sz w:val="24"/>
              </w:rPr>
              <w:t>金额</w:t>
            </w:r>
            <w:r w:rsidR="005A2769" w:rsidRPr="00C1648E">
              <w:rPr>
                <w:color w:val="000000"/>
                <w:sz w:val="24"/>
              </w:rPr>
              <w:t>（元）</w:t>
            </w:r>
          </w:p>
        </w:tc>
        <w:tc>
          <w:tcPr>
            <w:tcW w:w="1843" w:type="dxa"/>
            <w:vAlign w:val="center"/>
          </w:tcPr>
          <w:p w:rsidR="00A62673" w:rsidRPr="00C1648E" w:rsidRDefault="00A62673" w:rsidP="005A2769">
            <w:pPr>
              <w:spacing w:before="29" w:line="360" w:lineRule="auto"/>
              <w:ind w:left="17"/>
              <w:jc w:val="center"/>
              <w:rPr>
                <w:color w:val="000000"/>
                <w:sz w:val="24"/>
              </w:rPr>
            </w:pPr>
            <w:r w:rsidRPr="00C1648E">
              <w:rPr>
                <w:color w:val="000000"/>
                <w:sz w:val="24"/>
              </w:rPr>
              <w:t>占基金总资产的比例</w:t>
            </w:r>
            <w:r w:rsidR="005A2769" w:rsidRPr="00C1648E">
              <w:rPr>
                <w:color w:val="000000"/>
                <w:sz w:val="24"/>
              </w:rPr>
              <w:t>（</w:t>
            </w:r>
            <w:r w:rsidR="005A2769" w:rsidRPr="00C1648E">
              <w:rPr>
                <w:color w:val="000000"/>
                <w:sz w:val="24"/>
              </w:rPr>
              <w:t>%</w:t>
            </w:r>
            <w:r w:rsidR="005A2769" w:rsidRPr="00C1648E">
              <w:rPr>
                <w:color w:val="000000"/>
                <w:sz w:val="24"/>
              </w:rPr>
              <w:t>）</w:t>
            </w:r>
          </w:p>
        </w:tc>
      </w:tr>
      <w:tr w:rsidR="00A62673" w:rsidRPr="00264E55" w:rsidTr="006B315F">
        <w:trPr>
          <w:jc w:val="center"/>
        </w:trPr>
        <w:tc>
          <w:tcPr>
            <w:tcW w:w="720" w:type="dxa"/>
            <w:vAlign w:val="center"/>
          </w:tcPr>
          <w:p w:rsidR="00A62673" w:rsidRPr="00C1648E" w:rsidRDefault="00A62673" w:rsidP="006B315F">
            <w:pPr>
              <w:spacing w:before="29" w:line="360" w:lineRule="auto"/>
              <w:ind w:left="17"/>
              <w:jc w:val="center"/>
              <w:rPr>
                <w:color w:val="000000"/>
                <w:sz w:val="24"/>
              </w:rPr>
            </w:pPr>
            <w:r w:rsidRPr="00C1648E">
              <w:rPr>
                <w:color w:val="000000"/>
                <w:sz w:val="24"/>
              </w:rPr>
              <w:t>1</w:t>
            </w:r>
          </w:p>
        </w:tc>
        <w:tc>
          <w:tcPr>
            <w:tcW w:w="3357" w:type="dxa"/>
            <w:vAlign w:val="center"/>
          </w:tcPr>
          <w:p w:rsidR="00A62673" w:rsidRPr="00C1648E" w:rsidRDefault="00A62673" w:rsidP="006B315F">
            <w:pPr>
              <w:spacing w:before="29" w:line="360" w:lineRule="auto"/>
              <w:ind w:left="17"/>
              <w:jc w:val="left"/>
              <w:rPr>
                <w:sz w:val="24"/>
              </w:rPr>
            </w:pPr>
            <w:r w:rsidRPr="00C1648E">
              <w:rPr>
                <w:color w:val="000000"/>
                <w:sz w:val="24"/>
              </w:rPr>
              <w:t>权益投资</w:t>
            </w:r>
          </w:p>
        </w:tc>
        <w:tc>
          <w:tcPr>
            <w:tcW w:w="2977"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1,056,417,803.35</w:t>
            </w:r>
          </w:p>
        </w:tc>
        <w:tc>
          <w:tcPr>
            <w:tcW w:w="1843"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92.78</w:t>
            </w:r>
          </w:p>
        </w:tc>
      </w:tr>
      <w:tr w:rsidR="00A62673" w:rsidRPr="00264E55" w:rsidTr="006B315F">
        <w:trPr>
          <w:jc w:val="center"/>
        </w:trPr>
        <w:tc>
          <w:tcPr>
            <w:tcW w:w="720" w:type="dxa"/>
            <w:vAlign w:val="center"/>
          </w:tcPr>
          <w:p w:rsidR="00A62673" w:rsidRPr="00C1648E" w:rsidRDefault="00A62673" w:rsidP="006B315F">
            <w:pPr>
              <w:spacing w:before="29" w:line="360" w:lineRule="auto"/>
              <w:ind w:left="17"/>
              <w:jc w:val="center"/>
              <w:rPr>
                <w:color w:val="000000"/>
                <w:sz w:val="24"/>
              </w:rPr>
            </w:pPr>
          </w:p>
        </w:tc>
        <w:tc>
          <w:tcPr>
            <w:tcW w:w="3357" w:type="dxa"/>
            <w:vAlign w:val="center"/>
          </w:tcPr>
          <w:p w:rsidR="00A62673" w:rsidRPr="00C1648E" w:rsidRDefault="00A62673" w:rsidP="006B315F">
            <w:pPr>
              <w:spacing w:before="29" w:line="360" w:lineRule="auto"/>
              <w:ind w:left="17"/>
              <w:jc w:val="left"/>
              <w:rPr>
                <w:sz w:val="24"/>
              </w:rPr>
            </w:pPr>
            <w:r w:rsidRPr="00C1648E">
              <w:rPr>
                <w:color w:val="000000"/>
                <w:sz w:val="24"/>
              </w:rPr>
              <w:t>其中：股票</w:t>
            </w:r>
          </w:p>
        </w:tc>
        <w:tc>
          <w:tcPr>
            <w:tcW w:w="2977"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1,056,417,803.35</w:t>
            </w:r>
          </w:p>
        </w:tc>
        <w:tc>
          <w:tcPr>
            <w:tcW w:w="1843"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92.78</w:t>
            </w:r>
          </w:p>
        </w:tc>
      </w:tr>
      <w:tr w:rsidR="00A62673" w:rsidRPr="00264E55" w:rsidTr="006B315F">
        <w:trPr>
          <w:jc w:val="center"/>
        </w:trPr>
        <w:tc>
          <w:tcPr>
            <w:tcW w:w="720" w:type="dxa"/>
            <w:vAlign w:val="center"/>
          </w:tcPr>
          <w:p w:rsidR="00A62673" w:rsidRPr="00C1648E" w:rsidRDefault="00A62673" w:rsidP="006B315F">
            <w:pPr>
              <w:spacing w:before="29" w:line="360" w:lineRule="auto"/>
              <w:ind w:left="17"/>
              <w:jc w:val="center"/>
              <w:rPr>
                <w:color w:val="000000"/>
                <w:sz w:val="24"/>
              </w:rPr>
            </w:pPr>
            <w:r w:rsidRPr="00C1648E">
              <w:rPr>
                <w:color w:val="000000"/>
                <w:sz w:val="24"/>
              </w:rPr>
              <w:t>2</w:t>
            </w:r>
          </w:p>
        </w:tc>
        <w:tc>
          <w:tcPr>
            <w:tcW w:w="3357" w:type="dxa"/>
            <w:vAlign w:val="center"/>
          </w:tcPr>
          <w:p w:rsidR="00A62673" w:rsidRPr="00C1648E" w:rsidRDefault="00A62673" w:rsidP="006B315F">
            <w:pPr>
              <w:spacing w:before="29" w:line="360" w:lineRule="auto"/>
              <w:ind w:left="17"/>
              <w:jc w:val="left"/>
              <w:rPr>
                <w:sz w:val="24"/>
              </w:rPr>
            </w:pPr>
            <w:r w:rsidRPr="00C1648E">
              <w:rPr>
                <w:color w:val="000000"/>
                <w:sz w:val="24"/>
              </w:rPr>
              <w:t>固定收益投资</w:t>
            </w:r>
          </w:p>
        </w:tc>
        <w:tc>
          <w:tcPr>
            <w:tcW w:w="2977"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c>
          <w:tcPr>
            <w:tcW w:w="1843"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r>
      <w:tr w:rsidR="00A62673" w:rsidRPr="00264E55" w:rsidTr="006B315F">
        <w:trPr>
          <w:jc w:val="center"/>
        </w:trPr>
        <w:tc>
          <w:tcPr>
            <w:tcW w:w="720" w:type="dxa"/>
            <w:vAlign w:val="center"/>
          </w:tcPr>
          <w:p w:rsidR="00A62673" w:rsidRPr="00C1648E" w:rsidRDefault="00A62673" w:rsidP="006B315F">
            <w:pPr>
              <w:spacing w:before="29" w:line="360" w:lineRule="auto"/>
              <w:ind w:left="17"/>
              <w:jc w:val="center"/>
              <w:rPr>
                <w:color w:val="000000"/>
                <w:sz w:val="24"/>
              </w:rPr>
            </w:pPr>
          </w:p>
        </w:tc>
        <w:tc>
          <w:tcPr>
            <w:tcW w:w="3357" w:type="dxa"/>
            <w:vAlign w:val="center"/>
          </w:tcPr>
          <w:p w:rsidR="00A62673" w:rsidRPr="00C1648E" w:rsidRDefault="00A62673" w:rsidP="006B315F">
            <w:pPr>
              <w:spacing w:before="29" w:line="360" w:lineRule="auto"/>
              <w:ind w:left="17"/>
              <w:jc w:val="left"/>
              <w:rPr>
                <w:sz w:val="24"/>
              </w:rPr>
            </w:pPr>
            <w:r w:rsidRPr="00C1648E">
              <w:rPr>
                <w:color w:val="000000"/>
                <w:sz w:val="24"/>
              </w:rPr>
              <w:t>其中：债券</w:t>
            </w:r>
          </w:p>
        </w:tc>
        <w:tc>
          <w:tcPr>
            <w:tcW w:w="2977"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c>
          <w:tcPr>
            <w:tcW w:w="1843"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r>
      <w:tr w:rsidR="00A62673" w:rsidRPr="00264E55" w:rsidTr="006B315F">
        <w:trPr>
          <w:jc w:val="center"/>
        </w:trPr>
        <w:tc>
          <w:tcPr>
            <w:tcW w:w="720" w:type="dxa"/>
            <w:vAlign w:val="center"/>
          </w:tcPr>
          <w:p w:rsidR="00A62673" w:rsidRPr="00C1648E" w:rsidRDefault="00A62673" w:rsidP="006B315F">
            <w:pPr>
              <w:spacing w:before="29" w:line="360" w:lineRule="auto"/>
              <w:ind w:left="17"/>
              <w:jc w:val="center"/>
              <w:rPr>
                <w:color w:val="000000"/>
                <w:sz w:val="24"/>
              </w:rPr>
            </w:pPr>
          </w:p>
        </w:tc>
        <w:tc>
          <w:tcPr>
            <w:tcW w:w="3357" w:type="dxa"/>
            <w:vAlign w:val="center"/>
          </w:tcPr>
          <w:p w:rsidR="00A62673" w:rsidRPr="00C1648E" w:rsidRDefault="00A62673" w:rsidP="006B315F">
            <w:pPr>
              <w:autoSpaceDE w:val="0"/>
              <w:autoSpaceDN w:val="0"/>
              <w:adjustRightInd w:val="0"/>
              <w:spacing w:before="29" w:line="360" w:lineRule="auto"/>
              <w:ind w:left="17"/>
              <w:jc w:val="left"/>
              <w:rPr>
                <w:color w:val="000000"/>
                <w:sz w:val="24"/>
              </w:rPr>
            </w:pPr>
            <w:r w:rsidRPr="00C1648E">
              <w:rPr>
                <w:color w:val="000000"/>
                <w:sz w:val="24"/>
              </w:rPr>
              <w:t>资产支持证券</w:t>
            </w:r>
          </w:p>
        </w:tc>
        <w:tc>
          <w:tcPr>
            <w:tcW w:w="2977"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c>
          <w:tcPr>
            <w:tcW w:w="1843"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r>
      <w:tr w:rsidR="00A62673" w:rsidRPr="00264E55" w:rsidTr="006B315F">
        <w:trPr>
          <w:jc w:val="center"/>
        </w:trPr>
        <w:tc>
          <w:tcPr>
            <w:tcW w:w="720" w:type="dxa"/>
          </w:tcPr>
          <w:p w:rsidR="00A62673" w:rsidRPr="00C1648E" w:rsidRDefault="00A62673" w:rsidP="006B315F">
            <w:pPr>
              <w:spacing w:before="29" w:line="360" w:lineRule="auto"/>
              <w:ind w:left="17"/>
              <w:jc w:val="center"/>
              <w:rPr>
                <w:color w:val="000000"/>
                <w:sz w:val="24"/>
              </w:rPr>
            </w:pPr>
            <w:r w:rsidRPr="00C1648E">
              <w:rPr>
                <w:color w:val="000000"/>
                <w:sz w:val="24"/>
              </w:rPr>
              <w:t>3</w:t>
            </w:r>
          </w:p>
        </w:tc>
        <w:tc>
          <w:tcPr>
            <w:tcW w:w="3357" w:type="dxa"/>
          </w:tcPr>
          <w:p w:rsidR="00A62673" w:rsidRPr="00C1648E" w:rsidRDefault="00A62673" w:rsidP="005A2769">
            <w:pPr>
              <w:spacing w:before="29" w:line="360" w:lineRule="auto"/>
              <w:ind w:leftChars="50" w:left="105"/>
              <w:rPr>
                <w:color w:val="000000"/>
                <w:sz w:val="24"/>
              </w:rPr>
            </w:pPr>
            <w:r w:rsidRPr="00C1648E">
              <w:rPr>
                <w:color w:val="000000"/>
                <w:sz w:val="24"/>
              </w:rPr>
              <w:t>贵金属投资</w:t>
            </w:r>
          </w:p>
        </w:tc>
        <w:tc>
          <w:tcPr>
            <w:tcW w:w="2977"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c>
          <w:tcPr>
            <w:tcW w:w="1843"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r>
      <w:tr w:rsidR="00A62673" w:rsidRPr="00264E55" w:rsidTr="006B315F">
        <w:trPr>
          <w:jc w:val="center"/>
        </w:trPr>
        <w:tc>
          <w:tcPr>
            <w:tcW w:w="720" w:type="dxa"/>
            <w:vAlign w:val="center"/>
          </w:tcPr>
          <w:p w:rsidR="00A62673" w:rsidRPr="00C1648E" w:rsidRDefault="00A62673" w:rsidP="006B315F">
            <w:pPr>
              <w:spacing w:before="29" w:line="360" w:lineRule="auto"/>
              <w:ind w:left="17"/>
              <w:jc w:val="center"/>
              <w:rPr>
                <w:color w:val="000000"/>
                <w:sz w:val="24"/>
              </w:rPr>
            </w:pPr>
            <w:r w:rsidRPr="00C1648E">
              <w:rPr>
                <w:color w:val="000000"/>
                <w:sz w:val="24"/>
              </w:rPr>
              <w:t>4</w:t>
            </w:r>
          </w:p>
        </w:tc>
        <w:tc>
          <w:tcPr>
            <w:tcW w:w="3357" w:type="dxa"/>
            <w:vAlign w:val="center"/>
          </w:tcPr>
          <w:p w:rsidR="00A62673" w:rsidRPr="00C1648E" w:rsidRDefault="00A62673" w:rsidP="006B315F">
            <w:pPr>
              <w:spacing w:before="29" w:line="360" w:lineRule="auto"/>
              <w:ind w:left="17"/>
              <w:jc w:val="left"/>
              <w:rPr>
                <w:color w:val="000000"/>
                <w:sz w:val="24"/>
              </w:rPr>
            </w:pPr>
            <w:r w:rsidRPr="00C1648E">
              <w:rPr>
                <w:color w:val="000000"/>
                <w:sz w:val="24"/>
              </w:rPr>
              <w:t>金融衍生品投资</w:t>
            </w:r>
          </w:p>
        </w:tc>
        <w:tc>
          <w:tcPr>
            <w:tcW w:w="2977"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c>
          <w:tcPr>
            <w:tcW w:w="1843"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r>
      <w:tr w:rsidR="00A62673" w:rsidRPr="00264E55" w:rsidTr="006B315F">
        <w:trPr>
          <w:jc w:val="center"/>
        </w:trPr>
        <w:tc>
          <w:tcPr>
            <w:tcW w:w="720" w:type="dxa"/>
            <w:vAlign w:val="center"/>
          </w:tcPr>
          <w:p w:rsidR="00A62673" w:rsidRPr="00C1648E" w:rsidRDefault="00A62673" w:rsidP="006B315F">
            <w:pPr>
              <w:spacing w:before="29" w:line="360" w:lineRule="auto"/>
              <w:ind w:left="17"/>
              <w:jc w:val="center"/>
              <w:rPr>
                <w:color w:val="000000"/>
                <w:sz w:val="24"/>
              </w:rPr>
            </w:pPr>
            <w:r w:rsidRPr="00C1648E">
              <w:rPr>
                <w:color w:val="000000"/>
                <w:sz w:val="24"/>
              </w:rPr>
              <w:t>5</w:t>
            </w:r>
          </w:p>
        </w:tc>
        <w:tc>
          <w:tcPr>
            <w:tcW w:w="3357" w:type="dxa"/>
            <w:vAlign w:val="center"/>
          </w:tcPr>
          <w:p w:rsidR="00A62673" w:rsidRPr="00C1648E" w:rsidRDefault="00A62673" w:rsidP="006B315F">
            <w:pPr>
              <w:spacing w:before="29" w:line="360" w:lineRule="auto"/>
              <w:ind w:left="17"/>
              <w:jc w:val="left"/>
              <w:rPr>
                <w:sz w:val="24"/>
              </w:rPr>
            </w:pPr>
            <w:r w:rsidRPr="00C1648E">
              <w:rPr>
                <w:color w:val="000000"/>
                <w:sz w:val="24"/>
              </w:rPr>
              <w:t>买入返售金融资产</w:t>
            </w:r>
          </w:p>
        </w:tc>
        <w:tc>
          <w:tcPr>
            <w:tcW w:w="2977"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c>
          <w:tcPr>
            <w:tcW w:w="1843"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r>
      <w:tr w:rsidR="00A62673" w:rsidRPr="00264E55" w:rsidTr="006B315F">
        <w:trPr>
          <w:jc w:val="center"/>
        </w:trPr>
        <w:tc>
          <w:tcPr>
            <w:tcW w:w="720" w:type="dxa"/>
            <w:vAlign w:val="center"/>
          </w:tcPr>
          <w:p w:rsidR="00A62673" w:rsidRPr="00C1648E" w:rsidRDefault="00A62673" w:rsidP="006B315F">
            <w:pPr>
              <w:spacing w:before="29" w:line="360" w:lineRule="auto"/>
              <w:ind w:left="17"/>
              <w:jc w:val="center"/>
              <w:rPr>
                <w:color w:val="000000"/>
                <w:sz w:val="24"/>
              </w:rPr>
            </w:pPr>
          </w:p>
        </w:tc>
        <w:tc>
          <w:tcPr>
            <w:tcW w:w="3357" w:type="dxa"/>
            <w:vAlign w:val="center"/>
          </w:tcPr>
          <w:p w:rsidR="00A62673" w:rsidRPr="00C1648E" w:rsidRDefault="00A62673" w:rsidP="006B315F">
            <w:pPr>
              <w:spacing w:before="29" w:line="360" w:lineRule="auto"/>
              <w:ind w:left="17"/>
              <w:jc w:val="left"/>
              <w:rPr>
                <w:sz w:val="24"/>
              </w:rPr>
            </w:pPr>
            <w:r w:rsidRPr="00C1648E">
              <w:rPr>
                <w:color w:val="000000"/>
                <w:sz w:val="24"/>
              </w:rPr>
              <w:t>其中：买断式回购的买入返售金融资产</w:t>
            </w:r>
          </w:p>
        </w:tc>
        <w:tc>
          <w:tcPr>
            <w:tcW w:w="2977"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c>
          <w:tcPr>
            <w:tcW w:w="1843"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r>
      <w:tr w:rsidR="00A62673" w:rsidRPr="00264E55" w:rsidTr="006B315F">
        <w:trPr>
          <w:jc w:val="center"/>
        </w:trPr>
        <w:tc>
          <w:tcPr>
            <w:tcW w:w="720" w:type="dxa"/>
            <w:vAlign w:val="center"/>
          </w:tcPr>
          <w:p w:rsidR="00A62673" w:rsidRPr="00C1648E" w:rsidRDefault="00A62673" w:rsidP="006B315F">
            <w:pPr>
              <w:spacing w:before="29" w:line="360" w:lineRule="auto"/>
              <w:ind w:left="17"/>
              <w:jc w:val="center"/>
              <w:rPr>
                <w:color w:val="000000"/>
                <w:sz w:val="24"/>
              </w:rPr>
            </w:pPr>
            <w:r w:rsidRPr="00C1648E">
              <w:rPr>
                <w:color w:val="000000"/>
                <w:sz w:val="24"/>
              </w:rPr>
              <w:t>6</w:t>
            </w:r>
          </w:p>
        </w:tc>
        <w:tc>
          <w:tcPr>
            <w:tcW w:w="3357" w:type="dxa"/>
            <w:vAlign w:val="center"/>
          </w:tcPr>
          <w:p w:rsidR="00A62673" w:rsidRPr="00C1648E" w:rsidRDefault="00A62673" w:rsidP="006B315F">
            <w:pPr>
              <w:spacing w:before="29" w:line="360" w:lineRule="auto"/>
              <w:ind w:left="17"/>
              <w:jc w:val="left"/>
              <w:rPr>
                <w:sz w:val="24"/>
              </w:rPr>
            </w:pPr>
            <w:r w:rsidRPr="00C1648E">
              <w:rPr>
                <w:color w:val="000000"/>
                <w:sz w:val="24"/>
              </w:rPr>
              <w:t>银行存款和结算备付金合计</w:t>
            </w:r>
          </w:p>
        </w:tc>
        <w:tc>
          <w:tcPr>
            <w:tcW w:w="2977"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77,431,931.96</w:t>
            </w:r>
          </w:p>
        </w:tc>
        <w:tc>
          <w:tcPr>
            <w:tcW w:w="1843"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6.80</w:t>
            </w:r>
          </w:p>
        </w:tc>
      </w:tr>
      <w:tr w:rsidR="00A62673" w:rsidRPr="00264E55" w:rsidTr="006B315F">
        <w:trPr>
          <w:jc w:val="center"/>
        </w:trPr>
        <w:tc>
          <w:tcPr>
            <w:tcW w:w="720" w:type="dxa"/>
            <w:vAlign w:val="center"/>
          </w:tcPr>
          <w:p w:rsidR="00A62673" w:rsidRPr="00C1648E" w:rsidRDefault="00A62673" w:rsidP="006B315F">
            <w:pPr>
              <w:spacing w:before="29" w:line="360" w:lineRule="auto"/>
              <w:ind w:left="17"/>
              <w:jc w:val="center"/>
              <w:rPr>
                <w:color w:val="000000"/>
                <w:sz w:val="24"/>
              </w:rPr>
            </w:pPr>
            <w:r w:rsidRPr="00C1648E">
              <w:rPr>
                <w:color w:val="000000"/>
                <w:sz w:val="24"/>
              </w:rPr>
              <w:t>7</w:t>
            </w:r>
          </w:p>
        </w:tc>
        <w:tc>
          <w:tcPr>
            <w:tcW w:w="3357" w:type="dxa"/>
            <w:vAlign w:val="center"/>
          </w:tcPr>
          <w:p w:rsidR="00A62673" w:rsidRPr="00C1648E" w:rsidRDefault="00A62673" w:rsidP="006B315F">
            <w:pPr>
              <w:jc w:val="left"/>
              <w:rPr>
                <w:sz w:val="24"/>
              </w:rPr>
            </w:pPr>
            <w:r w:rsidRPr="00C1648E">
              <w:rPr>
                <w:color w:val="000000"/>
                <w:sz w:val="24"/>
              </w:rPr>
              <w:t>其他资产</w:t>
            </w:r>
          </w:p>
        </w:tc>
        <w:tc>
          <w:tcPr>
            <w:tcW w:w="2977" w:type="dxa"/>
            <w:vAlign w:val="center"/>
          </w:tcPr>
          <w:p w:rsidR="00A62673" w:rsidRPr="00C1648E" w:rsidRDefault="00A62673" w:rsidP="006B315F">
            <w:pPr>
              <w:jc w:val="right"/>
              <w:rPr>
                <w:color w:val="000000"/>
                <w:sz w:val="24"/>
              </w:rPr>
            </w:pPr>
            <w:r w:rsidRPr="00C1648E">
              <w:rPr>
                <w:color w:val="000000"/>
                <w:sz w:val="24"/>
              </w:rPr>
              <w:t>4,767,673.34</w:t>
            </w:r>
          </w:p>
        </w:tc>
        <w:tc>
          <w:tcPr>
            <w:tcW w:w="1843" w:type="dxa"/>
            <w:vAlign w:val="center"/>
          </w:tcPr>
          <w:p w:rsidR="00A62673" w:rsidRPr="00C1648E" w:rsidRDefault="00A62673" w:rsidP="006B315F">
            <w:pPr>
              <w:jc w:val="right"/>
              <w:rPr>
                <w:color w:val="000000"/>
                <w:sz w:val="24"/>
              </w:rPr>
            </w:pPr>
            <w:r w:rsidRPr="00C1648E">
              <w:rPr>
                <w:color w:val="000000"/>
                <w:sz w:val="24"/>
              </w:rPr>
              <w:t>0.42</w:t>
            </w:r>
          </w:p>
        </w:tc>
      </w:tr>
      <w:tr w:rsidR="00A62673" w:rsidRPr="00264E55" w:rsidTr="006B315F">
        <w:trPr>
          <w:jc w:val="center"/>
        </w:trPr>
        <w:tc>
          <w:tcPr>
            <w:tcW w:w="720" w:type="dxa"/>
            <w:vAlign w:val="center"/>
          </w:tcPr>
          <w:p w:rsidR="00A62673" w:rsidRPr="00C1648E" w:rsidRDefault="00A62673" w:rsidP="006B315F">
            <w:pPr>
              <w:spacing w:before="29" w:line="360" w:lineRule="auto"/>
              <w:ind w:left="17"/>
              <w:jc w:val="center"/>
              <w:rPr>
                <w:color w:val="000000"/>
                <w:sz w:val="24"/>
              </w:rPr>
            </w:pPr>
            <w:r w:rsidRPr="00C1648E">
              <w:rPr>
                <w:color w:val="000000"/>
                <w:sz w:val="24"/>
              </w:rPr>
              <w:t>8</w:t>
            </w:r>
          </w:p>
        </w:tc>
        <w:tc>
          <w:tcPr>
            <w:tcW w:w="3357" w:type="dxa"/>
            <w:vAlign w:val="center"/>
          </w:tcPr>
          <w:p w:rsidR="00A62673" w:rsidRPr="00C1648E" w:rsidRDefault="00A62673" w:rsidP="006B315F">
            <w:pPr>
              <w:jc w:val="left"/>
              <w:rPr>
                <w:sz w:val="24"/>
              </w:rPr>
            </w:pPr>
            <w:r w:rsidRPr="00C1648E">
              <w:rPr>
                <w:color w:val="000000"/>
                <w:sz w:val="24"/>
              </w:rPr>
              <w:t>合计</w:t>
            </w:r>
          </w:p>
        </w:tc>
        <w:tc>
          <w:tcPr>
            <w:tcW w:w="2977" w:type="dxa"/>
            <w:vAlign w:val="center"/>
          </w:tcPr>
          <w:p w:rsidR="00A62673" w:rsidRPr="00C1648E" w:rsidRDefault="00A62673" w:rsidP="006B315F">
            <w:pPr>
              <w:jc w:val="right"/>
              <w:rPr>
                <w:color w:val="000000"/>
                <w:sz w:val="24"/>
              </w:rPr>
            </w:pPr>
            <w:r w:rsidRPr="00C1648E">
              <w:rPr>
                <w:color w:val="000000"/>
                <w:sz w:val="24"/>
              </w:rPr>
              <w:t>1,138,617,408.65</w:t>
            </w:r>
          </w:p>
        </w:tc>
        <w:tc>
          <w:tcPr>
            <w:tcW w:w="1843" w:type="dxa"/>
            <w:vAlign w:val="center"/>
          </w:tcPr>
          <w:p w:rsidR="00A62673" w:rsidRPr="00C1648E" w:rsidRDefault="00A62673" w:rsidP="006B315F">
            <w:pPr>
              <w:jc w:val="right"/>
              <w:rPr>
                <w:color w:val="000000"/>
                <w:sz w:val="24"/>
              </w:rPr>
            </w:pPr>
            <w:r w:rsidRPr="00C1648E">
              <w:rPr>
                <w:color w:val="000000"/>
                <w:sz w:val="24"/>
              </w:rPr>
              <w:t>100.00</w:t>
            </w:r>
          </w:p>
        </w:tc>
      </w:tr>
    </w:tbl>
    <w:p w:rsidR="008624F9" w:rsidRDefault="008624F9" w:rsidP="008624F9">
      <w:pPr>
        <w:autoSpaceDE w:val="0"/>
        <w:autoSpaceDN w:val="0"/>
        <w:adjustRightInd w:val="0"/>
        <w:spacing w:line="360" w:lineRule="auto"/>
        <w:jc w:val="left"/>
        <w:rPr>
          <w:rFonts w:eastAsiaTheme="minorEastAsia"/>
          <w:b/>
          <w:color w:val="000000" w:themeColor="text1"/>
          <w:kern w:val="0"/>
          <w:sz w:val="24"/>
        </w:rPr>
      </w:pPr>
      <w:r w:rsidRPr="00105C87">
        <w:rPr>
          <w:rFonts w:eastAsiaTheme="minorEastAsia"/>
          <w:b/>
          <w:color w:val="000000" w:themeColor="text1"/>
          <w:kern w:val="0"/>
          <w:sz w:val="24"/>
        </w:rPr>
        <w:t xml:space="preserve">5.2 </w:t>
      </w:r>
      <w:r w:rsidRPr="00105C87">
        <w:rPr>
          <w:rFonts w:eastAsiaTheme="minorEastAsia"/>
          <w:b/>
          <w:color w:val="000000" w:themeColor="text1"/>
          <w:kern w:val="0"/>
          <w:sz w:val="24"/>
        </w:rPr>
        <w:t>报告期末按行业分类的股票投资组合</w:t>
      </w:r>
    </w:p>
    <w:p w:rsidR="008D2265" w:rsidRPr="008D2265" w:rsidRDefault="008D2265" w:rsidP="008624F9">
      <w:pPr>
        <w:autoSpaceDE w:val="0"/>
        <w:autoSpaceDN w:val="0"/>
        <w:adjustRightInd w:val="0"/>
        <w:spacing w:line="360" w:lineRule="auto"/>
        <w:jc w:val="left"/>
        <w:rPr>
          <w:rFonts w:eastAsiaTheme="minorEastAsia"/>
          <w:b/>
          <w:color w:val="000000" w:themeColor="text1"/>
          <w:kern w:val="0"/>
          <w:sz w:val="24"/>
        </w:rPr>
      </w:pPr>
      <w:r>
        <w:rPr>
          <w:rFonts w:eastAsiaTheme="minorEastAsia" w:hint="eastAsia"/>
          <w:b/>
          <w:color w:val="000000" w:themeColor="text1"/>
          <w:kern w:val="0"/>
          <w:sz w:val="24"/>
        </w:rPr>
        <w:t>5.2.1</w:t>
      </w:r>
      <w:r w:rsidRPr="008D2265">
        <w:rPr>
          <w:rFonts w:eastAsiaTheme="minorEastAsia" w:hint="eastAsia"/>
          <w:b/>
          <w:color w:val="000000" w:themeColor="text1"/>
          <w:kern w:val="0"/>
          <w:sz w:val="24"/>
        </w:rPr>
        <w:t>报告期末按行业分类的境内股票投资组合</w:t>
      </w:r>
    </w:p>
    <w:p w:rsidR="008624F9" w:rsidRPr="00105C87" w:rsidRDefault="008624F9" w:rsidP="008624F9">
      <w:pPr>
        <w:autoSpaceDE w:val="0"/>
        <w:autoSpaceDN w:val="0"/>
        <w:adjustRightInd w:val="0"/>
        <w:spacing w:line="360" w:lineRule="auto"/>
        <w:jc w:val="left"/>
        <w:rPr>
          <w:rFonts w:eastAsiaTheme="minorEastAsia"/>
          <w:b/>
          <w:color w:val="000000" w:themeColor="text1"/>
          <w:kern w:val="0"/>
          <w:sz w:val="24"/>
        </w:rPr>
      </w:pPr>
      <w:smartTag w:uri="urn:schemas-microsoft-com:office:smarttags" w:element="chsdate">
        <w:smartTagPr>
          <w:attr w:name="Year" w:val="1899"/>
          <w:attr w:name="Month" w:val="12"/>
          <w:attr w:name="Day" w:val="30"/>
          <w:attr w:name="IsLunarDate" w:val="False"/>
          <w:attr w:name="IsROCDate" w:val="False"/>
        </w:smartTagPr>
        <w:r w:rsidRPr="00105C87">
          <w:rPr>
            <w:rFonts w:eastAsiaTheme="minorEastAsia"/>
            <w:b/>
            <w:color w:val="000000" w:themeColor="text1"/>
            <w:kern w:val="0"/>
            <w:sz w:val="24"/>
          </w:rPr>
          <w:t>5.2.1</w:t>
        </w:r>
        <w:r w:rsidR="008D2265">
          <w:rPr>
            <w:rFonts w:eastAsiaTheme="minorEastAsia"/>
            <w:b/>
            <w:color w:val="000000" w:themeColor="text1"/>
            <w:kern w:val="0"/>
            <w:sz w:val="24"/>
          </w:rPr>
          <w:t>.1</w:t>
        </w:r>
      </w:smartTag>
      <w:r w:rsidRPr="00105C87">
        <w:rPr>
          <w:rFonts w:eastAsiaTheme="minorEastAsia"/>
          <w:b/>
          <w:color w:val="000000" w:themeColor="text1"/>
          <w:kern w:val="0"/>
          <w:sz w:val="24"/>
        </w:rPr>
        <w:t>积极投资按行业分类的股票投资组合</w:t>
      </w:r>
    </w:p>
    <w:tbl>
      <w:tblPr>
        <w:tblW w:w="873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624F9" w:rsidRPr="00105C87" w:rsidTr="004E2319">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占基金资产净值比例（％）</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autoSpaceDE w:val="0"/>
              <w:autoSpaceDN w:val="0"/>
              <w:adjustRightInd w:val="0"/>
              <w:spacing w:before="29" w:line="360" w:lineRule="auto"/>
              <w:ind w:left="15"/>
              <w:jc w:val="right"/>
              <w:rPr>
                <w:rFonts w:eastAsiaTheme="minorEastAsia"/>
                <w:color w:val="000000" w:themeColor="text1"/>
                <w:sz w:val="24"/>
              </w:rPr>
            </w:pPr>
            <w:r w:rsidRPr="00105C87">
              <w:rPr>
                <w:rFonts w:eastAsiaTheme="minorEastAsia"/>
                <w:color w:val="000000" w:themeColor="text1"/>
                <w:sz w:val="24"/>
              </w:rPr>
              <w:t>7,620,264.00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utoSpaceDE w:val="0"/>
              <w:autoSpaceDN w:val="0"/>
              <w:adjustRightInd w:val="0"/>
              <w:spacing w:before="29" w:line="360" w:lineRule="auto"/>
              <w:ind w:left="15"/>
              <w:jc w:val="right"/>
              <w:rPr>
                <w:rFonts w:eastAsiaTheme="minorEastAsia"/>
                <w:color w:val="000000" w:themeColor="text1"/>
                <w:sz w:val="24"/>
              </w:rPr>
            </w:pPr>
            <w:r w:rsidRPr="00105C87">
              <w:rPr>
                <w:rFonts w:eastAsiaTheme="minorEastAsia"/>
                <w:color w:val="000000" w:themeColor="text1"/>
                <w:sz w:val="24"/>
              </w:rPr>
              <w:t>0.67</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94,558,319.36</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8.36</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3,561,141.00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0.31</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12,534,198.80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1.11</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13,194,742.00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1.17</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13,153,056.87</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1.16</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8,778,690.20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0.78</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16,135,709.80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1.43</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3,474,456.00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0.31</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3,028,586.00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0.27</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176,039,164.03</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15.56</w:t>
            </w:r>
          </w:p>
        </w:tc>
      </w:tr>
    </w:tbl>
    <w:p w:rsidR="008624F9" w:rsidRPr="00105C87" w:rsidRDefault="008624F9" w:rsidP="008624F9">
      <w:pPr>
        <w:autoSpaceDE w:val="0"/>
        <w:autoSpaceDN w:val="0"/>
        <w:adjustRightInd w:val="0"/>
        <w:spacing w:line="360" w:lineRule="auto"/>
        <w:jc w:val="left"/>
        <w:rPr>
          <w:rFonts w:eastAsiaTheme="minorEastAsia"/>
          <w:b/>
          <w:color w:val="000000" w:themeColor="text1"/>
          <w:kern w:val="0"/>
          <w:sz w:val="24"/>
        </w:rPr>
      </w:pPr>
      <w:r w:rsidRPr="00105C87">
        <w:rPr>
          <w:rFonts w:eastAsiaTheme="minorEastAsia"/>
          <w:b/>
          <w:color w:val="000000" w:themeColor="text1"/>
          <w:kern w:val="0"/>
          <w:sz w:val="24"/>
        </w:rPr>
        <w:t>5.2.</w:t>
      </w:r>
      <w:r w:rsidR="008D2265">
        <w:rPr>
          <w:rFonts w:eastAsiaTheme="minorEastAsia"/>
          <w:b/>
          <w:color w:val="000000" w:themeColor="text1"/>
          <w:kern w:val="0"/>
          <w:sz w:val="24"/>
        </w:rPr>
        <w:t>1.</w:t>
      </w:r>
      <w:r w:rsidRPr="00105C87">
        <w:rPr>
          <w:rFonts w:eastAsiaTheme="minorEastAsia"/>
          <w:b/>
          <w:color w:val="000000" w:themeColor="text1"/>
          <w:kern w:val="0"/>
          <w:sz w:val="24"/>
        </w:rPr>
        <w:t>2</w:t>
      </w:r>
      <w:r w:rsidRPr="00105C87">
        <w:rPr>
          <w:rFonts w:eastAsiaTheme="minorEastAsia"/>
          <w:b/>
          <w:color w:val="000000" w:themeColor="text1"/>
          <w:kern w:val="0"/>
          <w:sz w:val="24"/>
        </w:rPr>
        <w:t>指数投资按行业分类的股票投资组合</w:t>
      </w:r>
    </w:p>
    <w:tbl>
      <w:tblPr>
        <w:tblW w:w="873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624F9" w:rsidRPr="00105C87" w:rsidTr="004E2319">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占基金资产净值比例（％）</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autoSpaceDE w:val="0"/>
              <w:autoSpaceDN w:val="0"/>
              <w:adjustRightInd w:val="0"/>
              <w:spacing w:before="29" w:line="360" w:lineRule="auto"/>
              <w:ind w:left="15"/>
              <w:jc w:val="right"/>
              <w:rPr>
                <w:rFonts w:eastAsiaTheme="minorEastAsia"/>
                <w:color w:val="000000" w:themeColor="text1"/>
                <w:sz w:val="24"/>
              </w:rPr>
            </w:pPr>
            <w:r w:rsidRPr="00105C87">
              <w:rPr>
                <w:rFonts w:eastAsiaTheme="minorEastAsia"/>
                <w:color w:val="000000" w:themeColor="text1"/>
                <w:sz w:val="24"/>
              </w:rPr>
              <w:t>2,978,489.80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utoSpaceDE w:val="0"/>
              <w:autoSpaceDN w:val="0"/>
              <w:adjustRightInd w:val="0"/>
              <w:spacing w:before="29" w:line="360" w:lineRule="auto"/>
              <w:ind w:left="15"/>
              <w:jc w:val="right"/>
              <w:rPr>
                <w:rFonts w:eastAsiaTheme="minorEastAsia"/>
                <w:color w:val="000000" w:themeColor="text1"/>
                <w:sz w:val="24"/>
              </w:rPr>
            </w:pPr>
            <w:r w:rsidRPr="00105C87">
              <w:rPr>
                <w:rFonts w:eastAsiaTheme="minorEastAsia"/>
                <w:color w:val="000000" w:themeColor="text1"/>
                <w:sz w:val="24"/>
              </w:rPr>
              <w:t>0.26</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19,648,373.00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1.74</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321,810,544.91</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28.44</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12,449,660.00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1.10</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26,383,530.50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2.33</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17,621,448.48</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1.56</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21,409,290.20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1.89</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35,209,489.95</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3.11</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367,202,035.62</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32.45</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48,287,300.86</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4.27</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7,378,476.00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0.65</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4E231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4E2319">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880,378,639.32</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4E2319">
            <w:pPr>
              <w:jc w:val="right"/>
              <w:rPr>
                <w:rFonts w:eastAsiaTheme="minorEastAsia"/>
                <w:color w:val="000000" w:themeColor="text1"/>
                <w:sz w:val="24"/>
              </w:rPr>
            </w:pPr>
            <w:r w:rsidRPr="00105C87">
              <w:rPr>
                <w:rFonts w:eastAsiaTheme="minorEastAsia"/>
                <w:color w:val="000000" w:themeColor="text1"/>
                <w:sz w:val="24"/>
              </w:rPr>
              <w:t>77.80</w:t>
            </w:r>
          </w:p>
        </w:tc>
      </w:tr>
    </w:tbl>
    <w:p w:rsidR="00774C7D" w:rsidRPr="00EC5CE0" w:rsidRDefault="00774C7D" w:rsidP="00774C7D">
      <w:pPr>
        <w:autoSpaceDE w:val="0"/>
        <w:autoSpaceDN w:val="0"/>
        <w:adjustRightInd w:val="0"/>
        <w:spacing w:line="360" w:lineRule="auto"/>
        <w:jc w:val="left"/>
        <w:rPr>
          <w:rFonts w:ascii="宋体" w:cs="Arial"/>
          <w:b/>
          <w:color w:val="000000"/>
          <w:kern w:val="0"/>
          <w:sz w:val="24"/>
        </w:rPr>
      </w:pPr>
      <w:r w:rsidRPr="00EC5CE0">
        <w:rPr>
          <w:rFonts w:ascii="宋体" w:hAnsi="宋体" w:cs="Arial"/>
          <w:b/>
          <w:color w:val="000000"/>
          <w:kern w:val="0"/>
          <w:sz w:val="24"/>
        </w:rPr>
        <w:t>5.3</w:t>
      </w:r>
      <w:r w:rsidRPr="007F456A">
        <w:rPr>
          <w:rFonts w:ascii="宋体" w:hAnsi="宋体" w:cs="Arial" w:hint="eastAsia"/>
          <w:b/>
          <w:color w:val="000000"/>
          <w:kern w:val="0"/>
          <w:sz w:val="24"/>
        </w:rPr>
        <w:t>报告期末按公允价值占基金资产净值比例大小排序的股票投资明细</w:t>
      </w:r>
    </w:p>
    <w:p w:rsidR="00774C7D" w:rsidRPr="00045BEC" w:rsidRDefault="00774C7D" w:rsidP="00774C7D">
      <w:pPr>
        <w:spacing w:line="360" w:lineRule="auto"/>
        <w:rPr>
          <w:rFonts w:ascii="宋体"/>
          <w:b/>
          <w:sz w:val="24"/>
        </w:rPr>
      </w:pPr>
      <w:r w:rsidRPr="00045BEC">
        <w:rPr>
          <w:rFonts w:ascii="宋体" w:hAnsi="宋体" w:cs="Arial"/>
          <w:b/>
          <w:color w:val="000000"/>
          <w:kern w:val="0"/>
          <w:sz w:val="24"/>
        </w:rPr>
        <w:t>5.3.1</w:t>
      </w:r>
      <w:r w:rsidRPr="00045BEC">
        <w:rPr>
          <w:rFonts w:ascii="宋体" w:hAnsi="宋体" w:cs="Arial" w:hint="eastAsia"/>
          <w:b/>
          <w:color w:val="000000"/>
          <w:kern w:val="0"/>
          <w:sz w:val="24"/>
        </w:rPr>
        <w:t>期末</w:t>
      </w:r>
      <w:r w:rsidRPr="00045BEC">
        <w:rPr>
          <w:rFonts w:ascii="宋体" w:hAnsi="宋体" w:hint="eastAsia"/>
          <w:b/>
          <w:sz w:val="24"/>
        </w:rPr>
        <w:t>指数投资按公允价值占基金资产净值比例大小排序的前十名股票投资明细</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559"/>
        <w:gridCol w:w="1843"/>
        <w:gridCol w:w="2268"/>
        <w:gridCol w:w="1134"/>
      </w:tblGrid>
      <w:tr w:rsidR="00774C7D" w:rsidRPr="00EC5CE0" w:rsidTr="00573C43">
        <w:tc>
          <w:tcPr>
            <w:tcW w:w="817" w:type="dxa"/>
            <w:vAlign w:val="center"/>
          </w:tcPr>
          <w:p w:rsidR="00774C7D" w:rsidRPr="00C1648E" w:rsidRDefault="00774C7D" w:rsidP="00573C43">
            <w:pPr>
              <w:spacing w:before="29" w:line="360" w:lineRule="auto"/>
              <w:ind w:left="17"/>
              <w:jc w:val="center"/>
              <w:rPr>
                <w:color w:val="000000"/>
                <w:sz w:val="24"/>
              </w:rPr>
            </w:pPr>
            <w:r w:rsidRPr="00C1648E">
              <w:rPr>
                <w:color w:val="000000"/>
                <w:sz w:val="24"/>
              </w:rPr>
              <w:t>序号</w:t>
            </w:r>
          </w:p>
        </w:tc>
        <w:tc>
          <w:tcPr>
            <w:tcW w:w="1276" w:type="dxa"/>
            <w:vAlign w:val="center"/>
          </w:tcPr>
          <w:p w:rsidR="00774C7D" w:rsidRPr="00C1648E" w:rsidRDefault="00774C7D" w:rsidP="00573C43">
            <w:pPr>
              <w:spacing w:before="29" w:line="360" w:lineRule="auto"/>
              <w:ind w:left="17"/>
              <w:jc w:val="center"/>
              <w:rPr>
                <w:color w:val="000000"/>
                <w:sz w:val="24"/>
              </w:rPr>
            </w:pPr>
            <w:r w:rsidRPr="00C1648E">
              <w:rPr>
                <w:color w:val="000000"/>
                <w:sz w:val="24"/>
              </w:rPr>
              <w:t>股票代码</w:t>
            </w:r>
          </w:p>
        </w:tc>
        <w:tc>
          <w:tcPr>
            <w:tcW w:w="1559" w:type="dxa"/>
            <w:vAlign w:val="center"/>
          </w:tcPr>
          <w:p w:rsidR="00774C7D" w:rsidRPr="00C1648E" w:rsidRDefault="00774C7D" w:rsidP="00573C43">
            <w:pPr>
              <w:spacing w:before="29" w:line="360" w:lineRule="auto"/>
              <w:ind w:left="17"/>
              <w:jc w:val="center"/>
              <w:rPr>
                <w:color w:val="000000"/>
                <w:sz w:val="24"/>
              </w:rPr>
            </w:pPr>
            <w:r w:rsidRPr="00C1648E">
              <w:rPr>
                <w:color w:val="000000"/>
                <w:sz w:val="24"/>
              </w:rPr>
              <w:t>股票名称</w:t>
            </w:r>
          </w:p>
        </w:tc>
        <w:tc>
          <w:tcPr>
            <w:tcW w:w="1843" w:type="dxa"/>
            <w:vAlign w:val="center"/>
          </w:tcPr>
          <w:p w:rsidR="00774C7D" w:rsidRPr="00C1648E" w:rsidRDefault="00774C7D" w:rsidP="00573C43">
            <w:pPr>
              <w:spacing w:before="29" w:line="360" w:lineRule="auto"/>
              <w:ind w:left="17"/>
              <w:jc w:val="center"/>
              <w:rPr>
                <w:color w:val="000000"/>
                <w:sz w:val="24"/>
              </w:rPr>
            </w:pPr>
            <w:r w:rsidRPr="00C1648E">
              <w:rPr>
                <w:color w:val="000000"/>
                <w:sz w:val="24"/>
              </w:rPr>
              <w:t>数量（股）</w:t>
            </w:r>
          </w:p>
        </w:tc>
        <w:tc>
          <w:tcPr>
            <w:tcW w:w="2268" w:type="dxa"/>
            <w:vAlign w:val="center"/>
          </w:tcPr>
          <w:p w:rsidR="00774C7D" w:rsidRPr="00C1648E" w:rsidRDefault="00774C7D" w:rsidP="00573C43">
            <w:pPr>
              <w:autoSpaceDE w:val="0"/>
              <w:autoSpaceDN w:val="0"/>
              <w:adjustRightInd w:val="0"/>
              <w:spacing w:before="29" w:line="360" w:lineRule="auto"/>
              <w:ind w:left="17"/>
              <w:jc w:val="center"/>
              <w:rPr>
                <w:color w:val="000000"/>
                <w:sz w:val="24"/>
              </w:rPr>
            </w:pPr>
            <w:r w:rsidRPr="00C1648E">
              <w:rPr>
                <w:color w:val="000000"/>
                <w:sz w:val="24"/>
              </w:rPr>
              <w:t>公允价值（元）</w:t>
            </w:r>
          </w:p>
        </w:tc>
        <w:tc>
          <w:tcPr>
            <w:tcW w:w="1134" w:type="dxa"/>
            <w:vAlign w:val="center"/>
          </w:tcPr>
          <w:p w:rsidR="00774C7D" w:rsidRPr="00C1648E" w:rsidRDefault="00774C7D" w:rsidP="00573C43">
            <w:pPr>
              <w:spacing w:before="29" w:line="360" w:lineRule="auto"/>
              <w:ind w:left="17"/>
              <w:jc w:val="center"/>
              <w:rPr>
                <w:color w:val="000000"/>
                <w:sz w:val="24"/>
              </w:rPr>
            </w:pPr>
            <w:r w:rsidRPr="00C1648E">
              <w:rPr>
                <w:color w:val="000000"/>
                <w:sz w:val="24"/>
              </w:rPr>
              <w:t>占基金资产净值比例</w:t>
            </w:r>
            <w:r w:rsidRPr="00C1648E">
              <w:rPr>
                <w:color w:val="000000"/>
                <w:sz w:val="24"/>
              </w:rPr>
              <w:t>(</w:t>
            </w:r>
            <w:r w:rsidRPr="00C1648E">
              <w:rPr>
                <w:color w:val="000000"/>
                <w:sz w:val="24"/>
              </w:rPr>
              <w:t>％</w:t>
            </w:r>
            <w:r w:rsidRPr="00C1648E">
              <w:rPr>
                <w:color w:val="000000"/>
                <w:sz w:val="24"/>
              </w:rPr>
              <w:t>)</w:t>
            </w:r>
          </w:p>
        </w:tc>
      </w:tr>
      <w:tr w:rsidR="003469A5">
        <w:tc>
          <w:tcPr>
            <w:tcW w:w="817" w:type="dxa"/>
            <w:vAlign w:val="center"/>
          </w:tcPr>
          <w:p w:rsidR="003469A5" w:rsidRDefault="00541837">
            <w:pPr>
              <w:jc w:val="center"/>
            </w:pPr>
            <w:r>
              <w:rPr>
                <w:color w:val="000000"/>
                <w:sz w:val="24"/>
              </w:rPr>
              <w:t>1</w:t>
            </w:r>
          </w:p>
        </w:tc>
        <w:tc>
          <w:tcPr>
            <w:tcW w:w="1276" w:type="dxa"/>
            <w:vAlign w:val="center"/>
          </w:tcPr>
          <w:p w:rsidR="003469A5" w:rsidRDefault="00541837">
            <w:pPr>
              <w:jc w:val="center"/>
            </w:pPr>
            <w:r>
              <w:rPr>
                <w:color w:val="000000"/>
                <w:sz w:val="24"/>
              </w:rPr>
              <w:t>601318</w:t>
            </w:r>
          </w:p>
        </w:tc>
        <w:tc>
          <w:tcPr>
            <w:tcW w:w="1559" w:type="dxa"/>
            <w:vAlign w:val="center"/>
          </w:tcPr>
          <w:p w:rsidR="003469A5" w:rsidRDefault="00541837">
            <w:pPr>
              <w:jc w:val="center"/>
            </w:pPr>
            <w:r>
              <w:rPr>
                <w:color w:val="000000"/>
                <w:sz w:val="24"/>
              </w:rPr>
              <w:t>中国平安</w:t>
            </w:r>
          </w:p>
        </w:tc>
        <w:tc>
          <w:tcPr>
            <w:tcW w:w="1843" w:type="dxa"/>
            <w:vAlign w:val="center"/>
          </w:tcPr>
          <w:p w:rsidR="003469A5" w:rsidRDefault="00541837">
            <w:pPr>
              <w:jc w:val="right"/>
            </w:pPr>
            <w:r>
              <w:rPr>
                <w:color w:val="000000"/>
                <w:sz w:val="24"/>
              </w:rPr>
              <w:t>863,741</w:t>
            </w:r>
          </w:p>
        </w:tc>
        <w:tc>
          <w:tcPr>
            <w:tcW w:w="2268" w:type="dxa"/>
            <w:vAlign w:val="center"/>
          </w:tcPr>
          <w:p w:rsidR="003469A5" w:rsidRDefault="00541837">
            <w:pPr>
              <w:jc w:val="right"/>
            </w:pPr>
            <w:r>
              <w:rPr>
                <w:color w:val="000000"/>
                <w:sz w:val="24"/>
              </w:rPr>
              <w:t>75,180,016.64</w:t>
            </w:r>
          </w:p>
        </w:tc>
        <w:tc>
          <w:tcPr>
            <w:tcW w:w="1134" w:type="dxa"/>
            <w:vAlign w:val="center"/>
          </w:tcPr>
          <w:p w:rsidR="003469A5" w:rsidRDefault="00541837">
            <w:pPr>
              <w:jc w:val="right"/>
            </w:pPr>
            <w:r>
              <w:rPr>
                <w:color w:val="000000"/>
                <w:sz w:val="24"/>
              </w:rPr>
              <w:t>6.64</w:t>
            </w:r>
          </w:p>
        </w:tc>
      </w:tr>
      <w:tr w:rsidR="003469A5">
        <w:tc>
          <w:tcPr>
            <w:tcW w:w="817" w:type="dxa"/>
            <w:vAlign w:val="center"/>
          </w:tcPr>
          <w:p w:rsidR="003469A5" w:rsidRDefault="00541837">
            <w:pPr>
              <w:jc w:val="center"/>
            </w:pPr>
            <w:r>
              <w:rPr>
                <w:color w:val="000000"/>
                <w:sz w:val="24"/>
              </w:rPr>
              <w:t>2</w:t>
            </w:r>
          </w:p>
        </w:tc>
        <w:tc>
          <w:tcPr>
            <w:tcW w:w="1276" w:type="dxa"/>
            <w:vAlign w:val="center"/>
          </w:tcPr>
          <w:p w:rsidR="003469A5" w:rsidRDefault="00541837">
            <w:pPr>
              <w:jc w:val="center"/>
            </w:pPr>
            <w:r>
              <w:rPr>
                <w:color w:val="000000"/>
                <w:sz w:val="24"/>
              </w:rPr>
              <w:t>600519</w:t>
            </w:r>
          </w:p>
        </w:tc>
        <w:tc>
          <w:tcPr>
            <w:tcW w:w="1559" w:type="dxa"/>
            <w:vAlign w:val="center"/>
          </w:tcPr>
          <w:p w:rsidR="003469A5" w:rsidRDefault="00541837">
            <w:pPr>
              <w:jc w:val="center"/>
            </w:pPr>
            <w:r>
              <w:rPr>
                <w:color w:val="000000"/>
                <w:sz w:val="24"/>
              </w:rPr>
              <w:t>贵州茅台</w:t>
            </w:r>
          </w:p>
        </w:tc>
        <w:tc>
          <w:tcPr>
            <w:tcW w:w="1843" w:type="dxa"/>
            <w:vAlign w:val="center"/>
          </w:tcPr>
          <w:p w:rsidR="003469A5" w:rsidRDefault="00541837">
            <w:pPr>
              <w:jc w:val="right"/>
            </w:pPr>
            <w:r>
              <w:rPr>
                <w:color w:val="000000"/>
                <w:sz w:val="24"/>
              </w:rPr>
              <w:t>42,830</w:t>
            </w:r>
          </w:p>
        </w:tc>
        <w:tc>
          <w:tcPr>
            <w:tcW w:w="2268" w:type="dxa"/>
            <w:vAlign w:val="center"/>
          </w:tcPr>
          <w:p w:rsidR="003469A5" w:rsidRDefault="00541837">
            <w:pPr>
              <w:jc w:val="right"/>
            </w:pPr>
            <w:r>
              <w:rPr>
                <w:color w:val="000000"/>
                <w:sz w:val="24"/>
              </w:rPr>
              <w:t>49,254,500.00</w:t>
            </w:r>
          </w:p>
        </w:tc>
        <w:tc>
          <w:tcPr>
            <w:tcW w:w="1134" w:type="dxa"/>
            <w:vAlign w:val="center"/>
          </w:tcPr>
          <w:p w:rsidR="003469A5" w:rsidRDefault="00541837">
            <w:pPr>
              <w:jc w:val="right"/>
            </w:pPr>
            <w:r>
              <w:rPr>
                <w:color w:val="000000"/>
                <w:sz w:val="24"/>
              </w:rPr>
              <w:t>4.35</w:t>
            </w:r>
          </w:p>
        </w:tc>
      </w:tr>
      <w:tr w:rsidR="003469A5">
        <w:tc>
          <w:tcPr>
            <w:tcW w:w="817" w:type="dxa"/>
            <w:vAlign w:val="center"/>
          </w:tcPr>
          <w:p w:rsidR="003469A5" w:rsidRDefault="00541837">
            <w:pPr>
              <w:jc w:val="center"/>
            </w:pPr>
            <w:r>
              <w:rPr>
                <w:color w:val="000000"/>
                <w:sz w:val="24"/>
              </w:rPr>
              <w:t>3</w:t>
            </w:r>
          </w:p>
        </w:tc>
        <w:tc>
          <w:tcPr>
            <w:tcW w:w="1276" w:type="dxa"/>
            <w:vAlign w:val="center"/>
          </w:tcPr>
          <w:p w:rsidR="003469A5" w:rsidRDefault="00541837">
            <w:pPr>
              <w:jc w:val="center"/>
            </w:pPr>
            <w:r>
              <w:rPr>
                <w:color w:val="000000"/>
                <w:sz w:val="24"/>
              </w:rPr>
              <w:t>600000</w:t>
            </w:r>
          </w:p>
        </w:tc>
        <w:tc>
          <w:tcPr>
            <w:tcW w:w="1559" w:type="dxa"/>
            <w:vAlign w:val="center"/>
          </w:tcPr>
          <w:p w:rsidR="003469A5" w:rsidRDefault="00541837">
            <w:pPr>
              <w:jc w:val="center"/>
            </w:pPr>
            <w:r>
              <w:rPr>
                <w:color w:val="000000"/>
                <w:sz w:val="24"/>
              </w:rPr>
              <w:t>浦发银行</w:t>
            </w:r>
          </w:p>
        </w:tc>
        <w:tc>
          <w:tcPr>
            <w:tcW w:w="1843" w:type="dxa"/>
            <w:vAlign w:val="center"/>
          </w:tcPr>
          <w:p w:rsidR="003469A5" w:rsidRDefault="00541837">
            <w:pPr>
              <w:jc w:val="right"/>
            </w:pPr>
            <w:r>
              <w:rPr>
                <w:color w:val="000000"/>
                <w:sz w:val="24"/>
              </w:rPr>
              <w:t>2,383,100</w:t>
            </w:r>
          </w:p>
        </w:tc>
        <w:tc>
          <w:tcPr>
            <w:tcW w:w="2268" w:type="dxa"/>
            <w:vAlign w:val="center"/>
          </w:tcPr>
          <w:p w:rsidR="003469A5" w:rsidRDefault="00541837">
            <w:pPr>
              <w:jc w:val="right"/>
            </w:pPr>
            <w:r>
              <w:rPr>
                <w:color w:val="000000"/>
                <w:sz w:val="24"/>
              </w:rPr>
              <w:t>28,215,904.00</w:t>
            </w:r>
          </w:p>
        </w:tc>
        <w:tc>
          <w:tcPr>
            <w:tcW w:w="1134" w:type="dxa"/>
            <w:vAlign w:val="center"/>
          </w:tcPr>
          <w:p w:rsidR="003469A5" w:rsidRDefault="00541837">
            <w:pPr>
              <w:jc w:val="right"/>
            </w:pPr>
            <w:r>
              <w:rPr>
                <w:color w:val="000000"/>
                <w:sz w:val="24"/>
              </w:rPr>
              <w:t>2.49</w:t>
            </w:r>
          </w:p>
        </w:tc>
      </w:tr>
      <w:tr w:rsidR="003469A5">
        <w:tc>
          <w:tcPr>
            <w:tcW w:w="817" w:type="dxa"/>
            <w:vAlign w:val="center"/>
          </w:tcPr>
          <w:p w:rsidR="003469A5" w:rsidRDefault="00541837">
            <w:pPr>
              <w:jc w:val="center"/>
            </w:pPr>
            <w:r>
              <w:rPr>
                <w:color w:val="000000"/>
                <w:sz w:val="24"/>
              </w:rPr>
              <w:t>4</w:t>
            </w:r>
          </w:p>
        </w:tc>
        <w:tc>
          <w:tcPr>
            <w:tcW w:w="1276" w:type="dxa"/>
            <w:vAlign w:val="center"/>
          </w:tcPr>
          <w:p w:rsidR="003469A5" w:rsidRDefault="00541837">
            <w:pPr>
              <w:jc w:val="center"/>
            </w:pPr>
            <w:r>
              <w:rPr>
                <w:color w:val="000000"/>
                <w:sz w:val="24"/>
              </w:rPr>
              <w:t>601328</w:t>
            </w:r>
          </w:p>
        </w:tc>
        <w:tc>
          <w:tcPr>
            <w:tcW w:w="1559" w:type="dxa"/>
            <w:vAlign w:val="center"/>
          </w:tcPr>
          <w:p w:rsidR="003469A5" w:rsidRDefault="00541837">
            <w:pPr>
              <w:jc w:val="center"/>
            </w:pPr>
            <w:r>
              <w:rPr>
                <w:color w:val="000000"/>
                <w:sz w:val="24"/>
              </w:rPr>
              <w:t>交通银行</w:t>
            </w:r>
          </w:p>
        </w:tc>
        <w:tc>
          <w:tcPr>
            <w:tcW w:w="1843" w:type="dxa"/>
            <w:vAlign w:val="center"/>
          </w:tcPr>
          <w:p w:rsidR="003469A5" w:rsidRDefault="00541837">
            <w:pPr>
              <w:jc w:val="right"/>
            </w:pPr>
            <w:r>
              <w:rPr>
                <w:color w:val="000000"/>
                <w:sz w:val="24"/>
              </w:rPr>
              <w:t>4,745,700</w:t>
            </w:r>
          </w:p>
        </w:tc>
        <w:tc>
          <w:tcPr>
            <w:tcW w:w="2268" w:type="dxa"/>
            <w:vAlign w:val="center"/>
          </w:tcPr>
          <w:p w:rsidR="003469A5" w:rsidRDefault="00541837">
            <w:pPr>
              <w:jc w:val="right"/>
            </w:pPr>
            <w:r>
              <w:rPr>
                <w:color w:val="000000"/>
                <w:sz w:val="24"/>
              </w:rPr>
              <w:t>25,864,065.00</w:t>
            </w:r>
          </w:p>
        </w:tc>
        <w:tc>
          <w:tcPr>
            <w:tcW w:w="1134" w:type="dxa"/>
            <w:vAlign w:val="center"/>
          </w:tcPr>
          <w:p w:rsidR="003469A5" w:rsidRDefault="00541837">
            <w:pPr>
              <w:jc w:val="right"/>
            </w:pPr>
            <w:r>
              <w:rPr>
                <w:color w:val="000000"/>
                <w:sz w:val="24"/>
              </w:rPr>
              <w:t>2.29</w:t>
            </w:r>
          </w:p>
        </w:tc>
      </w:tr>
      <w:tr w:rsidR="003469A5">
        <w:tc>
          <w:tcPr>
            <w:tcW w:w="817" w:type="dxa"/>
            <w:vAlign w:val="center"/>
          </w:tcPr>
          <w:p w:rsidR="003469A5" w:rsidRDefault="00541837">
            <w:pPr>
              <w:jc w:val="center"/>
            </w:pPr>
            <w:r>
              <w:rPr>
                <w:color w:val="000000"/>
                <w:sz w:val="24"/>
              </w:rPr>
              <w:t>5</w:t>
            </w:r>
          </w:p>
        </w:tc>
        <w:tc>
          <w:tcPr>
            <w:tcW w:w="1276" w:type="dxa"/>
            <w:vAlign w:val="center"/>
          </w:tcPr>
          <w:p w:rsidR="003469A5" w:rsidRDefault="00541837">
            <w:pPr>
              <w:jc w:val="center"/>
            </w:pPr>
            <w:r>
              <w:rPr>
                <w:color w:val="000000"/>
                <w:sz w:val="24"/>
              </w:rPr>
              <w:t>600036</w:t>
            </w:r>
          </w:p>
        </w:tc>
        <w:tc>
          <w:tcPr>
            <w:tcW w:w="1559" w:type="dxa"/>
            <w:vAlign w:val="center"/>
          </w:tcPr>
          <w:p w:rsidR="003469A5" w:rsidRDefault="00541837">
            <w:pPr>
              <w:jc w:val="center"/>
            </w:pPr>
            <w:r>
              <w:rPr>
                <w:color w:val="000000"/>
                <w:sz w:val="24"/>
              </w:rPr>
              <w:t>招商银行</w:t>
            </w:r>
          </w:p>
        </w:tc>
        <w:tc>
          <w:tcPr>
            <w:tcW w:w="1843" w:type="dxa"/>
            <w:vAlign w:val="center"/>
          </w:tcPr>
          <w:p w:rsidR="003469A5" w:rsidRDefault="00541837">
            <w:pPr>
              <w:jc w:val="right"/>
            </w:pPr>
            <w:r>
              <w:rPr>
                <w:color w:val="000000"/>
                <w:sz w:val="24"/>
              </w:rPr>
              <w:t>744,000</w:t>
            </w:r>
          </w:p>
        </w:tc>
        <w:tc>
          <w:tcPr>
            <w:tcW w:w="2268" w:type="dxa"/>
            <w:vAlign w:val="center"/>
          </w:tcPr>
          <w:p w:rsidR="003469A5" w:rsidRDefault="00541837">
            <w:pPr>
              <w:jc w:val="right"/>
            </w:pPr>
            <w:r>
              <w:rPr>
                <w:color w:val="000000"/>
                <w:sz w:val="24"/>
              </w:rPr>
              <w:t>25,854,000.00</w:t>
            </w:r>
          </w:p>
        </w:tc>
        <w:tc>
          <w:tcPr>
            <w:tcW w:w="1134" w:type="dxa"/>
            <w:vAlign w:val="center"/>
          </w:tcPr>
          <w:p w:rsidR="003469A5" w:rsidRDefault="00541837">
            <w:pPr>
              <w:jc w:val="right"/>
            </w:pPr>
            <w:r>
              <w:rPr>
                <w:color w:val="000000"/>
                <w:sz w:val="24"/>
              </w:rPr>
              <w:t>2.28</w:t>
            </w:r>
          </w:p>
        </w:tc>
      </w:tr>
      <w:tr w:rsidR="003469A5">
        <w:tc>
          <w:tcPr>
            <w:tcW w:w="817" w:type="dxa"/>
            <w:vAlign w:val="center"/>
          </w:tcPr>
          <w:p w:rsidR="003469A5" w:rsidRDefault="00541837">
            <w:pPr>
              <w:jc w:val="center"/>
            </w:pPr>
            <w:r>
              <w:rPr>
                <w:color w:val="000000"/>
                <w:sz w:val="24"/>
              </w:rPr>
              <w:t>6</w:t>
            </w:r>
          </w:p>
        </w:tc>
        <w:tc>
          <w:tcPr>
            <w:tcW w:w="1276" w:type="dxa"/>
            <w:vAlign w:val="center"/>
          </w:tcPr>
          <w:p w:rsidR="003469A5" w:rsidRDefault="00541837">
            <w:pPr>
              <w:jc w:val="center"/>
            </w:pPr>
            <w:r>
              <w:rPr>
                <w:color w:val="000000"/>
                <w:sz w:val="24"/>
              </w:rPr>
              <w:t>000333</w:t>
            </w:r>
          </w:p>
        </w:tc>
        <w:tc>
          <w:tcPr>
            <w:tcW w:w="1559" w:type="dxa"/>
            <w:vAlign w:val="center"/>
          </w:tcPr>
          <w:p w:rsidR="003469A5" w:rsidRDefault="00541837">
            <w:pPr>
              <w:jc w:val="center"/>
            </w:pPr>
            <w:r>
              <w:rPr>
                <w:color w:val="000000"/>
                <w:sz w:val="24"/>
              </w:rPr>
              <w:t>美的集团</w:t>
            </w:r>
          </w:p>
        </w:tc>
        <w:tc>
          <w:tcPr>
            <w:tcW w:w="1843" w:type="dxa"/>
            <w:vAlign w:val="center"/>
          </w:tcPr>
          <w:p w:rsidR="003469A5" w:rsidRDefault="00541837">
            <w:pPr>
              <w:jc w:val="right"/>
            </w:pPr>
            <w:r>
              <w:rPr>
                <w:color w:val="000000"/>
                <w:sz w:val="24"/>
              </w:rPr>
              <w:t>503,137</w:t>
            </w:r>
          </w:p>
        </w:tc>
        <w:tc>
          <w:tcPr>
            <w:tcW w:w="2268" w:type="dxa"/>
            <w:vAlign w:val="center"/>
          </w:tcPr>
          <w:p w:rsidR="003469A5" w:rsidRDefault="00541837">
            <w:pPr>
              <w:jc w:val="right"/>
            </w:pPr>
            <w:r>
              <w:rPr>
                <w:color w:val="000000"/>
                <w:sz w:val="24"/>
              </w:rPr>
              <w:t>25,710,300.70</w:t>
            </w:r>
          </w:p>
        </w:tc>
        <w:tc>
          <w:tcPr>
            <w:tcW w:w="1134" w:type="dxa"/>
            <w:vAlign w:val="center"/>
          </w:tcPr>
          <w:p w:rsidR="003469A5" w:rsidRDefault="00541837">
            <w:pPr>
              <w:jc w:val="right"/>
            </w:pPr>
            <w:r>
              <w:rPr>
                <w:color w:val="000000"/>
                <w:sz w:val="24"/>
              </w:rPr>
              <w:t>2.27</w:t>
            </w:r>
          </w:p>
        </w:tc>
      </w:tr>
      <w:tr w:rsidR="003469A5">
        <w:tc>
          <w:tcPr>
            <w:tcW w:w="817" w:type="dxa"/>
            <w:vAlign w:val="center"/>
          </w:tcPr>
          <w:p w:rsidR="003469A5" w:rsidRDefault="00541837">
            <w:pPr>
              <w:jc w:val="center"/>
            </w:pPr>
            <w:r>
              <w:rPr>
                <w:color w:val="000000"/>
                <w:sz w:val="24"/>
              </w:rPr>
              <w:t>7</w:t>
            </w:r>
          </w:p>
        </w:tc>
        <w:tc>
          <w:tcPr>
            <w:tcW w:w="1276" w:type="dxa"/>
            <w:vAlign w:val="center"/>
          </w:tcPr>
          <w:p w:rsidR="003469A5" w:rsidRDefault="00541837">
            <w:pPr>
              <w:jc w:val="center"/>
            </w:pPr>
            <w:r>
              <w:rPr>
                <w:color w:val="000000"/>
                <w:sz w:val="24"/>
              </w:rPr>
              <w:t>000858</w:t>
            </w:r>
          </w:p>
        </w:tc>
        <w:tc>
          <w:tcPr>
            <w:tcW w:w="1559" w:type="dxa"/>
            <w:vAlign w:val="center"/>
          </w:tcPr>
          <w:p w:rsidR="003469A5" w:rsidRDefault="00541837">
            <w:pPr>
              <w:jc w:val="center"/>
            </w:pPr>
            <w:r>
              <w:rPr>
                <w:color w:val="000000"/>
                <w:sz w:val="24"/>
              </w:rPr>
              <w:t>五粮液</w:t>
            </w:r>
          </w:p>
        </w:tc>
        <w:tc>
          <w:tcPr>
            <w:tcW w:w="1843" w:type="dxa"/>
            <w:vAlign w:val="center"/>
          </w:tcPr>
          <w:p w:rsidR="003469A5" w:rsidRDefault="00541837">
            <w:pPr>
              <w:jc w:val="right"/>
            </w:pPr>
            <w:r>
              <w:rPr>
                <w:color w:val="000000"/>
                <w:sz w:val="24"/>
              </w:rPr>
              <w:t>174,900</w:t>
            </w:r>
          </w:p>
        </w:tc>
        <w:tc>
          <w:tcPr>
            <w:tcW w:w="2268" w:type="dxa"/>
            <w:vAlign w:val="center"/>
          </w:tcPr>
          <w:p w:rsidR="003469A5" w:rsidRDefault="00541837">
            <w:pPr>
              <w:jc w:val="right"/>
            </w:pPr>
            <w:r>
              <w:rPr>
                <w:color w:val="000000"/>
                <w:sz w:val="24"/>
              </w:rPr>
              <w:t>22,702,020.00</w:t>
            </w:r>
          </w:p>
        </w:tc>
        <w:tc>
          <w:tcPr>
            <w:tcW w:w="1134" w:type="dxa"/>
            <w:vAlign w:val="center"/>
          </w:tcPr>
          <w:p w:rsidR="003469A5" w:rsidRDefault="00541837">
            <w:pPr>
              <w:jc w:val="right"/>
            </w:pPr>
            <w:r>
              <w:rPr>
                <w:color w:val="000000"/>
                <w:sz w:val="24"/>
              </w:rPr>
              <w:t>2.01</w:t>
            </w:r>
          </w:p>
        </w:tc>
      </w:tr>
      <w:tr w:rsidR="003469A5">
        <w:tc>
          <w:tcPr>
            <w:tcW w:w="817" w:type="dxa"/>
            <w:vAlign w:val="center"/>
          </w:tcPr>
          <w:p w:rsidR="003469A5" w:rsidRDefault="00541837">
            <w:pPr>
              <w:jc w:val="center"/>
            </w:pPr>
            <w:r>
              <w:rPr>
                <w:color w:val="000000"/>
                <w:sz w:val="24"/>
              </w:rPr>
              <w:t>8</w:t>
            </w:r>
          </w:p>
        </w:tc>
        <w:tc>
          <w:tcPr>
            <w:tcW w:w="1276" w:type="dxa"/>
            <w:vAlign w:val="center"/>
          </w:tcPr>
          <w:p w:rsidR="003469A5" w:rsidRDefault="00541837">
            <w:pPr>
              <w:jc w:val="center"/>
            </w:pPr>
            <w:r>
              <w:rPr>
                <w:color w:val="000000"/>
                <w:sz w:val="24"/>
              </w:rPr>
              <w:t>601336</w:t>
            </w:r>
          </w:p>
        </w:tc>
        <w:tc>
          <w:tcPr>
            <w:tcW w:w="1559" w:type="dxa"/>
            <w:vAlign w:val="center"/>
          </w:tcPr>
          <w:p w:rsidR="003469A5" w:rsidRDefault="00541837">
            <w:pPr>
              <w:jc w:val="center"/>
            </w:pPr>
            <w:r>
              <w:rPr>
                <w:color w:val="000000"/>
                <w:sz w:val="24"/>
              </w:rPr>
              <w:t>新华保险</w:t>
            </w:r>
          </w:p>
        </w:tc>
        <w:tc>
          <w:tcPr>
            <w:tcW w:w="1843" w:type="dxa"/>
            <w:vAlign w:val="center"/>
          </w:tcPr>
          <w:p w:rsidR="003469A5" w:rsidRDefault="00541837">
            <w:pPr>
              <w:jc w:val="right"/>
            </w:pPr>
            <w:r>
              <w:rPr>
                <w:color w:val="000000"/>
                <w:sz w:val="24"/>
              </w:rPr>
              <w:t>420,367</w:t>
            </w:r>
          </w:p>
        </w:tc>
        <w:tc>
          <w:tcPr>
            <w:tcW w:w="2268" w:type="dxa"/>
            <w:vAlign w:val="center"/>
          </w:tcPr>
          <w:p w:rsidR="003469A5" w:rsidRDefault="00541837">
            <w:pPr>
              <w:jc w:val="right"/>
            </w:pPr>
            <w:r>
              <w:rPr>
                <w:color w:val="000000"/>
                <w:sz w:val="24"/>
              </w:rPr>
              <w:t>20,459,261.89</w:t>
            </w:r>
          </w:p>
        </w:tc>
        <w:tc>
          <w:tcPr>
            <w:tcW w:w="1134" w:type="dxa"/>
            <w:vAlign w:val="center"/>
          </w:tcPr>
          <w:p w:rsidR="003469A5" w:rsidRDefault="00541837">
            <w:pPr>
              <w:jc w:val="right"/>
            </w:pPr>
            <w:r>
              <w:rPr>
                <w:color w:val="000000"/>
                <w:sz w:val="24"/>
              </w:rPr>
              <w:t>1.81</w:t>
            </w:r>
          </w:p>
        </w:tc>
      </w:tr>
      <w:tr w:rsidR="003469A5">
        <w:tc>
          <w:tcPr>
            <w:tcW w:w="817" w:type="dxa"/>
            <w:vAlign w:val="center"/>
          </w:tcPr>
          <w:p w:rsidR="003469A5" w:rsidRDefault="00541837">
            <w:pPr>
              <w:jc w:val="center"/>
            </w:pPr>
            <w:r>
              <w:rPr>
                <w:color w:val="000000"/>
                <w:sz w:val="24"/>
              </w:rPr>
              <w:t>9</w:t>
            </w:r>
          </w:p>
        </w:tc>
        <w:tc>
          <w:tcPr>
            <w:tcW w:w="1276" w:type="dxa"/>
            <w:vAlign w:val="center"/>
          </w:tcPr>
          <w:p w:rsidR="003469A5" w:rsidRDefault="00541837">
            <w:pPr>
              <w:jc w:val="center"/>
            </w:pPr>
            <w:r>
              <w:rPr>
                <w:color w:val="000000"/>
                <w:sz w:val="24"/>
              </w:rPr>
              <w:t>601818</w:t>
            </w:r>
          </w:p>
        </w:tc>
        <w:tc>
          <w:tcPr>
            <w:tcW w:w="1559" w:type="dxa"/>
            <w:vAlign w:val="center"/>
          </w:tcPr>
          <w:p w:rsidR="003469A5" w:rsidRDefault="00541837">
            <w:pPr>
              <w:jc w:val="center"/>
            </w:pPr>
            <w:r>
              <w:rPr>
                <w:color w:val="000000"/>
                <w:sz w:val="24"/>
              </w:rPr>
              <w:t>光大银行</w:t>
            </w:r>
          </w:p>
        </w:tc>
        <w:tc>
          <w:tcPr>
            <w:tcW w:w="1843" w:type="dxa"/>
            <w:vAlign w:val="center"/>
          </w:tcPr>
          <w:p w:rsidR="003469A5" w:rsidRDefault="00541837">
            <w:pPr>
              <w:jc w:val="right"/>
            </w:pPr>
            <w:r>
              <w:rPr>
                <w:color w:val="000000"/>
                <w:sz w:val="24"/>
              </w:rPr>
              <w:t>5,086,700</w:t>
            </w:r>
          </w:p>
        </w:tc>
        <w:tc>
          <w:tcPr>
            <w:tcW w:w="2268" w:type="dxa"/>
            <w:vAlign w:val="center"/>
          </w:tcPr>
          <w:p w:rsidR="003469A5" w:rsidRDefault="00541837">
            <w:pPr>
              <w:jc w:val="right"/>
            </w:pPr>
            <w:r>
              <w:rPr>
                <w:color w:val="000000"/>
                <w:sz w:val="24"/>
              </w:rPr>
              <w:t>20,041,598.00</w:t>
            </w:r>
          </w:p>
        </w:tc>
        <w:tc>
          <w:tcPr>
            <w:tcW w:w="1134" w:type="dxa"/>
            <w:vAlign w:val="center"/>
          </w:tcPr>
          <w:p w:rsidR="003469A5" w:rsidRDefault="00541837">
            <w:pPr>
              <w:jc w:val="right"/>
            </w:pPr>
            <w:r>
              <w:rPr>
                <w:color w:val="000000"/>
                <w:sz w:val="24"/>
              </w:rPr>
              <w:t>1.77</w:t>
            </w:r>
          </w:p>
        </w:tc>
      </w:tr>
      <w:tr w:rsidR="003469A5">
        <w:tc>
          <w:tcPr>
            <w:tcW w:w="817" w:type="dxa"/>
            <w:vAlign w:val="center"/>
          </w:tcPr>
          <w:p w:rsidR="003469A5" w:rsidRDefault="00541837">
            <w:pPr>
              <w:jc w:val="center"/>
            </w:pPr>
            <w:r>
              <w:rPr>
                <w:color w:val="000000"/>
                <w:sz w:val="24"/>
              </w:rPr>
              <w:t>10</w:t>
            </w:r>
          </w:p>
        </w:tc>
        <w:tc>
          <w:tcPr>
            <w:tcW w:w="1276" w:type="dxa"/>
            <w:vAlign w:val="center"/>
          </w:tcPr>
          <w:p w:rsidR="003469A5" w:rsidRDefault="00541837">
            <w:pPr>
              <w:jc w:val="center"/>
            </w:pPr>
            <w:r>
              <w:rPr>
                <w:color w:val="000000"/>
                <w:sz w:val="24"/>
              </w:rPr>
              <w:t>600606</w:t>
            </w:r>
          </w:p>
        </w:tc>
        <w:tc>
          <w:tcPr>
            <w:tcW w:w="1559" w:type="dxa"/>
            <w:vAlign w:val="center"/>
          </w:tcPr>
          <w:p w:rsidR="003469A5" w:rsidRDefault="00541837">
            <w:pPr>
              <w:jc w:val="center"/>
            </w:pPr>
            <w:r>
              <w:rPr>
                <w:color w:val="000000"/>
                <w:sz w:val="24"/>
              </w:rPr>
              <w:t>绿地控股</w:t>
            </w:r>
          </w:p>
        </w:tc>
        <w:tc>
          <w:tcPr>
            <w:tcW w:w="1843" w:type="dxa"/>
            <w:vAlign w:val="center"/>
          </w:tcPr>
          <w:p w:rsidR="003469A5" w:rsidRDefault="00541837">
            <w:pPr>
              <w:jc w:val="right"/>
            </w:pPr>
            <w:r>
              <w:rPr>
                <w:color w:val="000000"/>
                <w:sz w:val="24"/>
              </w:rPr>
              <w:t>2,813,800</w:t>
            </w:r>
          </w:p>
        </w:tc>
        <w:tc>
          <w:tcPr>
            <w:tcW w:w="2268" w:type="dxa"/>
            <w:vAlign w:val="center"/>
          </w:tcPr>
          <w:p w:rsidR="003469A5" w:rsidRDefault="00541837">
            <w:pPr>
              <w:jc w:val="right"/>
            </w:pPr>
            <w:r>
              <w:rPr>
                <w:color w:val="000000"/>
                <w:sz w:val="24"/>
              </w:rPr>
              <w:t>19,865,428.00</w:t>
            </w:r>
          </w:p>
        </w:tc>
        <w:tc>
          <w:tcPr>
            <w:tcW w:w="1134" w:type="dxa"/>
            <w:vAlign w:val="center"/>
          </w:tcPr>
          <w:p w:rsidR="003469A5" w:rsidRDefault="00541837">
            <w:pPr>
              <w:jc w:val="right"/>
            </w:pPr>
            <w:r>
              <w:rPr>
                <w:color w:val="000000"/>
                <w:sz w:val="24"/>
              </w:rPr>
              <w:t>1.76</w:t>
            </w:r>
          </w:p>
        </w:tc>
      </w:tr>
    </w:tbl>
    <w:p w:rsidR="00774C7D" w:rsidRPr="00045BEC" w:rsidRDefault="00774C7D" w:rsidP="00774C7D">
      <w:pPr>
        <w:spacing w:line="360" w:lineRule="auto"/>
        <w:rPr>
          <w:rFonts w:ascii="宋体"/>
          <w:b/>
          <w:sz w:val="24"/>
        </w:rPr>
      </w:pPr>
      <w:r w:rsidRPr="00045BEC">
        <w:rPr>
          <w:rFonts w:ascii="宋体" w:hAnsi="宋体" w:cs="Arial"/>
          <w:b/>
          <w:color w:val="000000"/>
          <w:kern w:val="0"/>
          <w:sz w:val="24"/>
        </w:rPr>
        <w:t>5.3.2</w:t>
      </w:r>
      <w:r w:rsidRPr="00045BEC">
        <w:rPr>
          <w:rFonts w:ascii="宋体" w:hAnsi="宋体" w:cs="Arial" w:hint="eastAsia"/>
          <w:b/>
          <w:color w:val="000000"/>
          <w:kern w:val="0"/>
          <w:sz w:val="24"/>
        </w:rPr>
        <w:t>期末</w:t>
      </w:r>
      <w:r w:rsidRPr="00045BEC">
        <w:rPr>
          <w:rFonts w:ascii="宋体" w:hAnsi="宋体" w:hint="eastAsia"/>
          <w:b/>
          <w:sz w:val="24"/>
        </w:rPr>
        <w:t>积极投资按公允价值占基金资产净值比例大小排序的前五名股票投资明细</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843"/>
        <w:gridCol w:w="2126"/>
        <w:gridCol w:w="1134"/>
      </w:tblGrid>
      <w:tr w:rsidR="00774C7D" w:rsidRPr="00EC5CE0" w:rsidTr="00573C43">
        <w:tc>
          <w:tcPr>
            <w:tcW w:w="817" w:type="dxa"/>
            <w:vAlign w:val="center"/>
          </w:tcPr>
          <w:p w:rsidR="00774C7D" w:rsidRPr="00C1648E" w:rsidRDefault="00774C7D" w:rsidP="00573C43">
            <w:pPr>
              <w:spacing w:before="29" w:line="360" w:lineRule="auto"/>
              <w:ind w:left="17"/>
              <w:jc w:val="center"/>
              <w:rPr>
                <w:color w:val="000000"/>
                <w:sz w:val="24"/>
              </w:rPr>
            </w:pPr>
            <w:r w:rsidRPr="00C1648E">
              <w:rPr>
                <w:color w:val="000000"/>
                <w:sz w:val="24"/>
              </w:rPr>
              <w:t>序号</w:t>
            </w:r>
          </w:p>
        </w:tc>
        <w:tc>
          <w:tcPr>
            <w:tcW w:w="1276" w:type="dxa"/>
            <w:vAlign w:val="center"/>
          </w:tcPr>
          <w:p w:rsidR="00774C7D" w:rsidRPr="00C1648E" w:rsidRDefault="00774C7D" w:rsidP="00573C43">
            <w:pPr>
              <w:spacing w:before="29" w:line="360" w:lineRule="auto"/>
              <w:ind w:left="17"/>
              <w:jc w:val="center"/>
              <w:rPr>
                <w:color w:val="000000"/>
                <w:sz w:val="24"/>
              </w:rPr>
            </w:pPr>
            <w:r w:rsidRPr="00C1648E">
              <w:rPr>
                <w:color w:val="000000"/>
                <w:sz w:val="24"/>
              </w:rPr>
              <w:t>股票代码</w:t>
            </w:r>
          </w:p>
        </w:tc>
        <w:tc>
          <w:tcPr>
            <w:tcW w:w="1701" w:type="dxa"/>
            <w:vAlign w:val="center"/>
          </w:tcPr>
          <w:p w:rsidR="00774C7D" w:rsidRPr="00C1648E" w:rsidRDefault="00774C7D" w:rsidP="00573C43">
            <w:pPr>
              <w:spacing w:before="29" w:line="360" w:lineRule="auto"/>
              <w:ind w:left="17"/>
              <w:jc w:val="center"/>
              <w:rPr>
                <w:color w:val="000000"/>
                <w:sz w:val="24"/>
              </w:rPr>
            </w:pPr>
            <w:r w:rsidRPr="00C1648E">
              <w:rPr>
                <w:color w:val="000000"/>
                <w:sz w:val="24"/>
              </w:rPr>
              <w:t>股票名称</w:t>
            </w:r>
          </w:p>
        </w:tc>
        <w:tc>
          <w:tcPr>
            <w:tcW w:w="1843" w:type="dxa"/>
            <w:vAlign w:val="center"/>
          </w:tcPr>
          <w:p w:rsidR="00774C7D" w:rsidRPr="00C1648E" w:rsidRDefault="00774C7D" w:rsidP="00573C43">
            <w:pPr>
              <w:spacing w:before="29" w:line="360" w:lineRule="auto"/>
              <w:ind w:left="17"/>
              <w:jc w:val="center"/>
              <w:rPr>
                <w:color w:val="000000"/>
                <w:sz w:val="24"/>
              </w:rPr>
            </w:pPr>
            <w:r w:rsidRPr="00C1648E">
              <w:rPr>
                <w:color w:val="000000"/>
                <w:sz w:val="24"/>
              </w:rPr>
              <w:t>数量（股）</w:t>
            </w:r>
          </w:p>
        </w:tc>
        <w:tc>
          <w:tcPr>
            <w:tcW w:w="2126" w:type="dxa"/>
            <w:vAlign w:val="center"/>
          </w:tcPr>
          <w:p w:rsidR="00774C7D" w:rsidRPr="00C1648E" w:rsidRDefault="00774C7D" w:rsidP="00573C43">
            <w:pPr>
              <w:autoSpaceDE w:val="0"/>
              <w:autoSpaceDN w:val="0"/>
              <w:adjustRightInd w:val="0"/>
              <w:spacing w:before="29" w:line="360" w:lineRule="auto"/>
              <w:ind w:left="17"/>
              <w:jc w:val="center"/>
              <w:rPr>
                <w:color w:val="000000"/>
                <w:sz w:val="24"/>
              </w:rPr>
            </w:pPr>
            <w:r w:rsidRPr="00C1648E">
              <w:rPr>
                <w:color w:val="000000"/>
                <w:sz w:val="24"/>
              </w:rPr>
              <w:t>公允价值（元）</w:t>
            </w:r>
          </w:p>
        </w:tc>
        <w:tc>
          <w:tcPr>
            <w:tcW w:w="1134" w:type="dxa"/>
            <w:vAlign w:val="center"/>
          </w:tcPr>
          <w:p w:rsidR="00774C7D" w:rsidRPr="00C1648E" w:rsidRDefault="00774C7D" w:rsidP="00573C43">
            <w:pPr>
              <w:spacing w:before="29" w:line="360" w:lineRule="auto"/>
              <w:ind w:left="17"/>
              <w:jc w:val="center"/>
              <w:rPr>
                <w:color w:val="000000"/>
                <w:sz w:val="24"/>
              </w:rPr>
            </w:pPr>
            <w:r w:rsidRPr="00C1648E">
              <w:rPr>
                <w:color w:val="000000"/>
                <w:sz w:val="24"/>
              </w:rPr>
              <w:t>占基金资产净值比例</w:t>
            </w:r>
            <w:r w:rsidRPr="00C1648E">
              <w:rPr>
                <w:color w:val="000000"/>
                <w:sz w:val="24"/>
              </w:rPr>
              <w:t>(</w:t>
            </w:r>
            <w:r w:rsidRPr="00C1648E">
              <w:rPr>
                <w:color w:val="000000"/>
                <w:sz w:val="24"/>
              </w:rPr>
              <w:t>％</w:t>
            </w:r>
            <w:r w:rsidRPr="00C1648E">
              <w:rPr>
                <w:color w:val="000000"/>
                <w:sz w:val="24"/>
              </w:rPr>
              <w:t>)</w:t>
            </w:r>
          </w:p>
        </w:tc>
      </w:tr>
      <w:tr w:rsidR="003469A5">
        <w:tc>
          <w:tcPr>
            <w:tcW w:w="817" w:type="dxa"/>
            <w:vAlign w:val="center"/>
          </w:tcPr>
          <w:p w:rsidR="003469A5" w:rsidRDefault="00541837">
            <w:pPr>
              <w:jc w:val="center"/>
            </w:pPr>
            <w:r>
              <w:rPr>
                <w:color w:val="000000"/>
                <w:sz w:val="24"/>
              </w:rPr>
              <w:t>1</w:t>
            </w:r>
          </w:p>
        </w:tc>
        <w:tc>
          <w:tcPr>
            <w:tcW w:w="1276" w:type="dxa"/>
            <w:vAlign w:val="center"/>
          </w:tcPr>
          <w:p w:rsidR="003469A5" w:rsidRDefault="00541837">
            <w:pPr>
              <w:jc w:val="center"/>
            </w:pPr>
            <w:r>
              <w:rPr>
                <w:color w:val="000000"/>
                <w:sz w:val="24"/>
              </w:rPr>
              <w:t>600985</w:t>
            </w:r>
          </w:p>
        </w:tc>
        <w:tc>
          <w:tcPr>
            <w:tcW w:w="1701" w:type="dxa"/>
            <w:vAlign w:val="center"/>
          </w:tcPr>
          <w:p w:rsidR="003469A5" w:rsidRDefault="00541837">
            <w:pPr>
              <w:jc w:val="center"/>
            </w:pPr>
            <w:r>
              <w:rPr>
                <w:color w:val="000000"/>
                <w:sz w:val="24"/>
              </w:rPr>
              <w:t>淮北矿业</w:t>
            </w:r>
          </w:p>
        </w:tc>
        <w:tc>
          <w:tcPr>
            <w:tcW w:w="1843" w:type="dxa"/>
            <w:vAlign w:val="center"/>
          </w:tcPr>
          <w:p w:rsidR="003469A5" w:rsidRDefault="00541837">
            <w:pPr>
              <w:jc w:val="right"/>
            </w:pPr>
            <w:r>
              <w:rPr>
                <w:color w:val="000000"/>
                <w:sz w:val="24"/>
              </w:rPr>
              <w:t>1,100,300</w:t>
            </w:r>
          </w:p>
        </w:tc>
        <w:tc>
          <w:tcPr>
            <w:tcW w:w="2126" w:type="dxa"/>
            <w:vAlign w:val="center"/>
          </w:tcPr>
          <w:p w:rsidR="003469A5" w:rsidRDefault="00541837">
            <w:pPr>
              <w:jc w:val="right"/>
            </w:pPr>
            <w:r>
              <w:rPr>
                <w:color w:val="000000"/>
                <w:sz w:val="24"/>
              </w:rPr>
              <w:t>11,168,045.00</w:t>
            </w:r>
          </w:p>
        </w:tc>
        <w:tc>
          <w:tcPr>
            <w:tcW w:w="1134" w:type="dxa"/>
            <w:vAlign w:val="center"/>
          </w:tcPr>
          <w:p w:rsidR="003469A5" w:rsidRDefault="00541837">
            <w:pPr>
              <w:jc w:val="right"/>
            </w:pPr>
            <w:r>
              <w:rPr>
                <w:color w:val="000000"/>
                <w:sz w:val="24"/>
              </w:rPr>
              <w:t>0.99</w:t>
            </w:r>
          </w:p>
        </w:tc>
      </w:tr>
      <w:tr w:rsidR="003469A5">
        <w:tc>
          <w:tcPr>
            <w:tcW w:w="817" w:type="dxa"/>
            <w:vAlign w:val="center"/>
          </w:tcPr>
          <w:p w:rsidR="003469A5" w:rsidRDefault="00541837">
            <w:pPr>
              <w:jc w:val="center"/>
            </w:pPr>
            <w:r>
              <w:rPr>
                <w:color w:val="000000"/>
                <w:sz w:val="24"/>
              </w:rPr>
              <w:t>2</w:t>
            </w:r>
          </w:p>
        </w:tc>
        <w:tc>
          <w:tcPr>
            <w:tcW w:w="1276" w:type="dxa"/>
            <w:vAlign w:val="center"/>
          </w:tcPr>
          <w:p w:rsidR="003469A5" w:rsidRDefault="00541837">
            <w:pPr>
              <w:jc w:val="center"/>
            </w:pPr>
            <w:r>
              <w:rPr>
                <w:color w:val="000000"/>
                <w:sz w:val="24"/>
              </w:rPr>
              <w:t>600879</w:t>
            </w:r>
          </w:p>
        </w:tc>
        <w:tc>
          <w:tcPr>
            <w:tcW w:w="1701" w:type="dxa"/>
            <w:vAlign w:val="center"/>
          </w:tcPr>
          <w:p w:rsidR="003469A5" w:rsidRDefault="00541837">
            <w:pPr>
              <w:jc w:val="center"/>
            </w:pPr>
            <w:r>
              <w:rPr>
                <w:color w:val="000000"/>
                <w:sz w:val="24"/>
              </w:rPr>
              <w:t>航天电子</w:t>
            </w:r>
          </w:p>
        </w:tc>
        <w:tc>
          <w:tcPr>
            <w:tcW w:w="1843" w:type="dxa"/>
            <w:vAlign w:val="center"/>
          </w:tcPr>
          <w:p w:rsidR="003469A5" w:rsidRDefault="00541837">
            <w:pPr>
              <w:jc w:val="right"/>
            </w:pPr>
            <w:r>
              <w:rPr>
                <w:color w:val="000000"/>
                <w:sz w:val="24"/>
              </w:rPr>
              <w:t>1,691,300</w:t>
            </w:r>
          </w:p>
        </w:tc>
        <w:tc>
          <w:tcPr>
            <w:tcW w:w="2126" w:type="dxa"/>
            <w:vAlign w:val="center"/>
          </w:tcPr>
          <w:p w:rsidR="003469A5" w:rsidRDefault="00541837">
            <w:pPr>
              <w:jc w:val="right"/>
            </w:pPr>
            <w:r>
              <w:rPr>
                <w:color w:val="000000"/>
                <w:sz w:val="24"/>
              </w:rPr>
              <w:t>10,198,539.00</w:t>
            </w:r>
          </w:p>
        </w:tc>
        <w:tc>
          <w:tcPr>
            <w:tcW w:w="1134" w:type="dxa"/>
            <w:vAlign w:val="center"/>
          </w:tcPr>
          <w:p w:rsidR="003469A5" w:rsidRDefault="00541837">
            <w:pPr>
              <w:jc w:val="right"/>
            </w:pPr>
            <w:r>
              <w:rPr>
                <w:color w:val="000000"/>
                <w:sz w:val="24"/>
              </w:rPr>
              <w:t>0.90</w:t>
            </w:r>
          </w:p>
        </w:tc>
      </w:tr>
      <w:tr w:rsidR="003469A5">
        <w:tc>
          <w:tcPr>
            <w:tcW w:w="817" w:type="dxa"/>
            <w:vAlign w:val="center"/>
          </w:tcPr>
          <w:p w:rsidR="003469A5" w:rsidRDefault="00541837">
            <w:pPr>
              <w:jc w:val="center"/>
            </w:pPr>
            <w:r>
              <w:rPr>
                <w:color w:val="000000"/>
                <w:sz w:val="24"/>
              </w:rPr>
              <w:t>3</w:t>
            </w:r>
          </w:p>
        </w:tc>
        <w:tc>
          <w:tcPr>
            <w:tcW w:w="1276" w:type="dxa"/>
            <w:vAlign w:val="center"/>
          </w:tcPr>
          <w:p w:rsidR="003469A5" w:rsidRDefault="00541837">
            <w:pPr>
              <w:jc w:val="center"/>
            </w:pPr>
            <w:r>
              <w:rPr>
                <w:color w:val="000000"/>
                <w:sz w:val="24"/>
              </w:rPr>
              <w:t>600909</w:t>
            </w:r>
          </w:p>
        </w:tc>
        <w:tc>
          <w:tcPr>
            <w:tcW w:w="1701" w:type="dxa"/>
            <w:vAlign w:val="center"/>
          </w:tcPr>
          <w:p w:rsidR="003469A5" w:rsidRDefault="00541837">
            <w:pPr>
              <w:jc w:val="center"/>
            </w:pPr>
            <w:r>
              <w:rPr>
                <w:color w:val="000000"/>
                <w:sz w:val="24"/>
              </w:rPr>
              <w:t>华安证券</w:t>
            </w:r>
          </w:p>
        </w:tc>
        <w:tc>
          <w:tcPr>
            <w:tcW w:w="1843" w:type="dxa"/>
            <w:vAlign w:val="center"/>
          </w:tcPr>
          <w:p w:rsidR="003469A5" w:rsidRDefault="00541837">
            <w:pPr>
              <w:jc w:val="right"/>
            </w:pPr>
            <w:r>
              <w:rPr>
                <w:color w:val="000000"/>
                <w:sz w:val="24"/>
              </w:rPr>
              <w:t>1,418,900</w:t>
            </w:r>
          </w:p>
        </w:tc>
        <w:tc>
          <w:tcPr>
            <w:tcW w:w="2126" w:type="dxa"/>
            <w:vAlign w:val="center"/>
          </w:tcPr>
          <w:p w:rsidR="003469A5" w:rsidRDefault="00541837">
            <w:pPr>
              <w:jc w:val="right"/>
            </w:pPr>
            <w:r>
              <w:rPr>
                <w:color w:val="000000"/>
                <w:sz w:val="24"/>
              </w:rPr>
              <w:t>8,740,424.00</w:t>
            </w:r>
          </w:p>
        </w:tc>
        <w:tc>
          <w:tcPr>
            <w:tcW w:w="1134" w:type="dxa"/>
            <w:vAlign w:val="center"/>
          </w:tcPr>
          <w:p w:rsidR="003469A5" w:rsidRDefault="00541837">
            <w:pPr>
              <w:jc w:val="right"/>
            </w:pPr>
            <w:r>
              <w:rPr>
                <w:color w:val="000000"/>
                <w:sz w:val="24"/>
              </w:rPr>
              <w:t>0.77</w:t>
            </w:r>
          </w:p>
        </w:tc>
      </w:tr>
      <w:tr w:rsidR="003469A5">
        <w:tc>
          <w:tcPr>
            <w:tcW w:w="817" w:type="dxa"/>
            <w:vAlign w:val="center"/>
          </w:tcPr>
          <w:p w:rsidR="003469A5" w:rsidRDefault="00541837">
            <w:pPr>
              <w:jc w:val="center"/>
            </w:pPr>
            <w:r>
              <w:rPr>
                <w:color w:val="000000"/>
                <w:sz w:val="24"/>
              </w:rPr>
              <w:t>4</w:t>
            </w:r>
          </w:p>
        </w:tc>
        <w:tc>
          <w:tcPr>
            <w:tcW w:w="1276" w:type="dxa"/>
            <w:vAlign w:val="center"/>
          </w:tcPr>
          <w:p w:rsidR="003469A5" w:rsidRDefault="00541837">
            <w:pPr>
              <w:jc w:val="center"/>
            </w:pPr>
            <w:r>
              <w:rPr>
                <w:color w:val="000000"/>
                <w:sz w:val="24"/>
              </w:rPr>
              <w:t>600675</w:t>
            </w:r>
          </w:p>
        </w:tc>
        <w:tc>
          <w:tcPr>
            <w:tcW w:w="1701" w:type="dxa"/>
            <w:vAlign w:val="center"/>
          </w:tcPr>
          <w:p w:rsidR="003469A5" w:rsidRDefault="00541837">
            <w:pPr>
              <w:jc w:val="center"/>
            </w:pPr>
            <w:r>
              <w:rPr>
                <w:color w:val="000000"/>
                <w:sz w:val="24"/>
              </w:rPr>
              <w:t>中华企业</w:t>
            </w:r>
          </w:p>
        </w:tc>
        <w:tc>
          <w:tcPr>
            <w:tcW w:w="1843" w:type="dxa"/>
            <w:vAlign w:val="center"/>
          </w:tcPr>
          <w:p w:rsidR="003469A5" w:rsidRDefault="00541837">
            <w:pPr>
              <w:jc w:val="right"/>
            </w:pPr>
            <w:r>
              <w:rPr>
                <w:color w:val="000000"/>
                <w:sz w:val="24"/>
              </w:rPr>
              <w:t>1,897,460</w:t>
            </w:r>
          </w:p>
        </w:tc>
        <w:tc>
          <w:tcPr>
            <w:tcW w:w="2126" w:type="dxa"/>
            <w:vAlign w:val="center"/>
          </w:tcPr>
          <w:p w:rsidR="003469A5" w:rsidRDefault="00541837">
            <w:pPr>
              <w:jc w:val="right"/>
            </w:pPr>
            <w:r>
              <w:rPr>
                <w:color w:val="000000"/>
                <w:sz w:val="24"/>
              </w:rPr>
              <w:t>8,595,493.80</w:t>
            </w:r>
          </w:p>
        </w:tc>
        <w:tc>
          <w:tcPr>
            <w:tcW w:w="1134" w:type="dxa"/>
            <w:vAlign w:val="center"/>
          </w:tcPr>
          <w:p w:rsidR="003469A5" w:rsidRDefault="00541837">
            <w:pPr>
              <w:jc w:val="right"/>
            </w:pPr>
            <w:r>
              <w:rPr>
                <w:color w:val="000000"/>
                <w:sz w:val="24"/>
              </w:rPr>
              <w:t>0.76</w:t>
            </w:r>
          </w:p>
        </w:tc>
      </w:tr>
      <w:tr w:rsidR="003469A5">
        <w:tc>
          <w:tcPr>
            <w:tcW w:w="817" w:type="dxa"/>
            <w:vAlign w:val="center"/>
          </w:tcPr>
          <w:p w:rsidR="003469A5" w:rsidRDefault="00541837">
            <w:pPr>
              <w:jc w:val="center"/>
            </w:pPr>
            <w:r>
              <w:rPr>
                <w:color w:val="000000"/>
                <w:sz w:val="24"/>
              </w:rPr>
              <w:t>5</w:t>
            </w:r>
          </w:p>
        </w:tc>
        <w:tc>
          <w:tcPr>
            <w:tcW w:w="1276" w:type="dxa"/>
            <w:vAlign w:val="center"/>
          </w:tcPr>
          <w:p w:rsidR="003469A5" w:rsidRDefault="00541837">
            <w:pPr>
              <w:jc w:val="center"/>
            </w:pPr>
            <w:r>
              <w:rPr>
                <w:color w:val="000000"/>
                <w:sz w:val="24"/>
              </w:rPr>
              <w:t>002912</w:t>
            </w:r>
          </w:p>
        </w:tc>
        <w:tc>
          <w:tcPr>
            <w:tcW w:w="1701" w:type="dxa"/>
            <w:vAlign w:val="center"/>
          </w:tcPr>
          <w:p w:rsidR="003469A5" w:rsidRDefault="00541837">
            <w:pPr>
              <w:jc w:val="center"/>
            </w:pPr>
            <w:r>
              <w:rPr>
                <w:color w:val="000000"/>
                <w:sz w:val="24"/>
              </w:rPr>
              <w:t>中新赛克</w:t>
            </w:r>
          </w:p>
        </w:tc>
        <w:tc>
          <w:tcPr>
            <w:tcW w:w="1843" w:type="dxa"/>
            <w:vAlign w:val="center"/>
          </w:tcPr>
          <w:p w:rsidR="003469A5" w:rsidRDefault="00541837">
            <w:pPr>
              <w:jc w:val="right"/>
            </w:pPr>
            <w:r>
              <w:rPr>
                <w:color w:val="000000"/>
                <w:sz w:val="24"/>
              </w:rPr>
              <w:t>73,600</w:t>
            </w:r>
          </w:p>
        </w:tc>
        <w:tc>
          <w:tcPr>
            <w:tcW w:w="2126" w:type="dxa"/>
            <w:vAlign w:val="center"/>
          </w:tcPr>
          <w:p w:rsidR="003469A5" w:rsidRDefault="00541837">
            <w:pPr>
              <w:jc w:val="right"/>
            </w:pPr>
            <w:r>
              <w:rPr>
                <w:color w:val="000000"/>
                <w:sz w:val="24"/>
              </w:rPr>
              <w:t>6,984,640.00</w:t>
            </w:r>
          </w:p>
        </w:tc>
        <w:tc>
          <w:tcPr>
            <w:tcW w:w="1134" w:type="dxa"/>
            <w:vAlign w:val="center"/>
          </w:tcPr>
          <w:p w:rsidR="003469A5" w:rsidRDefault="00541837">
            <w:pPr>
              <w:jc w:val="right"/>
            </w:pPr>
            <w:r>
              <w:rPr>
                <w:color w:val="000000"/>
                <w:sz w:val="24"/>
              </w:rPr>
              <w:t>0.62</w:t>
            </w:r>
          </w:p>
        </w:tc>
      </w:tr>
    </w:tbl>
    <w:p w:rsidR="00712EE5" w:rsidRPr="00712EE5" w:rsidRDefault="00A62673" w:rsidP="00712EE5">
      <w:pPr>
        <w:autoSpaceDE w:val="0"/>
        <w:autoSpaceDN w:val="0"/>
        <w:adjustRightInd w:val="0"/>
        <w:spacing w:line="360" w:lineRule="auto"/>
        <w:jc w:val="left"/>
        <w:rPr>
          <w:rFonts w:eastAsiaTheme="minorEastAsia"/>
          <w:b/>
          <w:color w:val="000000" w:themeColor="text1"/>
          <w:kern w:val="0"/>
          <w:sz w:val="24"/>
        </w:rPr>
      </w:pPr>
      <w:r w:rsidRPr="00EC5CE0">
        <w:rPr>
          <w:rFonts w:ascii="宋体" w:hAnsi="宋体" w:cs="Arial"/>
          <w:b/>
          <w:color w:val="000000"/>
          <w:kern w:val="0"/>
          <w:sz w:val="24"/>
        </w:rPr>
        <w:t xml:space="preserve">5.4 </w:t>
      </w:r>
      <w:r w:rsidRPr="00EC5CE0">
        <w:rPr>
          <w:rFonts w:ascii="宋体" w:hAnsi="宋体" w:cs="Arial" w:hint="eastAsia"/>
          <w:b/>
          <w:color w:val="000000"/>
          <w:kern w:val="0"/>
          <w:sz w:val="24"/>
        </w:rPr>
        <w:t>报告期末按债券品种分类的债券投资组合</w:t>
      </w:r>
    </w:p>
    <w:p w:rsidR="00A62673" w:rsidRPr="00BF18E8" w:rsidRDefault="00712EE5" w:rsidP="00712EE5">
      <w:pPr>
        <w:spacing w:line="360" w:lineRule="auto"/>
        <w:ind w:firstLineChars="200" w:firstLine="480"/>
        <w:rPr>
          <w:color w:val="000000"/>
          <w:sz w:val="24"/>
        </w:rPr>
      </w:pPr>
      <w:r w:rsidRPr="00BF18E8">
        <w:rPr>
          <w:color w:val="000000"/>
          <w:sz w:val="24"/>
        </w:rPr>
        <w:t>本基金本报告期末未持有债券。</w:t>
      </w:r>
    </w:p>
    <w:p w:rsidR="00A62673" w:rsidRPr="00EC5CE0" w:rsidRDefault="00A62673" w:rsidP="00045BEC">
      <w:pPr>
        <w:autoSpaceDE w:val="0"/>
        <w:autoSpaceDN w:val="0"/>
        <w:adjustRightInd w:val="0"/>
        <w:spacing w:line="360" w:lineRule="auto"/>
        <w:jc w:val="left"/>
        <w:rPr>
          <w:rFonts w:ascii="宋体" w:cs="Arial"/>
          <w:b/>
          <w:color w:val="000000"/>
          <w:kern w:val="0"/>
          <w:sz w:val="24"/>
        </w:rPr>
      </w:pPr>
      <w:r w:rsidRPr="00EC5CE0">
        <w:rPr>
          <w:rFonts w:ascii="宋体" w:hAnsi="宋体" w:cs="Arial"/>
          <w:b/>
          <w:color w:val="000000"/>
          <w:kern w:val="0"/>
          <w:sz w:val="24"/>
        </w:rPr>
        <w:t xml:space="preserve">5.5 </w:t>
      </w:r>
      <w:r w:rsidRPr="00EC5CE0">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EC5CE0">
        <w:rPr>
          <w:rFonts w:ascii="宋体" w:hAnsi="宋体" w:cs="Arial" w:hint="eastAsia"/>
          <w:b/>
          <w:color w:val="000000"/>
          <w:kern w:val="0"/>
          <w:sz w:val="24"/>
        </w:rPr>
        <w:t>的前五名债券投资明细</w:t>
      </w:r>
    </w:p>
    <w:p w:rsidR="00A62673" w:rsidRPr="00C1648E" w:rsidRDefault="00A62673" w:rsidP="00C1648E">
      <w:pPr>
        <w:spacing w:line="360" w:lineRule="auto"/>
        <w:ind w:firstLineChars="200" w:firstLine="480"/>
        <w:rPr>
          <w:color w:val="000000"/>
          <w:sz w:val="24"/>
        </w:rPr>
      </w:pPr>
      <w:r w:rsidRPr="00DC315B">
        <w:rPr>
          <w:color w:val="000000"/>
          <w:sz w:val="24"/>
        </w:rPr>
        <w:t>本基金本报告期末未持有债券。</w:t>
      </w:r>
    </w:p>
    <w:p w:rsidR="00A62673" w:rsidRPr="00EC5CE0" w:rsidRDefault="00A62673" w:rsidP="00045BEC">
      <w:pPr>
        <w:autoSpaceDE w:val="0"/>
        <w:autoSpaceDN w:val="0"/>
        <w:adjustRightInd w:val="0"/>
        <w:spacing w:line="360" w:lineRule="auto"/>
        <w:jc w:val="left"/>
        <w:rPr>
          <w:rFonts w:ascii="宋体" w:cs="Arial"/>
          <w:b/>
          <w:color w:val="000000"/>
          <w:kern w:val="0"/>
          <w:sz w:val="24"/>
        </w:rPr>
      </w:pPr>
      <w:r w:rsidRPr="00EC5CE0">
        <w:rPr>
          <w:rFonts w:ascii="宋体" w:hAnsi="宋体" w:cs="Arial"/>
          <w:b/>
          <w:color w:val="000000"/>
          <w:kern w:val="0"/>
          <w:sz w:val="24"/>
        </w:rPr>
        <w:t>5.6</w:t>
      </w:r>
      <w:r w:rsidRPr="00EC5CE0">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EC5CE0">
        <w:rPr>
          <w:rFonts w:ascii="宋体" w:hAnsi="宋体" w:cs="Arial" w:hint="eastAsia"/>
          <w:b/>
          <w:color w:val="000000"/>
          <w:kern w:val="0"/>
          <w:sz w:val="24"/>
        </w:rPr>
        <w:t>的前十名资产支持证券投资明细</w:t>
      </w:r>
    </w:p>
    <w:p w:rsidR="00A62673" w:rsidRPr="00C1648E" w:rsidRDefault="00A62673" w:rsidP="00C1648E">
      <w:pPr>
        <w:spacing w:line="360" w:lineRule="auto"/>
        <w:ind w:firstLineChars="200" w:firstLine="480"/>
        <w:rPr>
          <w:color w:val="000000"/>
          <w:sz w:val="24"/>
        </w:rPr>
      </w:pPr>
      <w:r w:rsidRPr="00DC315B">
        <w:rPr>
          <w:color w:val="000000"/>
          <w:sz w:val="24"/>
        </w:rPr>
        <w:t>本基金本报告期末未持有资产支持证券。</w:t>
      </w:r>
    </w:p>
    <w:p w:rsidR="00A62673" w:rsidRPr="001D63BB" w:rsidRDefault="00A62673" w:rsidP="008021E8">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A62673" w:rsidRPr="00C1648E" w:rsidRDefault="00A62673" w:rsidP="00C1648E">
      <w:pPr>
        <w:spacing w:line="360" w:lineRule="auto"/>
        <w:ind w:firstLineChars="200" w:firstLine="480"/>
        <w:rPr>
          <w:color w:val="000000"/>
          <w:sz w:val="24"/>
        </w:rPr>
      </w:pPr>
      <w:r w:rsidRPr="00DC315B">
        <w:rPr>
          <w:color w:val="000000"/>
          <w:sz w:val="24"/>
        </w:rPr>
        <w:t>本基金本报告期末未持有贵金属。</w:t>
      </w:r>
    </w:p>
    <w:p w:rsidR="00A62673" w:rsidRPr="00EC5CE0" w:rsidRDefault="00A62673" w:rsidP="00045BEC">
      <w:pPr>
        <w:autoSpaceDE w:val="0"/>
        <w:autoSpaceDN w:val="0"/>
        <w:adjustRightInd w:val="0"/>
        <w:spacing w:line="360" w:lineRule="auto"/>
        <w:jc w:val="left"/>
        <w:rPr>
          <w:rFonts w:ascii="宋体" w:cs="Arial"/>
          <w:b/>
          <w:color w:val="000000"/>
          <w:kern w:val="0"/>
          <w:sz w:val="24"/>
        </w:rPr>
      </w:pPr>
      <w:r w:rsidRPr="00EC5CE0">
        <w:rPr>
          <w:rFonts w:ascii="宋体" w:cs="Arial"/>
          <w:b/>
          <w:color w:val="000000"/>
          <w:kern w:val="0"/>
          <w:sz w:val="24"/>
        </w:rPr>
        <w:t>5.8</w:t>
      </w:r>
      <w:r w:rsidRPr="00EC5CE0">
        <w:rPr>
          <w:rFonts w:ascii="宋体" w:hAnsi="宋体" w:hint="eastAsia"/>
          <w:b/>
          <w:bCs/>
          <w:color w:val="000000"/>
          <w:sz w:val="24"/>
        </w:rPr>
        <w:t>报告期末按公允价值占基金资产净值比例大小排</w:t>
      </w:r>
      <w:r>
        <w:rPr>
          <w:rFonts w:ascii="宋体" w:hAnsi="宋体" w:hint="eastAsia"/>
          <w:b/>
          <w:bCs/>
          <w:color w:val="000000"/>
          <w:sz w:val="24"/>
        </w:rPr>
        <w:t>序</w:t>
      </w:r>
      <w:r w:rsidRPr="00EC5CE0">
        <w:rPr>
          <w:rFonts w:ascii="宋体" w:hAnsi="宋体" w:hint="eastAsia"/>
          <w:b/>
          <w:bCs/>
          <w:color w:val="000000"/>
          <w:sz w:val="24"/>
        </w:rPr>
        <w:t>的前五名权证投资明细</w:t>
      </w:r>
    </w:p>
    <w:p w:rsidR="00A62673" w:rsidRPr="00C1648E" w:rsidRDefault="00A62673" w:rsidP="00C1648E">
      <w:pPr>
        <w:spacing w:line="360" w:lineRule="auto"/>
        <w:ind w:firstLineChars="200" w:firstLine="480"/>
        <w:rPr>
          <w:color w:val="000000"/>
          <w:sz w:val="24"/>
        </w:rPr>
      </w:pPr>
      <w:r w:rsidRPr="00DC315B">
        <w:rPr>
          <w:color w:val="000000"/>
          <w:sz w:val="24"/>
        </w:rPr>
        <w:t>本基金本报告期末未持有权证。</w:t>
      </w:r>
    </w:p>
    <w:p w:rsidR="00A62673" w:rsidRPr="00EC5CE0" w:rsidRDefault="00A62673" w:rsidP="00045BEC">
      <w:pPr>
        <w:adjustRightInd w:val="0"/>
        <w:snapToGrid w:val="0"/>
        <w:spacing w:line="360" w:lineRule="auto"/>
        <w:rPr>
          <w:rFonts w:ascii="宋体"/>
          <w:b/>
          <w:sz w:val="24"/>
        </w:rPr>
      </w:pPr>
      <w:r w:rsidRPr="00EC5CE0">
        <w:rPr>
          <w:rFonts w:ascii="宋体" w:hAnsi="宋体"/>
          <w:b/>
          <w:sz w:val="24"/>
        </w:rPr>
        <w:t xml:space="preserve">5.9 </w:t>
      </w:r>
      <w:r w:rsidRPr="00EC5CE0">
        <w:rPr>
          <w:rFonts w:ascii="宋体" w:hAnsi="宋体" w:hint="eastAsia"/>
          <w:b/>
          <w:sz w:val="24"/>
        </w:rPr>
        <w:t>报告期末本基金投资的股指期货交易情况说明</w:t>
      </w:r>
    </w:p>
    <w:p w:rsidR="00950044" w:rsidRDefault="00A62673" w:rsidP="00950044">
      <w:pPr>
        <w:autoSpaceDE w:val="0"/>
        <w:autoSpaceDN w:val="0"/>
        <w:adjustRightInd w:val="0"/>
        <w:spacing w:line="360" w:lineRule="auto"/>
        <w:jc w:val="left"/>
        <w:rPr>
          <w:rFonts w:ascii="宋体"/>
          <w:b/>
          <w:bCs/>
          <w:color w:val="000000"/>
          <w:kern w:val="0"/>
          <w:sz w:val="24"/>
        </w:rPr>
      </w:pPr>
      <w:r w:rsidRPr="00EC5CE0">
        <w:rPr>
          <w:rFonts w:ascii="宋体" w:hAnsi="宋体"/>
          <w:b/>
          <w:sz w:val="24"/>
        </w:rPr>
        <w:t xml:space="preserve">5.9.1 </w:t>
      </w:r>
      <w:r w:rsidRPr="00EC5CE0">
        <w:rPr>
          <w:rFonts w:ascii="宋体" w:hAnsi="宋体" w:hint="eastAsia"/>
          <w:b/>
          <w:sz w:val="24"/>
        </w:rPr>
        <w:t>报告期末本基金投资的股指期货持仓和损益明细</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302"/>
        <w:gridCol w:w="993"/>
        <w:gridCol w:w="1700"/>
        <w:gridCol w:w="1641"/>
        <w:gridCol w:w="2074"/>
      </w:tblGrid>
      <w:tr w:rsidR="00950044" w:rsidTr="00950044">
        <w:trPr>
          <w:trHeight w:val="105"/>
          <w:jc w:val="center"/>
        </w:trPr>
        <w:tc>
          <w:tcPr>
            <w:tcW w:w="1134" w:type="dxa"/>
            <w:tcBorders>
              <w:top w:val="single" w:sz="4" w:space="0" w:color="auto"/>
              <w:left w:val="single" w:sz="4" w:space="0" w:color="auto"/>
              <w:bottom w:val="single" w:sz="4" w:space="0" w:color="auto"/>
              <w:right w:val="single" w:sz="4" w:space="0" w:color="auto"/>
            </w:tcBorders>
            <w:hideMark/>
          </w:tcPr>
          <w:p w:rsidR="00950044" w:rsidRDefault="00950044">
            <w:pPr>
              <w:pStyle w:val="Default"/>
              <w:rPr>
                <w:rFonts w:ascii="Times New Roman" w:hAnsi="Times New Roman" w:cs="Times New Roman"/>
              </w:rPr>
            </w:pPr>
            <w:r>
              <w:rPr>
                <w:rFonts w:ascii="Times New Roman" w:hAnsi="Times New Roman" w:cs="Times New Roman" w:hint="eastAsia"/>
              </w:rPr>
              <w:t>代码</w:t>
            </w:r>
          </w:p>
        </w:tc>
        <w:tc>
          <w:tcPr>
            <w:tcW w:w="1303" w:type="dxa"/>
            <w:tcBorders>
              <w:top w:val="single" w:sz="4" w:space="0" w:color="auto"/>
              <w:left w:val="single" w:sz="4" w:space="0" w:color="auto"/>
              <w:bottom w:val="single" w:sz="4" w:space="0" w:color="auto"/>
              <w:right w:val="single" w:sz="4" w:space="0" w:color="auto"/>
            </w:tcBorders>
            <w:hideMark/>
          </w:tcPr>
          <w:p w:rsidR="00950044" w:rsidRDefault="00950044">
            <w:pPr>
              <w:pStyle w:val="Default"/>
              <w:rPr>
                <w:rFonts w:ascii="Times New Roman" w:hAnsi="Times New Roman" w:cs="Times New Roman"/>
              </w:rPr>
            </w:pPr>
            <w:r>
              <w:rPr>
                <w:rFonts w:ascii="Times New Roman" w:hAnsi="Times New Roman" w:cs="Times New Roman" w:hint="eastAsia"/>
              </w:rPr>
              <w:t>名称</w:t>
            </w:r>
          </w:p>
        </w:tc>
        <w:tc>
          <w:tcPr>
            <w:tcW w:w="993" w:type="dxa"/>
            <w:tcBorders>
              <w:top w:val="single" w:sz="4" w:space="0" w:color="auto"/>
              <w:left w:val="single" w:sz="4" w:space="0" w:color="auto"/>
              <w:bottom w:val="single" w:sz="4" w:space="0" w:color="auto"/>
              <w:right w:val="single" w:sz="4" w:space="0" w:color="auto"/>
            </w:tcBorders>
            <w:hideMark/>
          </w:tcPr>
          <w:p w:rsidR="00950044" w:rsidRDefault="00950044">
            <w:pPr>
              <w:pStyle w:val="Default"/>
              <w:rPr>
                <w:rFonts w:ascii="Times New Roman" w:hAnsi="Times New Roman" w:cs="Times New Roman"/>
              </w:rPr>
            </w:pPr>
            <w:r>
              <w:rPr>
                <w:rFonts w:ascii="Times New Roman" w:hAnsi="Times New Roman" w:cs="Times New Roman" w:hint="eastAsia"/>
              </w:rPr>
              <w:t>持仓量</w:t>
            </w:r>
          </w:p>
        </w:tc>
        <w:tc>
          <w:tcPr>
            <w:tcW w:w="1700" w:type="dxa"/>
            <w:tcBorders>
              <w:top w:val="single" w:sz="4" w:space="0" w:color="auto"/>
              <w:left w:val="single" w:sz="4" w:space="0" w:color="auto"/>
              <w:bottom w:val="single" w:sz="4" w:space="0" w:color="auto"/>
              <w:right w:val="single" w:sz="4" w:space="0" w:color="auto"/>
            </w:tcBorders>
            <w:hideMark/>
          </w:tcPr>
          <w:p w:rsidR="00950044" w:rsidRDefault="00950044">
            <w:pPr>
              <w:pStyle w:val="Default"/>
              <w:rPr>
                <w:rFonts w:ascii="Times New Roman" w:hAnsi="Times New Roman" w:cs="Times New Roman"/>
              </w:rPr>
            </w:pPr>
            <w:r>
              <w:rPr>
                <w:rFonts w:ascii="Times New Roman" w:hAnsi="Times New Roman" w:cs="Times New Roman" w:hint="eastAsia"/>
              </w:rPr>
              <w:t>合约市值（元）</w:t>
            </w:r>
          </w:p>
        </w:tc>
        <w:tc>
          <w:tcPr>
            <w:tcW w:w="1641" w:type="dxa"/>
            <w:tcBorders>
              <w:top w:val="single" w:sz="4" w:space="0" w:color="auto"/>
              <w:left w:val="single" w:sz="4" w:space="0" w:color="auto"/>
              <w:bottom w:val="single" w:sz="4" w:space="0" w:color="auto"/>
              <w:right w:val="single" w:sz="4" w:space="0" w:color="auto"/>
            </w:tcBorders>
            <w:hideMark/>
          </w:tcPr>
          <w:p w:rsidR="00950044" w:rsidRDefault="00950044">
            <w:pPr>
              <w:pStyle w:val="Default"/>
              <w:rPr>
                <w:rFonts w:ascii="Times New Roman" w:hAnsi="Times New Roman" w:cs="Times New Roman"/>
              </w:rPr>
            </w:pPr>
            <w:r>
              <w:rPr>
                <w:rFonts w:ascii="Times New Roman" w:hAnsi="Times New Roman" w:cs="Times New Roman" w:hint="eastAsia"/>
              </w:rPr>
              <w:t>公允价值变动（元）</w:t>
            </w:r>
          </w:p>
        </w:tc>
        <w:tc>
          <w:tcPr>
            <w:tcW w:w="2074" w:type="dxa"/>
            <w:tcBorders>
              <w:top w:val="single" w:sz="4" w:space="0" w:color="auto"/>
              <w:left w:val="single" w:sz="4" w:space="0" w:color="auto"/>
              <w:bottom w:val="single" w:sz="4" w:space="0" w:color="auto"/>
              <w:right w:val="single" w:sz="4" w:space="0" w:color="auto"/>
            </w:tcBorders>
            <w:hideMark/>
          </w:tcPr>
          <w:p w:rsidR="00950044" w:rsidRDefault="00950044">
            <w:pPr>
              <w:pStyle w:val="Default"/>
              <w:jc w:val="center"/>
              <w:rPr>
                <w:rFonts w:ascii="Times New Roman" w:hAnsi="Times New Roman" w:cs="Times New Roman"/>
                <w:color w:val="auto"/>
              </w:rPr>
            </w:pPr>
            <w:r>
              <w:rPr>
                <w:rFonts w:ascii="Times New Roman" w:hAnsi="Times New Roman" w:cs="Times New Roman" w:hint="eastAsia"/>
                <w:color w:val="auto"/>
              </w:rPr>
              <w:t>风险说明</w:t>
            </w:r>
          </w:p>
        </w:tc>
      </w:tr>
      <w:tr w:rsidR="003469A5">
        <w:trPr>
          <w:jc w:val="center"/>
        </w:trPr>
        <w:tc>
          <w:tcPr>
            <w:tcW w:w="1133" w:type="dxa"/>
            <w:vAlign w:val="center"/>
          </w:tcPr>
          <w:p w:rsidR="003469A5" w:rsidRDefault="00541837">
            <w:pPr>
              <w:jc w:val="center"/>
            </w:pPr>
            <w:r>
              <w:t>-</w:t>
            </w:r>
          </w:p>
        </w:tc>
        <w:tc>
          <w:tcPr>
            <w:tcW w:w="1302" w:type="dxa"/>
            <w:vAlign w:val="center"/>
          </w:tcPr>
          <w:p w:rsidR="003469A5" w:rsidRDefault="00541837">
            <w:pPr>
              <w:jc w:val="center"/>
            </w:pPr>
            <w:r>
              <w:t>-</w:t>
            </w:r>
          </w:p>
        </w:tc>
        <w:tc>
          <w:tcPr>
            <w:tcW w:w="993" w:type="dxa"/>
            <w:vAlign w:val="center"/>
          </w:tcPr>
          <w:p w:rsidR="003469A5" w:rsidRDefault="00541837">
            <w:pPr>
              <w:jc w:val="center"/>
            </w:pPr>
            <w:r>
              <w:t>-</w:t>
            </w:r>
          </w:p>
        </w:tc>
        <w:tc>
          <w:tcPr>
            <w:tcW w:w="1700" w:type="dxa"/>
            <w:vAlign w:val="center"/>
          </w:tcPr>
          <w:p w:rsidR="003469A5" w:rsidRDefault="00541837">
            <w:pPr>
              <w:jc w:val="center"/>
            </w:pPr>
            <w:r>
              <w:t>-</w:t>
            </w:r>
          </w:p>
        </w:tc>
        <w:tc>
          <w:tcPr>
            <w:tcW w:w="1641" w:type="dxa"/>
            <w:vAlign w:val="center"/>
          </w:tcPr>
          <w:p w:rsidR="003469A5" w:rsidRDefault="00541837">
            <w:pPr>
              <w:jc w:val="center"/>
            </w:pPr>
            <w:r>
              <w:t>-</w:t>
            </w:r>
          </w:p>
        </w:tc>
        <w:tc>
          <w:tcPr>
            <w:tcW w:w="2074" w:type="dxa"/>
            <w:vAlign w:val="center"/>
          </w:tcPr>
          <w:p w:rsidR="003469A5" w:rsidRDefault="00541837">
            <w:pPr>
              <w:jc w:val="center"/>
            </w:pPr>
            <w:r>
              <w:t>-</w:t>
            </w:r>
          </w:p>
        </w:tc>
      </w:tr>
      <w:tr w:rsidR="00950044" w:rsidTr="00950044">
        <w:trPr>
          <w:trHeight w:val="105"/>
          <w:jc w:val="center"/>
        </w:trPr>
        <w:tc>
          <w:tcPr>
            <w:tcW w:w="6771" w:type="dxa"/>
            <w:gridSpan w:val="5"/>
            <w:tcBorders>
              <w:top w:val="single" w:sz="4" w:space="0" w:color="auto"/>
              <w:left w:val="single" w:sz="4" w:space="0" w:color="auto"/>
              <w:bottom w:val="single" w:sz="4" w:space="0" w:color="auto"/>
              <w:right w:val="single" w:sz="4" w:space="0" w:color="auto"/>
            </w:tcBorders>
            <w:hideMark/>
          </w:tcPr>
          <w:p w:rsidR="00950044" w:rsidRDefault="00950044">
            <w:pPr>
              <w:pStyle w:val="Default"/>
              <w:rPr>
                <w:rFonts w:ascii="Times New Roman" w:hAnsi="Times New Roman" w:cs="Times New Roman"/>
              </w:rPr>
            </w:pPr>
            <w:r>
              <w:rPr>
                <w:rFonts w:ascii="Times New Roman" w:hAnsi="Times New Roman" w:cs="Times New Roman" w:hint="eastAsia"/>
              </w:rPr>
              <w:t>公允价值变动总额合计</w:t>
            </w:r>
            <w:r>
              <w:rPr>
                <w:rFonts w:ascii="Times New Roman" w:hAnsi="Times New Roman" w:cs="Times New Roman"/>
              </w:rPr>
              <w:t>(</w:t>
            </w:r>
            <w:r>
              <w:rPr>
                <w:rFonts w:ascii="Times New Roman" w:hAnsi="Times New Roman" w:cs="Times New Roman" w:hint="eastAsia"/>
              </w:rPr>
              <w:t>元</w:t>
            </w:r>
            <w:r>
              <w:rPr>
                <w:rFonts w:ascii="Times New Roman" w:hAnsi="Times New Roman" w:cs="Times New Roman"/>
              </w:rPr>
              <w:t>)</w:t>
            </w:r>
          </w:p>
        </w:tc>
        <w:tc>
          <w:tcPr>
            <w:tcW w:w="2074" w:type="dxa"/>
            <w:tcBorders>
              <w:top w:val="single" w:sz="4" w:space="0" w:color="auto"/>
              <w:left w:val="single" w:sz="4" w:space="0" w:color="auto"/>
              <w:bottom w:val="single" w:sz="4" w:space="0" w:color="auto"/>
              <w:right w:val="single" w:sz="4" w:space="0" w:color="auto"/>
            </w:tcBorders>
            <w:hideMark/>
          </w:tcPr>
          <w:p w:rsidR="00950044" w:rsidRDefault="00950044">
            <w:pPr>
              <w:pStyle w:val="Default"/>
              <w:jc w:val="right"/>
              <w:rPr>
                <w:rFonts w:ascii="Times New Roman" w:hAnsi="Times New Roman" w:cs="Times New Roman"/>
                <w:color w:val="auto"/>
              </w:rPr>
            </w:pPr>
            <w:r>
              <w:rPr>
                <w:rFonts w:ascii="Times New Roman" w:hAnsi="Times New Roman" w:cs="Times New Roman"/>
                <w:color w:val="auto"/>
              </w:rPr>
              <w:t>-</w:t>
            </w:r>
          </w:p>
        </w:tc>
      </w:tr>
      <w:tr w:rsidR="00950044" w:rsidTr="00950044">
        <w:trPr>
          <w:trHeight w:val="105"/>
          <w:jc w:val="center"/>
        </w:trPr>
        <w:tc>
          <w:tcPr>
            <w:tcW w:w="6771" w:type="dxa"/>
            <w:gridSpan w:val="5"/>
            <w:tcBorders>
              <w:top w:val="single" w:sz="4" w:space="0" w:color="auto"/>
              <w:left w:val="single" w:sz="4" w:space="0" w:color="auto"/>
              <w:bottom w:val="single" w:sz="4" w:space="0" w:color="auto"/>
              <w:right w:val="single" w:sz="4" w:space="0" w:color="auto"/>
            </w:tcBorders>
            <w:hideMark/>
          </w:tcPr>
          <w:p w:rsidR="00950044" w:rsidRDefault="00950044">
            <w:pPr>
              <w:pStyle w:val="Default"/>
              <w:rPr>
                <w:rFonts w:ascii="Times New Roman" w:hAnsi="Times New Roman" w:cs="Times New Roman"/>
                <w:color w:val="auto"/>
              </w:rPr>
            </w:pPr>
            <w:r>
              <w:rPr>
                <w:rFonts w:ascii="Times New Roman" w:hAnsi="Times New Roman" w:cs="Times New Roman" w:hint="eastAsia"/>
                <w:color w:val="auto"/>
              </w:rPr>
              <w:t>股指期货投资本期收益</w:t>
            </w:r>
            <w:r>
              <w:rPr>
                <w:rFonts w:ascii="Times New Roman" w:hAnsi="Times New Roman" w:cs="Times New Roman"/>
              </w:rPr>
              <w:t>(</w:t>
            </w:r>
            <w:r>
              <w:rPr>
                <w:rFonts w:ascii="Times New Roman" w:hAnsi="Times New Roman" w:cs="Times New Roman" w:hint="eastAsia"/>
              </w:rPr>
              <w:t>元</w:t>
            </w:r>
            <w:r>
              <w:rPr>
                <w:rFonts w:ascii="Times New Roman" w:hAnsi="Times New Roman" w:cs="Times New Roman"/>
              </w:rPr>
              <w:t>)</w:t>
            </w:r>
          </w:p>
        </w:tc>
        <w:tc>
          <w:tcPr>
            <w:tcW w:w="2074" w:type="dxa"/>
            <w:tcBorders>
              <w:top w:val="single" w:sz="4" w:space="0" w:color="auto"/>
              <w:left w:val="single" w:sz="4" w:space="0" w:color="auto"/>
              <w:bottom w:val="single" w:sz="4" w:space="0" w:color="auto"/>
              <w:right w:val="single" w:sz="4" w:space="0" w:color="auto"/>
            </w:tcBorders>
            <w:hideMark/>
          </w:tcPr>
          <w:p w:rsidR="00950044" w:rsidRDefault="00950044">
            <w:pPr>
              <w:pStyle w:val="Default"/>
              <w:jc w:val="right"/>
              <w:rPr>
                <w:rFonts w:ascii="Times New Roman" w:hAnsi="Times New Roman" w:cs="Times New Roman"/>
                <w:color w:val="auto"/>
              </w:rPr>
            </w:pPr>
            <w:r>
              <w:rPr>
                <w:rFonts w:ascii="Times New Roman" w:hAnsi="Times New Roman" w:cs="Times New Roman"/>
                <w:color w:val="auto"/>
              </w:rPr>
              <w:t>-182,790.00</w:t>
            </w:r>
          </w:p>
        </w:tc>
      </w:tr>
      <w:tr w:rsidR="00950044" w:rsidTr="00950044">
        <w:trPr>
          <w:trHeight w:val="105"/>
          <w:jc w:val="center"/>
        </w:trPr>
        <w:tc>
          <w:tcPr>
            <w:tcW w:w="6771" w:type="dxa"/>
            <w:gridSpan w:val="5"/>
            <w:tcBorders>
              <w:top w:val="single" w:sz="4" w:space="0" w:color="auto"/>
              <w:left w:val="single" w:sz="4" w:space="0" w:color="auto"/>
              <w:bottom w:val="single" w:sz="4" w:space="0" w:color="auto"/>
              <w:right w:val="single" w:sz="4" w:space="0" w:color="auto"/>
            </w:tcBorders>
            <w:hideMark/>
          </w:tcPr>
          <w:p w:rsidR="00950044" w:rsidRDefault="00950044">
            <w:pPr>
              <w:pStyle w:val="Default"/>
              <w:rPr>
                <w:rFonts w:ascii="Times New Roman" w:hAnsi="Times New Roman" w:cs="Times New Roman"/>
                <w:color w:val="auto"/>
              </w:rPr>
            </w:pPr>
            <w:r>
              <w:rPr>
                <w:rFonts w:ascii="Times New Roman" w:hAnsi="Times New Roman" w:cs="Times New Roman" w:hint="eastAsia"/>
                <w:color w:val="auto"/>
              </w:rPr>
              <w:t>股指期货投资本期公允价值变动</w:t>
            </w:r>
            <w:r>
              <w:rPr>
                <w:rFonts w:ascii="Times New Roman" w:hAnsi="Times New Roman" w:cs="Times New Roman"/>
              </w:rPr>
              <w:t>(</w:t>
            </w:r>
            <w:r>
              <w:rPr>
                <w:rFonts w:ascii="Times New Roman" w:hAnsi="Times New Roman" w:cs="Times New Roman" w:hint="eastAsia"/>
              </w:rPr>
              <w:t>元</w:t>
            </w:r>
            <w:r>
              <w:rPr>
                <w:rFonts w:ascii="Times New Roman" w:hAnsi="Times New Roman" w:cs="Times New Roman"/>
              </w:rPr>
              <w:t>)</w:t>
            </w:r>
          </w:p>
        </w:tc>
        <w:tc>
          <w:tcPr>
            <w:tcW w:w="2074" w:type="dxa"/>
            <w:tcBorders>
              <w:top w:val="single" w:sz="4" w:space="0" w:color="auto"/>
              <w:left w:val="single" w:sz="4" w:space="0" w:color="auto"/>
              <w:bottom w:val="single" w:sz="4" w:space="0" w:color="auto"/>
              <w:right w:val="single" w:sz="4" w:space="0" w:color="auto"/>
            </w:tcBorders>
            <w:hideMark/>
          </w:tcPr>
          <w:p w:rsidR="00950044" w:rsidRDefault="00950044">
            <w:pPr>
              <w:pStyle w:val="Default"/>
              <w:jc w:val="right"/>
              <w:rPr>
                <w:rFonts w:ascii="Times New Roman" w:hAnsi="Times New Roman" w:cs="Times New Roman"/>
                <w:color w:val="auto"/>
              </w:rPr>
            </w:pPr>
            <w:r>
              <w:rPr>
                <w:rFonts w:ascii="Times New Roman" w:hAnsi="Times New Roman" w:cs="Times New Roman"/>
                <w:color w:val="auto"/>
              </w:rPr>
              <w:t>-</w:t>
            </w:r>
          </w:p>
        </w:tc>
      </w:tr>
    </w:tbl>
    <w:p w:rsidR="00950044" w:rsidRDefault="00950044" w:rsidP="00950044">
      <w:pPr>
        <w:spacing w:line="360" w:lineRule="auto"/>
        <w:ind w:firstLineChars="200" w:firstLine="480"/>
        <w:rPr>
          <w:rFonts w:eastAsiaTheme="minorEastAsia"/>
          <w:color w:val="000000" w:themeColor="text1"/>
          <w:sz w:val="24"/>
        </w:rPr>
      </w:pPr>
      <w:r>
        <w:rPr>
          <w:rFonts w:eastAsiaTheme="minorEastAsia"/>
          <w:color w:val="000000" w:themeColor="text1"/>
          <w:sz w:val="24"/>
        </w:rPr>
        <w:t>注：本基金本报告期末未投资股指期货。</w:t>
      </w:r>
    </w:p>
    <w:p w:rsidR="00A62673" w:rsidRPr="00EC5CE0" w:rsidRDefault="00A62673" w:rsidP="00950044">
      <w:pPr>
        <w:autoSpaceDE w:val="0"/>
        <w:autoSpaceDN w:val="0"/>
        <w:adjustRightInd w:val="0"/>
        <w:spacing w:line="360" w:lineRule="auto"/>
        <w:jc w:val="left"/>
        <w:rPr>
          <w:rFonts w:ascii="宋体"/>
          <w:b/>
          <w:sz w:val="24"/>
        </w:rPr>
      </w:pPr>
      <w:r w:rsidRPr="00EC5CE0">
        <w:rPr>
          <w:rFonts w:ascii="宋体" w:hAnsi="宋体"/>
          <w:b/>
          <w:sz w:val="24"/>
        </w:rPr>
        <w:t xml:space="preserve">5.9.2 </w:t>
      </w:r>
      <w:r w:rsidRPr="00EC5CE0">
        <w:rPr>
          <w:rFonts w:ascii="宋体" w:hAnsi="宋体" w:hint="eastAsia"/>
          <w:b/>
          <w:sz w:val="24"/>
        </w:rPr>
        <w:t>本基金投资股指期货的投资政策</w:t>
      </w:r>
    </w:p>
    <w:p w:rsidR="00A62673" w:rsidRPr="00C1648E" w:rsidRDefault="00A62673" w:rsidP="00C1648E">
      <w:pPr>
        <w:spacing w:line="360" w:lineRule="auto"/>
        <w:ind w:firstLineChars="200" w:firstLine="480"/>
        <w:rPr>
          <w:color w:val="000000"/>
          <w:sz w:val="24"/>
        </w:rPr>
      </w:pPr>
      <w:r w:rsidRPr="00DC315B">
        <w:rPr>
          <w:color w:val="000000"/>
          <w:sz w:val="24"/>
        </w:rPr>
        <w:t>本基金可投资股指期货和其他经中国证监会允许的衍生金融产品。本基金投资股指期货根据风险管理的原则</w:t>
      </w:r>
      <w:r w:rsidRPr="00DC315B">
        <w:rPr>
          <w:color w:val="000000"/>
          <w:sz w:val="24"/>
        </w:rPr>
        <w:t>,</w:t>
      </w:r>
      <w:r w:rsidRPr="00DC315B">
        <w:rPr>
          <w:color w:val="000000"/>
          <w:sz w:val="24"/>
        </w:rPr>
        <w:t>以套期保值为目的</w:t>
      </w:r>
      <w:r w:rsidRPr="00DC315B">
        <w:rPr>
          <w:color w:val="000000"/>
          <w:sz w:val="24"/>
        </w:rPr>
        <w:t>,</w:t>
      </w:r>
      <w:r w:rsidRPr="00DC315B">
        <w:rPr>
          <w:color w:val="000000"/>
          <w:sz w:val="24"/>
        </w:rPr>
        <w:t>主要选择流动性好、交易活跃的股指期货合约。本基金力争利用股指期货的杠杆作用</w:t>
      </w:r>
      <w:r w:rsidRPr="00DC315B">
        <w:rPr>
          <w:color w:val="000000"/>
          <w:sz w:val="24"/>
        </w:rPr>
        <w:t>,</w:t>
      </w:r>
      <w:r w:rsidRPr="00DC315B">
        <w:rPr>
          <w:color w:val="000000"/>
          <w:sz w:val="24"/>
        </w:rPr>
        <w:t>降低股票仓位频繁调整的交易成本和跟踪误差</w:t>
      </w:r>
      <w:r w:rsidRPr="00DC315B">
        <w:rPr>
          <w:color w:val="000000"/>
          <w:sz w:val="24"/>
        </w:rPr>
        <w:t>,</w:t>
      </w:r>
      <w:r w:rsidRPr="00DC315B">
        <w:rPr>
          <w:color w:val="000000"/>
          <w:sz w:val="24"/>
        </w:rPr>
        <w:t>达到有效跟踪标的指数的目的。本报告期内</w:t>
      </w:r>
      <w:r w:rsidRPr="00DC315B">
        <w:rPr>
          <w:color w:val="000000"/>
          <w:sz w:val="24"/>
        </w:rPr>
        <w:t>,</w:t>
      </w:r>
      <w:r w:rsidRPr="00DC315B">
        <w:rPr>
          <w:color w:val="000000"/>
          <w:sz w:val="24"/>
        </w:rPr>
        <w:t>本基金投资股指期货符合既定的投资政策和投资目的。</w:t>
      </w:r>
    </w:p>
    <w:p w:rsidR="00A62673" w:rsidRPr="00EC5CE0" w:rsidRDefault="00A62673" w:rsidP="00045BEC">
      <w:pPr>
        <w:adjustRightInd w:val="0"/>
        <w:snapToGrid w:val="0"/>
        <w:spacing w:line="360" w:lineRule="auto"/>
        <w:rPr>
          <w:rFonts w:ascii="宋体"/>
          <w:b/>
          <w:sz w:val="24"/>
        </w:rPr>
      </w:pPr>
      <w:r w:rsidRPr="00EC5CE0">
        <w:rPr>
          <w:rFonts w:ascii="宋体" w:hAnsi="宋体"/>
          <w:b/>
          <w:sz w:val="24"/>
        </w:rPr>
        <w:t>5.10</w:t>
      </w:r>
      <w:r w:rsidRPr="00EC5CE0">
        <w:rPr>
          <w:rFonts w:ascii="宋体" w:hAnsi="宋体" w:hint="eastAsia"/>
          <w:b/>
          <w:sz w:val="24"/>
        </w:rPr>
        <w:t>报告期末本基金投资的国债期货交易情况说明</w:t>
      </w:r>
    </w:p>
    <w:p w:rsidR="00F75CC2" w:rsidRDefault="00F75CC2" w:rsidP="00F75CC2">
      <w:pPr>
        <w:spacing w:line="360" w:lineRule="auto"/>
        <w:ind w:firstLineChars="200" w:firstLine="480"/>
      </w:pPr>
      <w:r>
        <w:rPr>
          <w:color w:val="000000"/>
          <w:sz w:val="24"/>
        </w:rPr>
        <w:t>本基金本报告期末未投资国债期货。</w:t>
      </w:r>
    </w:p>
    <w:p w:rsidR="00A62673" w:rsidRPr="00EC5CE0" w:rsidRDefault="00A62673" w:rsidP="00045BEC">
      <w:pPr>
        <w:autoSpaceDE w:val="0"/>
        <w:autoSpaceDN w:val="0"/>
        <w:adjustRightInd w:val="0"/>
        <w:spacing w:line="360" w:lineRule="auto"/>
        <w:jc w:val="left"/>
        <w:rPr>
          <w:rFonts w:ascii="宋体" w:cs="Arial"/>
          <w:b/>
          <w:color w:val="000000"/>
          <w:kern w:val="0"/>
          <w:sz w:val="24"/>
        </w:rPr>
      </w:pPr>
      <w:r w:rsidRPr="00EC5CE0">
        <w:rPr>
          <w:rFonts w:ascii="宋体" w:hAnsi="宋体" w:cs="Arial"/>
          <w:b/>
          <w:color w:val="000000"/>
          <w:kern w:val="0"/>
          <w:sz w:val="24"/>
        </w:rPr>
        <w:t>5.11</w:t>
      </w:r>
      <w:r w:rsidRPr="00EC5CE0">
        <w:rPr>
          <w:rFonts w:ascii="宋体" w:hAnsi="宋体" w:cs="Arial" w:hint="eastAsia"/>
          <w:b/>
          <w:color w:val="000000"/>
          <w:kern w:val="0"/>
          <w:sz w:val="24"/>
        </w:rPr>
        <w:t>投资组合报告附注</w:t>
      </w:r>
    </w:p>
    <w:p w:rsidR="00A62673" w:rsidRPr="00C1648E" w:rsidRDefault="00A62673" w:rsidP="00045BEC">
      <w:pPr>
        <w:spacing w:line="360" w:lineRule="auto"/>
        <w:rPr>
          <w:color w:val="000000"/>
          <w:sz w:val="24"/>
        </w:rPr>
      </w:pPr>
      <w:r w:rsidRPr="00EC5CE0">
        <w:rPr>
          <w:rFonts w:ascii="宋体" w:hAnsi="宋体"/>
          <w:color w:val="000000"/>
          <w:sz w:val="24"/>
        </w:rPr>
        <w:t>5.11.1</w:t>
      </w:r>
      <w:r w:rsidRPr="00C1648E">
        <w:rPr>
          <w:color w:val="000000"/>
          <w:sz w:val="24"/>
        </w:rPr>
        <w:t>2018</w:t>
      </w:r>
      <w:r w:rsidRPr="00C1648E">
        <w:rPr>
          <w:color w:val="000000"/>
          <w:sz w:val="24"/>
        </w:rPr>
        <w:t>年</w:t>
      </w:r>
      <w:r w:rsidRPr="00C1648E">
        <w:rPr>
          <w:color w:val="000000"/>
          <w:sz w:val="24"/>
        </w:rPr>
        <w:t>10</w:t>
      </w:r>
      <w:r w:rsidRPr="00C1648E">
        <w:rPr>
          <w:color w:val="000000"/>
          <w:sz w:val="24"/>
        </w:rPr>
        <w:t>月</w:t>
      </w:r>
      <w:r w:rsidRPr="00C1648E">
        <w:rPr>
          <w:color w:val="000000"/>
          <w:sz w:val="24"/>
        </w:rPr>
        <w:t>18</w:t>
      </w:r>
      <w:r w:rsidRPr="00C1648E">
        <w:rPr>
          <w:color w:val="000000"/>
          <w:sz w:val="24"/>
        </w:rPr>
        <w:t>日，上海保监局针对交通银行欺骗投保人、向投保人隐瞒与合同有关的重要情况的违法违规事实，责令改正，并处</w:t>
      </w:r>
      <w:r w:rsidRPr="00C1648E">
        <w:rPr>
          <w:color w:val="000000"/>
          <w:sz w:val="24"/>
        </w:rPr>
        <w:t>34</w:t>
      </w:r>
      <w:r w:rsidRPr="00C1648E">
        <w:rPr>
          <w:color w:val="000000"/>
          <w:sz w:val="24"/>
        </w:rPr>
        <w:t>万元罚款。</w:t>
      </w:r>
    </w:p>
    <w:p w:rsidR="003469A5" w:rsidRDefault="00541837">
      <w:pPr>
        <w:spacing w:line="360" w:lineRule="auto"/>
        <w:rPr>
          <w:color w:val="000000"/>
          <w:sz w:val="24"/>
        </w:rPr>
      </w:pPr>
      <w:r>
        <w:rPr>
          <w:color w:val="000000"/>
          <w:sz w:val="24"/>
        </w:rPr>
        <w:t>2018</w:t>
      </w:r>
      <w:r>
        <w:rPr>
          <w:color w:val="000000"/>
          <w:sz w:val="24"/>
        </w:rPr>
        <w:t>年</w:t>
      </w:r>
      <w:r>
        <w:rPr>
          <w:color w:val="000000"/>
          <w:sz w:val="24"/>
        </w:rPr>
        <w:t>11</w:t>
      </w:r>
      <w:r>
        <w:rPr>
          <w:color w:val="000000"/>
          <w:sz w:val="24"/>
        </w:rPr>
        <w:t>月</w:t>
      </w:r>
      <w:r>
        <w:rPr>
          <w:color w:val="000000"/>
          <w:sz w:val="24"/>
        </w:rPr>
        <w:t>9</w:t>
      </w:r>
      <w:r>
        <w:rPr>
          <w:color w:val="000000"/>
          <w:sz w:val="24"/>
        </w:rPr>
        <w:t>日，中国银行保险监督管理委员会对交通银行股份有限公司关于以下违规事实：（一）不良信贷资产未洁净转让、理财资金投资本行不良信贷资产收益权；（二）未尽职调查并使用自有资金垫付承接风险资产；（三）档案管理不到位、内控管理存在严重漏洞；（四）理财资金借助保险资管渠道虚增本行存款规模；（五）违规向土地储备机构提供融资；（六）信贷资金违规承接本行表外理财资产；（七）理</w:t>
      </w:r>
      <w:r>
        <w:rPr>
          <w:color w:val="000000"/>
          <w:sz w:val="24"/>
        </w:rPr>
        <w:t>财资金违规投资项目资本金；（八）部分理财产品信息披露不合规；（九）现场检查配合不力，处以罚款</w:t>
      </w:r>
      <w:r>
        <w:rPr>
          <w:color w:val="000000"/>
          <w:sz w:val="24"/>
        </w:rPr>
        <w:t>690</w:t>
      </w:r>
      <w:r>
        <w:rPr>
          <w:color w:val="000000"/>
          <w:sz w:val="24"/>
        </w:rPr>
        <w:t>万元人民币。</w:t>
      </w:r>
    </w:p>
    <w:p w:rsidR="003469A5" w:rsidRDefault="00541837">
      <w:pPr>
        <w:spacing w:line="360" w:lineRule="auto"/>
        <w:rPr>
          <w:color w:val="000000"/>
          <w:sz w:val="24"/>
        </w:rPr>
      </w:pPr>
      <w:r>
        <w:rPr>
          <w:color w:val="000000"/>
          <w:sz w:val="24"/>
        </w:rPr>
        <w:t>2018</w:t>
      </w:r>
      <w:r>
        <w:rPr>
          <w:color w:val="000000"/>
          <w:sz w:val="24"/>
        </w:rPr>
        <w:t>年</w:t>
      </w:r>
      <w:r>
        <w:rPr>
          <w:color w:val="000000"/>
          <w:sz w:val="24"/>
        </w:rPr>
        <w:t>11</w:t>
      </w:r>
      <w:r>
        <w:rPr>
          <w:color w:val="000000"/>
          <w:sz w:val="24"/>
        </w:rPr>
        <w:t>月</w:t>
      </w:r>
      <w:r>
        <w:rPr>
          <w:color w:val="000000"/>
          <w:sz w:val="24"/>
        </w:rPr>
        <w:t>9</w:t>
      </w:r>
      <w:r>
        <w:rPr>
          <w:color w:val="000000"/>
          <w:sz w:val="24"/>
        </w:rPr>
        <w:t>日，中国银行保险监督管理委员会对交通银行股份有限公司并购贷款占并购交易价款比例不合规；并购贷款尽职调查和风险评估不到位的违规事实，处以罚款</w:t>
      </w:r>
      <w:r>
        <w:rPr>
          <w:color w:val="000000"/>
          <w:sz w:val="24"/>
        </w:rPr>
        <w:t>50</w:t>
      </w:r>
      <w:r>
        <w:rPr>
          <w:color w:val="000000"/>
          <w:sz w:val="24"/>
        </w:rPr>
        <w:t>万元人民币。</w:t>
      </w:r>
    </w:p>
    <w:p w:rsidR="003469A5" w:rsidRDefault="00541837">
      <w:pPr>
        <w:spacing w:line="360" w:lineRule="auto"/>
        <w:rPr>
          <w:color w:val="000000"/>
          <w:sz w:val="24"/>
        </w:rPr>
      </w:pPr>
      <w:r>
        <w:rPr>
          <w:color w:val="000000"/>
          <w:sz w:val="24"/>
        </w:rPr>
        <w:t>2019</w:t>
      </w:r>
      <w:r>
        <w:rPr>
          <w:color w:val="000000"/>
          <w:sz w:val="24"/>
        </w:rPr>
        <w:t>年</w:t>
      </w:r>
      <w:r>
        <w:rPr>
          <w:color w:val="000000"/>
          <w:sz w:val="24"/>
        </w:rPr>
        <w:t>7</w:t>
      </w:r>
      <w:r>
        <w:rPr>
          <w:color w:val="000000"/>
          <w:sz w:val="24"/>
        </w:rPr>
        <w:t>月</w:t>
      </w:r>
      <w:r>
        <w:rPr>
          <w:color w:val="000000"/>
          <w:sz w:val="24"/>
        </w:rPr>
        <w:t>25</w:t>
      </w:r>
      <w:r>
        <w:rPr>
          <w:color w:val="000000"/>
          <w:sz w:val="24"/>
        </w:rPr>
        <w:t>日，中国银行保险监督管理委员会上海监管局对交通银行股份有限公司太平洋信用卡中心</w:t>
      </w:r>
      <w:r>
        <w:rPr>
          <w:color w:val="000000"/>
          <w:sz w:val="24"/>
        </w:rPr>
        <w:t>2017</w:t>
      </w:r>
      <w:r>
        <w:rPr>
          <w:color w:val="000000"/>
          <w:sz w:val="24"/>
        </w:rPr>
        <w:t>年</w:t>
      </w:r>
      <w:r>
        <w:rPr>
          <w:color w:val="000000"/>
          <w:sz w:val="24"/>
        </w:rPr>
        <w:t>6</w:t>
      </w:r>
      <w:r>
        <w:rPr>
          <w:color w:val="000000"/>
          <w:sz w:val="24"/>
        </w:rPr>
        <w:t>月至</w:t>
      </w:r>
      <w:r>
        <w:rPr>
          <w:color w:val="000000"/>
          <w:sz w:val="24"/>
        </w:rPr>
        <w:t>10</w:t>
      </w:r>
      <w:r>
        <w:rPr>
          <w:color w:val="000000"/>
          <w:sz w:val="24"/>
        </w:rPr>
        <w:t>月期间在办理部分客户信用卡业务时未遵守总授信额度管理制度的违规事实，处以责令改正，并处罚款</w:t>
      </w:r>
      <w:r>
        <w:rPr>
          <w:color w:val="000000"/>
          <w:sz w:val="24"/>
        </w:rPr>
        <w:t>40</w:t>
      </w:r>
      <w:r>
        <w:rPr>
          <w:color w:val="000000"/>
          <w:sz w:val="24"/>
        </w:rPr>
        <w:t>万元。</w:t>
      </w:r>
    </w:p>
    <w:p w:rsidR="003469A5" w:rsidRDefault="00541837">
      <w:pPr>
        <w:spacing w:line="360" w:lineRule="auto"/>
        <w:rPr>
          <w:color w:val="000000"/>
          <w:sz w:val="24"/>
        </w:rPr>
      </w:pPr>
      <w:r>
        <w:rPr>
          <w:color w:val="000000"/>
          <w:sz w:val="24"/>
        </w:rPr>
        <w:t>2018</w:t>
      </w:r>
      <w:r>
        <w:rPr>
          <w:color w:val="000000"/>
          <w:sz w:val="24"/>
        </w:rPr>
        <w:t>年</w:t>
      </w:r>
      <w:r>
        <w:rPr>
          <w:color w:val="000000"/>
          <w:sz w:val="24"/>
        </w:rPr>
        <w:t>11</w:t>
      </w:r>
      <w:r>
        <w:rPr>
          <w:color w:val="000000"/>
          <w:sz w:val="24"/>
        </w:rPr>
        <w:t>月</w:t>
      </w:r>
      <w:r>
        <w:rPr>
          <w:color w:val="000000"/>
          <w:sz w:val="24"/>
        </w:rPr>
        <w:t>9</w:t>
      </w:r>
      <w:r>
        <w:rPr>
          <w:color w:val="000000"/>
          <w:sz w:val="24"/>
        </w:rPr>
        <w:t>日，中国银行保险监督管理委员会对中国光大银行股份有限公司关于以下违规事实：（一）内控管理严重违反审慎经营规则；（二）以误导方式违规销售理财产品；（三）以修改理财合同文本或误导方式违规销售理财产品；（四）违规以类信贷业务收费或提供质价不符的服务；（五）同业投资违规接受担保；（六）通过同业投资或贷款虚增存款规模，处以没收违法所得</w:t>
      </w:r>
      <w:r>
        <w:rPr>
          <w:color w:val="000000"/>
          <w:sz w:val="24"/>
        </w:rPr>
        <w:t>100</w:t>
      </w:r>
      <w:r>
        <w:rPr>
          <w:color w:val="000000"/>
          <w:sz w:val="24"/>
        </w:rPr>
        <w:t>万元，罚款</w:t>
      </w:r>
      <w:r>
        <w:rPr>
          <w:color w:val="000000"/>
          <w:sz w:val="24"/>
        </w:rPr>
        <w:t>1020</w:t>
      </w:r>
      <w:r>
        <w:rPr>
          <w:color w:val="000000"/>
          <w:sz w:val="24"/>
        </w:rPr>
        <w:t>万元，合计</w:t>
      </w:r>
      <w:r>
        <w:rPr>
          <w:color w:val="000000"/>
          <w:sz w:val="24"/>
        </w:rPr>
        <w:t>1120</w:t>
      </w:r>
      <w:r>
        <w:rPr>
          <w:color w:val="000000"/>
          <w:sz w:val="24"/>
        </w:rPr>
        <w:t>万元。</w:t>
      </w:r>
    </w:p>
    <w:p w:rsidR="003469A5" w:rsidRDefault="00541837">
      <w:pPr>
        <w:spacing w:line="360" w:lineRule="auto"/>
        <w:rPr>
          <w:color w:val="000000"/>
          <w:sz w:val="24"/>
        </w:rPr>
      </w:pPr>
      <w:r>
        <w:rPr>
          <w:color w:val="000000"/>
          <w:sz w:val="24"/>
        </w:rPr>
        <w:t>2018</w:t>
      </w:r>
      <w:r>
        <w:rPr>
          <w:color w:val="000000"/>
          <w:sz w:val="24"/>
        </w:rPr>
        <w:t>年</w:t>
      </w:r>
      <w:r>
        <w:rPr>
          <w:color w:val="000000"/>
          <w:sz w:val="24"/>
        </w:rPr>
        <w:t>12</w:t>
      </w:r>
      <w:r>
        <w:rPr>
          <w:color w:val="000000"/>
          <w:sz w:val="24"/>
        </w:rPr>
        <w:t>月</w:t>
      </w:r>
      <w:r>
        <w:rPr>
          <w:color w:val="000000"/>
          <w:sz w:val="24"/>
        </w:rPr>
        <w:t>21</w:t>
      </w:r>
      <w:r>
        <w:rPr>
          <w:color w:val="000000"/>
          <w:sz w:val="24"/>
        </w:rPr>
        <w:t>日，中国人民银行许昌市中心支行对中国光大银行股份有限公司虚报、瞒报金融统计数据的违法违规事实，给予警告并罚</w:t>
      </w:r>
      <w:r>
        <w:rPr>
          <w:color w:val="000000"/>
          <w:sz w:val="24"/>
        </w:rPr>
        <w:t>款</w:t>
      </w:r>
      <w:r>
        <w:rPr>
          <w:color w:val="000000"/>
          <w:sz w:val="24"/>
        </w:rPr>
        <w:t>4</w:t>
      </w:r>
      <w:r>
        <w:rPr>
          <w:color w:val="000000"/>
          <w:sz w:val="24"/>
        </w:rPr>
        <w:t>万元。</w:t>
      </w:r>
    </w:p>
    <w:p w:rsidR="003469A5" w:rsidRDefault="00541837">
      <w:pPr>
        <w:spacing w:line="360" w:lineRule="auto"/>
        <w:rPr>
          <w:color w:val="000000"/>
          <w:sz w:val="24"/>
        </w:rPr>
      </w:pPr>
      <w:r>
        <w:rPr>
          <w:color w:val="000000"/>
          <w:sz w:val="24"/>
        </w:rPr>
        <w:t>2019</w:t>
      </w:r>
      <w:r>
        <w:rPr>
          <w:color w:val="000000"/>
          <w:sz w:val="24"/>
        </w:rPr>
        <w:t>年</w:t>
      </w:r>
      <w:r>
        <w:rPr>
          <w:color w:val="000000"/>
          <w:sz w:val="24"/>
        </w:rPr>
        <w:t>6</w:t>
      </w:r>
      <w:r>
        <w:rPr>
          <w:color w:val="000000"/>
          <w:sz w:val="24"/>
        </w:rPr>
        <w:t>月</w:t>
      </w:r>
      <w:r>
        <w:rPr>
          <w:color w:val="000000"/>
          <w:sz w:val="24"/>
        </w:rPr>
        <w:t>24</w:t>
      </w:r>
      <w:r>
        <w:rPr>
          <w:color w:val="000000"/>
          <w:sz w:val="24"/>
        </w:rPr>
        <w:t>日，中国银行保险监督管理委员会对上海浦东发展银行股份有限公司关于以下违法违规事实：（一）对成都分行授信业务及整改情况严重失察；（二）重大审计发现未向监管部门报告；（三）轮岗制度执行不力，处以罚款</w:t>
      </w:r>
      <w:r>
        <w:rPr>
          <w:color w:val="000000"/>
          <w:sz w:val="24"/>
        </w:rPr>
        <w:t>130</w:t>
      </w:r>
      <w:r>
        <w:rPr>
          <w:color w:val="000000"/>
          <w:sz w:val="24"/>
        </w:rPr>
        <w:t>万元人民币。</w:t>
      </w:r>
    </w:p>
    <w:p w:rsidR="003469A5" w:rsidRDefault="00541837">
      <w:pPr>
        <w:spacing w:line="360" w:lineRule="auto"/>
        <w:rPr>
          <w:color w:val="000000"/>
          <w:sz w:val="24"/>
        </w:rPr>
      </w:pPr>
      <w:r>
        <w:rPr>
          <w:color w:val="000000"/>
          <w:sz w:val="24"/>
        </w:rPr>
        <w:t>2019</w:t>
      </w:r>
      <w:r>
        <w:rPr>
          <w:color w:val="000000"/>
          <w:sz w:val="24"/>
        </w:rPr>
        <w:t>年</w:t>
      </w:r>
      <w:r>
        <w:rPr>
          <w:color w:val="000000"/>
          <w:sz w:val="24"/>
        </w:rPr>
        <w:t>7</w:t>
      </w:r>
      <w:r>
        <w:rPr>
          <w:color w:val="000000"/>
          <w:sz w:val="24"/>
        </w:rPr>
        <w:t>月</w:t>
      </w:r>
      <w:r>
        <w:rPr>
          <w:color w:val="000000"/>
          <w:sz w:val="24"/>
        </w:rPr>
        <w:t>8</w:t>
      </w:r>
      <w:r>
        <w:rPr>
          <w:color w:val="000000"/>
          <w:sz w:val="24"/>
        </w:rPr>
        <w:t>日，中国银行保险监督管理委员会上海监管局对上海浦东发展银行股份有限公司信用卡中心</w:t>
      </w:r>
      <w:r>
        <w:rPr>
          <w:color w:val="000000"/>
          <w:sz w:val="24"/>
        </w:rPr>
        <w:t>2015</w:t>
      </w:r>
      <w:r>
        <w:rPr>
          <w:color w:val="000000"/>
          <w:sz w:val="24"/>
        </w:rPr>
        <w:t>年至</w:t>
      </w:r>
      <w:r>
        <w:rPr>
          <w:color w:val="000000"/>
          <w:sz w:val="24"/>
        </w:rPr>
        <w:t>2018</w:t>
      </w:r>
      <w:r>
        <w:rPr>
          <w:color w:val="000000"/>
          <w:sz w:val="24"/>
        </w:rPr>
        <w:t>年</w:t>
      </w:r>
      <w:r>
        <w:rPr>
          <w:color w:val="000000"/>
          <w:sz w:val="24"/>
        </w:rPr>
        <w:t>6</w:t>
      </w:r>
      <w:r>
        <w:rPr>
          <w:color w:val="000000"/>
          <w:sz w:val="24"/>
        </w:rPr>
        <w:t>月在为部分客户办理信用卡业务时，对申请人收入核定严重不审慎的违法违规事实，责令改正，并处罚款</w:t>
      </w:r>
      <w:r>
        <w:rPr>
          <w:color w:val="000000"/>
          <w:sz w:val="24"/>
        </w:rPr>
        <w:t>30</w:t>
      </w:r>
      <w:r>
        <w:rPr>
          <w:color w:val="000000"/>
          <w:sz w:val="24"/>
        </w:rPr>
        <w:t>万元。</w:t>
      </w:r>
    </w:p>
    <w:p w:rsidR="003469A5" w:rsidRDefault="00541837">
      <w:pPr>
        <w:spacing w:line="360" w:lineRule="auto"/>
        <w:rPr>
          <w:color w:val="000000"/>
          <w:sz w:val="24"/>
        </w:rPr>
      </w:pPr>
      <w:r>
        <w:rPr>
          <w:color w:val="000000"/>
          <w:sz w:val="24"/>
        </w:rPr>
        <w:t>2019</w:t>
      </w:r>
      <w:r>
        <w:rPr>
          <w:color w:val="000000"/>
          <w:sz w:val="24"/>
        </w:rPr>
        <w:t>年</w:t>
      </w:r>
      <w:r>
        <w:rPr>
          <w:color w:val="000000"/>
          <w:sz w:val="24"/>
        </w:rPr>
        <w:t>7</w:t>
      </w:r>
      <w:r>
        <w:rPr>
          <w:color w:val="000000"/>
          <w:sz w:val="24"/>
        </w:rPr>
        <w:t>月</w:t>
      </w:r>
      <w:r>
        <w:rPr>
          <w:color w:val="000000"/>
          <w:sz w:val="24"/>
        </w:rPr>
        <w:t>8</w:t>
      </w:r>
      <w:r>
        <w:rPr>
          <w:color w:val="000000"/>
          <w:sz w:val="24"/>
        </w:rPr>
        <w:t>日，中国银行保险监督管理委员</w:t>
      </w:r>
      <w:r>
        <w:rPr>
          <w:color w:val="000000"/>
          <w:sz w:val="24"/>
        </w:rPr>
        <w:t>会上海监管局对招商银行股份有限公司信用卡中心</w:t>
      </w:r>
      <w:r>
        <w:rPr>
          <w:color w:val="000000"/>
          <w:sz w:val="24"/>
        </w:rPr>
        <w:t>2016</w:t>
      </w:r>
      <w:r>
        <w:rPr>
          <w:color w:val="000000"/>
          <w:sz w:val="24"/>
        </w:rPr>
        <w:t>年</w:t>
      </w:r>
      <w:r>
        <w:rPr>
          <w:color w:val="000000"/>
          <w:sz w:val="24"/>
        </w:rPr>
        <w:t>9</w:t>
      </w:r>
      <w:r>
        <w:rPr>
          <w:color w:val="000000"/>
          <w:sz w:val="24"/>
        </w:rPr>
        <w:t>月至</w:t>
      </w:r>
      <w:r>
        <w:rPr>
          <w:color w:val="000000"/>
          <w:sz w:val="24"/>
        </w:rPr>
        <w:t>2018</w:t>
      </w:r>
      <w:r>
        <w:rPr>
          <w:color w:val="000000"/>
          <w:sz w:val="24"/>
        </w:rPr>
        <w:t>年</w:t>
      </w:r>
      <w:r>
        <w:rPr>
          <w:color w:val="000000"/>
          <w:sz w:val="24"/>
        </w:rPr>
        <w:t>6</w:t>
      </w:r>
      <w:r>
        <w:rPr>
          <w:color w:val="000000"/>
          <w:sz w:val="24"/>
        </w:rPr>
        <w:t>月在为部分客户办理信用卡业务时，未遵守总授信额度管理制度的违法违规事实，责令改正，并处罚款</w:t>
      </w:r>
      <w:r>
        <w:rPr>
          <w:color w:val="000000"/>
          <w:sz w:val="24"/>
        </w:rPr>
        <w:t>20</w:t>
      </w:r>
      <w:r>
        <w:rPr>
          <w:color w:val="000000"/>
          <w:sz w:val="24"/>
        </w:rPr>
        <w:t>万元。</w:t>
      </w:r>
    </w:p>
    <w:p w:rsidR="003469A5" w:rsidRDefault="00541837">
      <w:pPr>
        <w:spacing w:line="360" w:lineRule="auto"/>
        <w:rPr>
          <w:color w:val="000000"/>
          <w:sz w:val="24"/>
        </w:rPr>
      </w:pPr>
      <w:r>
        <w:rPr>
          <w:color w:val="000000"/>
          <w:sz w:val="24"/>
        </w:rPr>
        <w:t>本基金投资上述股票的投资决策程序符合公司投资制度的规定。除交通银行、光大银行、浦发银行、招商银行外，本基金投资的前十名证券的发行主体本期没有出现被监管部门立案调查，或在报告编制日前一年内受到公开谴责、处罚的情形。</w:t>
      </w:r>
    </w:p>
    <w:p w:rsidR="00A62673" w:rsidRPr="00C1648E" w:rsidRDefault="00A62673" w:rsidP="00045BEC">
      <w:pPr>
        <w:spacing w:line="360" w:lineRule="auto"/>
        <w:rPr>
          <w:color w:val="000000"/>
          <w:sz w:val="24"/>
        </w:rPr>
      </w:pPr>
      <w:r w:rsidRPr="00EC5CE0">
        <w:rPr>
          <w:rFonts w:ascii="宋体" w:hAnsi="宋体"/>
          <w:color w:val="000000"/>
          <w:sz w:val="24"/>
        </w:rPr>
        <w:t>5.11.2</w:t>
      </w:r>
      <w:r w:rsidRPr="00C1648E">
        <w:rPr>
          <w:color w:val="000000"/>
          <w:sz w:val="24"/>
        </w:rPr>
        <w:t>本基金投资的前十名股票没有超出基金合同规定的备选股票库。</w:t>
      </w:r>
    </w:p>
    <w:p w:rsidR="00A62673" w:rsidRPr="00977154" w:rsidRDefault="00A62673" w:rsidP="00045BEC">
      <w:pPr>
        <w:autoSpaceDE w:val="0"/>
        <w:autoSpaceDN w:val="0"/>
        <w:adjustRightInd w:val="0"/>
        <w:spacing w:line="360" w:lineRule="auto"/>
        <w:jc w:val="left"/>
        <w:rPr>
          <w:rFonts w:ascii="宋体" w:cs="Arial"/>
          <w:color w:val="000000"/>
          <w:kern w:val="0"/>
          <w:sz w:val="24"/>
        </w:rPr>
      </w:pPr>
      <w:r w:rsidRPr="00977154">
        <w:rPr>
          <w:rFonts w:ascii="宋体" w:hAnsi="宋体"/>
          <w:color w:val="000000"/>
          <w:kern w:val="0"/>
          <w:sz w:val="24"/>
        </w:rPr>
        <w:t>5.11.3</w:t>
      </w:r>
      <w:r w:rsidRPr="00977154">
        <w:rPr>
          <w:rFonts w:ascii="宋体" w:hAnsi="宋体" w:cs="Arial" w:hint="eastAsia"/>
          <w:color w:val="000000"/>
          <w:kern w:val="0"/>
          <w:sz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4"/>
        <w:gridCol w:w="2761"/>
        <w:gridCol w:w="4808"/>
      </w:tblGrid>
      <w:tr w:rsidR="00A62673" w:rsidRPr="00EC5CE0" w:rsidTr="006B315F">
        <w:tc>
          <w:tcPr>
            <w:tcW w:w="944" w:type="dxa"/>
            <w:vAlign w:val="center"/>
          </w:tcPr>
          <w:p w:rsidR="00A62673" w:rsidRPr="00C1648E" w:rsidRDefault="00A62673" w:rsidP="006B315F">
            <w:pPr>
              <w:autoSpaceDE w:val="0"/>
              <w:autoSpaceDN w:val="0"/>
              <w:adjustRightInd w:val="0"/>
              <w:spacing w:before="29" w:line="360" w:lineRule="auto"/>
              <w:ind w:left="17"/>
              <w:jc w:val="center"/>
              <w:rPr>
                <w:color w:val="000000"/>
                <w:kern w:val="0"/>
                <w:sz w:val="24"/>
              </w:rPr>
            </w:pPr>
            <w:r w:rsidRPr="00C1648E">
              <w:rPr>
                <w:color w:val="000000"/>
                <w:kern w:val="0"/>
                <w:sz w:val="24"/>
              </w:rPr>
              <w:t>序号</w:t>
            </w:r>
          </w:p>
        </w:tc>
        <w:tc>
          <w:tcPr>
            <w:tcW w:w="2761" w:type="dxa"/>
            <w:vAlign w:val="center"/>
          </w:tcPr>
          <w:p w:rsidR="00A62673" w:rsidRPr="00C1648E" w:rsidRDefault="00A62673" w:rsidP="006B315F">
            <w:pPr>
              <w:autoSpaceDE w:val="0"/>
              <w:autoSpaceDN w:val="0"/>
              <w:adjustRightInd w:val="0"/>
              <w:spacing w:before="29" w:line="360" w:lineRule="auto"/>
              <w:ind w:left="17"/>
              <w:jc w:val="center"/>
              <w:rPr>
                <w:color w:val="000000"/>
                <w:kern w:val="0"/>
                <w:sz w:val="24"/>
              </w:rPr>
            </w:pPr>
            <w:r w:rsidRPr="00C1648E">
              <w:rPr>
                <w:color w:val="000000"/>
                <w:kern w:val="0"/>
                <w:sz w:val="24"/>
              </w:rPr>
              <w:t>名称</w:t>
            </w:r>
          </w:p>
        </w:tc>
        <w:tc>
          <w:tcPr>
            <w:tcW w:w="4808" w:type="dxa"/>
            <w:vAlign w:val="center"/>
          </w:tcPr>
          <w:p w:rsidR="00A62673" w:rsidRPr="00C1648E" w:rsidRDefault="00A62673" w:rsidP="006B315F">
            <w:pPr>
              <w:autoSpaceDE w:val="0"/>
              <w:autoSpaceDN w:val="0"/>
              <w:adjustRightInd w:val="0"/>
              <w:spacing w:before="29" w:line="360" w:lineRule="auto"/>
              <w:ind w:left="17"/>
              <w:jc w:val="center"/>
              <w:rPr>
                <w:color w:val="000000"/>
                <w:kern w:val="0"/>
                <w:sz w:val="24"/>
              </w:rPr>
            </w:pPr>
            <w:r w:rsidRPr="00C1648E">
              <w:rPr>
                <w:color w:val="000000"/>
                <w:kern w:val="0"/>
                <w:sz w:val="24"/>
              </w:rPr>
              <w:t>金额</w:t>
            </w:r>
            <w:r w:rsidR="005A2769" w:rsidRPr="00C1648E">
              <w:rPr>
                <w:color w:val="000000"/>
                <w:kern w:val="0"/>
                <w:sz w:val="24"/>
              </w:rPr>
              <w:t>（元）</w:t>
            </w:r>
          </w:p>
        </w:tc>
      </w:tr>
      <w:tr w:rsidR="00A62673" w:rsidRPr="00EC5CE0" w:rsidTr="006B315F">
        <w:tc>
          <w:tcPr>
            <w:tcW w:w="944" w:type="dxa"/>
            <w:vAlign w:val="center"/>
          </w:tcPr>
          <w:p w:rsidR="00A62673" w:rsidRPr="00C1648E" w:rsidRDefault="00A62673" w:rsidP="006B315F">
            <w:pPr>
              <w:autoSpaceDE w:val="0"/>
              <w:autoSpaceDN w:val="0"/>
              <w:adjustRightInd w:val="0"/>
              <w:spacing w:before="29" w:line="360" w:lineRule="auto"/>
              <w:ind w:left="15"/>
              <w:jc w:val="center"/>
              <w:rPr>
                <w:color w:val="000000"/>
                <w:kern w:val="0"/>
                <w:sz w:val="24"/>
              </w:rPr>
            </w:pPr>
            <w:r w:rsidRPr="00C1648E">
              <w:rPr>
                <w:color w:val="000000"/>
                <w:sz w:val="24"/>
              </w:rPr>
              <w:t>1</w:t>
            </w:r>
          </w:p>
        </w:tc>
        <w:tc>
          <w:tcPr>
            <w:tcW w:w="2761" w:type="dxa"/>
            <w:vAlign w:val="center"/>
          </w:tcPr>
          <w:p w:rsidR="00A62673" w:rsidRPr="00C1648E" w:rsidRDefault="00A62673" w:rsidP="006B315F">
            <w:pPr>
              <w:autoSpaceDE w:val="0"/>
              <w:autoSpaceDN w:val="0"/>
              <w:adjustRightInd w:val="0"/>
              <w:spacing w:before="29" w:line="360" w:lineRule="auto"/>
              <w:ind w:left="15"/>
              <w:jc w:val="left"/>
              <w:rPr>
                <w:color w:val="000000"/>
                <w:kern w:val="0"/>
                <w:sz w:val="24"/>
              </w:rPr>
            </w:pPr>
            <w:r w:rsidRPr="00C1648E">
              <w:rPr>
                <w:color w:val="000000"/>
                <w:kern w:val="0"/>
                <w:sz w:val="24"/>
              </w:rPr>
              <w:t>存出保证金</w:t>
            </w:r>
          </w:p>
        </w:tc>
        <w:tc>
          <w:tcPr>
            <w:tcW w:w="4808" w:type="dxa"/>
            <w:vAlign w:val="center"/>
          </w:tcPr>
          <w:p w:rsidR="00A62673" w:rsidRPr="00C1648E" w:rsidRDefault="00A62673" w:rsidP="006B315F">
            <w:pPr>
              <w:autoSpaceDE w:val="0"/>
              <w:autoSpaceDN w:val="0"/>
              <w:adjustRightInd w:val="0"/>
              <w:spacing w:before="29" w:line="360" w:lineRule="auto"/>
              <w:ind w:left="15"/>
              <w:jc w:val="right"/>
              <w:rPr>
                <w:color w:val="000000"/>
                <w:kern w:val="0"/>
                <w:sz w:val="24"/>
              </w:rPr>
            </w:pPr>
            <w:r w:rsidRPr="00C1648E">
              <w:rPr>
                <w:color w:val="000000"/>
                <w:kern w:val="0"/>
                <w:sz w:val="24"/>
              </w:rPr>
              <w:t>436,663.28</w:t>
            </w:r>
          </w:p>
        </w:tc>
      </w:tr>
      <w:tr w:rsidR="00A62673" w:rsidRPr="00EC5CE0" w:rsidTr="006B315F">
        <w:tc>
          <w:tcPr>
            <w:tcW w:w="944" w:type="dxa"/>
            <w:vAlign w:val="center"/>
          </w:tcPr>
          <w:p w:rsidR="00A62673" w:rsidRPr="00C1648E" w:rsidRDefault="00A62673" w:rsidP="006B315F">
            <w:pPr>
              <w:autoSpaceDE w:val="0"/>
              <w:autoSpaceDN w:val="0"/>
              <w:adjustRightInd w:val="0"/>
              <w:spacing w:before="29" w:line="360" w:lineRule="auto"/>
              <w:ind w:left="15"/>
              <w:jc w:val="center"/>
              <w:rPr>
                <w:color w:val="000000"/>
                <w:sz w:val="24"/>
              </w:rPr>
            </w:pPr>
            <w:r w:rsidRPr="00C1648E">
              <w:rPr>
                <w:color w:val="000000"/>
                <w:sz w:val="24"/>
              </w:rPr>
              <w:t>2</w:t>
            </w:r>
          </w:p>
        </w:tc>
        <w:tc>
          <w:tcPr>
            <w:tcW w:w="2761" w:type="dxa"/>
            <w:vAlign w:val="center"/>
          </w:tcPr>
          <w:p w:rsidR="00A62673" w:rsidRPr="00C1648E" w:rsidRDefault="00A62673" w:rsidP="006B315F">
            <w:pPr>
              <w:autoSpaceDE w:val="0"/>
              <w:autoSpaceDN w:val="0"/>
              <w:adjustRightInd w:val="0"/>
              <w:spacing w:before="29" w:line="360" w:lineRule="auto"/>
              <w:ind w:left="15"/>
              <w:jc w:val="left"/>
              <w:rPr>
                <w:color w:val="000000"/>
                <w:kern w:val="0"/>
                <w:sz w:val="24"/>
              </w:rPr>
            </w:pPr>
            <w:r w:rsidRPr="00C1648E">
              <w:rPr>
                <w:color w:val="000000"/>
                <w:kern w:val="0"/>
                <w:sz w:val="24"/>
              </w:rPr>
              <w:t>应收证券清算款</w:t>
            </w:r>
          </w:p>
        </w:tc>
        <w:tc>
          <w:tcPr>
            <w:tcW w:w="4808" w:type="dxa"/>
            <w:vAlign w:val="center"/>
          </w:tcPr>
          <w:p w:rsidR="00A62673" w:rsidRPr="00C1648E" w:rsidRDefault="00A62673" w:rsidP="006B315F">
            <w:pPr>
              <w:autoSpaceDE w:val="0"/>
              <w:autoSpaceDN w:val="0"/>
              <w:adjustRightInd w:val="0"/>
              <w:spacing w:before="29" w:line="360" w:lineRule="auto"/>
              <w:ind w:left="15"/>
              <w:jc w:val="right"/>
              <w:rPr>
                <w:color w:val="000000"/>
                <w:kern w:val="0"/>
                <w:sz w:val="24"/>
              </w:rPr>
            </w:pPr>
            <w:r w:rsidRPr="00C1648E">
              <w:rPr>
                <w:color w:val="000000"/>
                <w:kern w:val="0"/>
                <w:sz w:val="24"/>
              </w:rPr>
              <w:t>1,558,799.77</w:t>
            </w:r>
          </w:p>
        </w:tc>
      </w:tr>
      <w:tr w:rsidR="00A62673" w:rsidRPr="00EC5CE0" w:rsidTr="006B315F">
        <w:tc>
          <w:tcPr>
            <w:tcW w:w="944" w:type="dxa"/>
            <w:vAlign w:val="center"/>
          </w:tcPr>
          <w:p w:rsidR="00A62673" w:rsidRPr="00C1648E" w:rsidRDefault="00A62673" w:rsidP="006B315F">
            <w:pPr>
              <w:autoSpaceDE w:val="0"/>
              <w:autoSpaceDN w:val="0"/>
              <w:adjustRightInd w:val="0"/>
              <w:spacing w:before="29" w:line="360" w:lineRule="auto"/>
              <w:ind w:left="15"/>
              <w:jc w:val="center"/>
              <w:rPr>
                <w:color w:val="000000"/>
                <w:sz w:val="24"/>
              </w:rPr>
            </w:pPr>
            <w:r w:rsidRPr="00C1648E">
              <w:rPr>
                <w:color w:val="000000"/>
                <w:sz w:val="24"/>
              </w:rPr>
              <w:t>3</w:t>
            </w:r>
          </w:p>
        </w:tc>
        <w:tc>
          <w:tcPr>
            <w:tcW w:w="2761" w:type="dxa"/>
            <w:vAlign w:val="center"/>
          </w:tcPr>
          <w:p w:rsidR="00A62673" w:rsidRPr="00C1648E" w:rsidRDefault="00A62673" w:rsidP="006B315F">
            <w:pPr>
              <w:autoSpaceDE w:val="0"/>
              <w:autoSpaceDN w:val="0"/>
              <w:adjustRightInd w:val="0"/>
              <w:spacing w:before="29" w:line="360" w:lineRule="auto"/>
              <w:ind w:left="15"/>
              <w:jc w:val="left"/>
              <w:rPr>
                <w:color w:val="000000"/>
                <w:kern w:val="0"/>
                <w:sz w:val="24"/>
              </w:rPr>
            </w:pPr>
            <w:r w:rsidRPr="00C1648E">
              <w:rPr>
                <w:color w:val="000000"/>
                <w:kern w:val="0"/>
                <w:sz w:val="24"/>
              </w:rPr>
              <w:t>应收股利</w:t>
            </w:r>
          </w:p>
        </w:tc>
        <w:tc>
          <w:tcPr>
            <w:tcW w:w="4808" w:type="dxa"/>
            <w:vAlign w:val="center"/>
          </w:tcPr>
          <w:p w:rsidR="00A62673" w:rsidRPr="00C1648E" w:rsidRDefault="00A62673" w:rsidP="006B315F">
            <w:pPr>
              <w:autoSpaceDE w:val="0"/>
              <w:autoSpaceDN w:val="0"/>
              <w:adjustRightInd w:val="0"/>
              <w:spacing w:before="29" w:line="360" w:lineRule="auto"/>
              <w:ind w:left="15"/>
              <w:jc w:val="right"/>
              <w:rPr>
                <w:color w:val="000000"/>
                <w:kern w:val="0"/>
                <w:sz w:val="24"/>
              </w:rPr>
            </w:pPr>
            <w:r w:rsidRPr="00C1648E">
              <w:rPr>
                <w:color w:val="000000"/>
                <w:kern w:val="0"/>
                <w:sz w:val="24"/>
              </w:rPr>
              <w:t>-</w:t>
            </w:r>
          </w:p>
        </w:tc>
      </w:tr>
      <w:tr w:rsidR="00A62673" w:rsidRPr="00EC5CE0" w:rsidTr="006B315F">
        <w:tc>
          <w:tcPr>
            <w:tcW w:w="944" w:type="dxa"/>
            <w:vAlign w:val="center"/>
          </w:tcPr>
          <w:p w:rsidR="00A62673" w:rsidRPr="00C1648E" w:rsidRDefault="00A62673" w:rsidP="006B315F">
            <w:pPr>
              <w:autoSpaceDE w:val="0"/>
              <w:autoSpaceDN w:val="0"/>
              <w:adjustRightInd w:val="0"/>
              <w:spacing w:before="29" w:line="360" w:lineRule="auto"/>
              <w:ind w:left="15"/>
              <w:jc w:val="center"/>
              <w:rPr>
                <w:color w:val="000000"/>
                <w:sz w:val="24"/>
              </w:rPr>
            </w:pPr>
            <w:r w:rsidRPr="00C1648E">
              <w:rPr>
                <w:color w:val="000000"/>
                <w:sz w:val="24"/>
              </w:rPr>
              <w:t>4</w:t>
            </w:r>
          </w:p>
        </w:tc>
        <w:tc>
          <w:tcPr>
            <w:tcW w:w="2761" w:type="dxa"/>
            <w:vAlign w:val="center"/>
          </w:tcPr>
          <w:p w:rsidR="00A62673" w:rsidRPr="00C1648E" w:rsidRDefault="00A62673" w:rsidP="006B315F">
            <w:pPr>
              <w:autoSpaceDE w:val="0"/>
              <w:autoSpaceDN w:val="0"/>
              <w:adjustRightInd w:val="0"/>
              <w:spacing w:before="29" w:line="360" w:lineRule="auto"/>
              <w:ind w:left="15"/>
              <w:jc w:val="left"/>
              <w:rPr>
                <w:color w:val="000000"/>
                <w:kern w:val="0"/>
                <w:sz w:val="24"/>
              </w:rPr>
            </w:pPr>
            <w:r w:rsidRPr="00C1648E">
              <w:rPr>
                <w:color w:val="000000"/>
                <w:kern w:val="0"/>
                <w:sz w:val="24"/>
              </w:rPr>
              <w:t>应收利息</w:t>
            </w:r>
          </w:p>
        </w:tc>
        <w:tc>
          <w:tcPr>
            <w:tcW w:w="4808" w:type="dxa"/>
            <w:vAlign w:val="center"/>
          </w:tcPr>
          <w:p w:rsidR="00A62673" w:rsidRPr="00C1648E" w:rsidRDefault="00A62673" w:rsidP="006B315F">
            <w:pPr>
              <w:autoSpaceDE w:val="0"/>
              <w:autoSpaceDN w:val="0"/>
              <w:adjustRightInd w:val="0"/>
              <w:spacing w:before="29" w:line="360" w:lineRule="auto"/>
              <w:ind w:left="15"/>
              <w:jc w:val="right"/>
              <w:rPr>
                <w:color w:val="000000"/>
                <w:kern w:val="0"/>
                <w:sz w:val="24"/>
              </w:rPr>
            </w:pPr>
            <w:r w:rsidRPr="00C1648E">
              <w:rPr>
                <w:color w:val="000000"/>
                <w:kern w:val="0"/>
                <w:sz w:val="24"/>
              </w:rPr>
              <w:t>15,354.88</w:t>
            </w:r>
          </w:p>
        </w:tc>
      </w:tr>
      <w:tr w:rsidR="00A62673" w:rsidRPr="00EC5CE0" w:rsidTr="006B315F">
        <w:tc>
          <w:tcPr>
            <w:tcW w:w="944" w:type="dxa"/>
            <w:vAlign w:val="center"/>
          </w:tcPr>
          <w:p w:rsidR="00A62673" w:rsidRPr="00C1648E" w:rsidRDefault="00A62673" w:rsidP="006B315F">
            <w:pPr>
              <w:autoSpaceDE w:val="0"/>
              <w:autoSpaceDN w:val="0"/>
              <w:adjustRightInd w:val="0"/>
              <w:spacing w:before="29" w:line="360" w:lineRule="auto"/>
              <w:ind w:left="15"/>
              <w:jc w:val="center"/>
              <w:rPr>
                <w:color w:val="000000"/>
                <w:sz w:val="24"/>
              </w:rPr>
            </w:pPr>
            <w:r w:rsidRPr="00C1648E">
              <w:rPr>
                <w:color w:val="000000"/>
                <w:sz w:val="24"/>
              </w:rPr>
              <w:t>5</w:t>
            </w:r>
          </w:p>
        </w:tc>
        <w:tc>
          <w:tcPr>
            <w:tcW w:w="2761" w:type="dxa"/>
            <w:vAlign w:val="center"/>
          </w:tcPr>
          <w:p w:rsidR="00A62673" w:rsidRPr="00C1648E" w:rsidRDefault="00A62673" w:rsidP="006B315F">
            <w:pPr>
              <w:autoSpaceDE w:val="0"/>
              <w:autoSpaceDN w:val="0"/>
              <w:adjustRightInd w:val="0"/>
              <w:spacing w:before="29" w:line="360" w:lineRule="auto"/>
              <w:ind w:left="15"/>
              <w:jc w:val="left"/>
              <w:rPr>
                <w:color w:val="000000"/>
                <w:kern w:val="0"/>
                <w:sz w:val="24"/>
              </w:rPr>
            </w:pPr>
            <w:r w:rsidRPr="00C1648E">
              <w:rPr>
                <w:color w:val="000000"/>
                <w:kern w:val="0"/>
                <w:sz w:val="24"/>
              </w:rPr>
              <w:t>应收申购款</w:t>
            </w:r>
          </w:p>
        </w:tc>
        <w:tc>
          <w:tcPr>
            <w:tcW w:w="4808" w:type="dxa"/>
            <w:vAlign w:val="center"/>
          </w:tcPr>
          <w:p w:rsidR="00A62673" w:rsidRPr="00C1648E" w:rsidRDefault="00A62673" w:rsidP="006B315F">
            <w:pPr>
              <w:autoSpaceDE w:val="0"/>
              <w:autoSpaceDN w:val="0"/>
              <w:adjustRightInd w:val="0"/>
              <w:spacing w:before="29" w:line="360" w:lineRule="auto"/>
              <w:ind w:left="15"/>
              <w:jc w:val="right"/>
              <w:rPr>
                <w:color w:val="000000"/>
                <w:kern w:val="0"/>
                <w:sz w:val="24"/>
              </w:rPr>
            </w:pPr>
            <w:r w:rsidRPr="00C1648E">
              <w:rPr>
                <w:color w:val="000000"/>
                <w:kern w:val="0"/>
                <w:sz w:val="24"/>
              </w:rPr>
              <w:t>2,756,855.41</w:t>
            </w:r>
          </w:p>
        </w:tc>
      </w:tr>
      <w:tr w:rsidR="00A62673" w:rsidRPr="00EC5CE0" w:rsidTr="006B315F">
        <w:tc>
          <w:tcPr>
            <w:tcW w:w="944" w:type="dxa"/>
            <w:vAlign w:val="center"/>
          </w:tcPr>
          <w:p w:rsidR="00A62673" w:rsidRPr="00C1648E" w:rsidRDefault="00A62673" w:rsidP="006B315F">
            <w:pPr>
              <w:autoSpaceDE w:val="0"/>
              <w:autoSpaceDN w:val="0"/>
              <w:adjustRightInd w:val="0"/>
              <w:spacing w:before="29" w:line="360" w:lineRule="auto"/>
              <w:ind w:left="15"/>
              <w:jc w:val="center"/>
              <w:rPr>
                <w:color w:val="000000"/>
                <w:sz w:val="24"/>
              </w:rPr>
            </w:pPr>
            <w:r w:rsidRPr="00C1648E">
              <w:rPr>
                <w:color w:val="000000"/>
                <w:sz w:val="24"/>
              </w:rPr>
              <w:t>6</w:t>
            </w:r>
          </w:p>
        </w:tc>
        <w:tc>
          <w:tcPr>
            <w:tcW w:w="2761" w:type="dxa"/>
            <w:vAlign w:val="center"/>
          </w:tcPr>
          <w:p w:rsidR="00A62673" w:rsidRPr="00C1648E" w:rsidRDefault="00A62673" w:rsidP="006B315F">
            <w:pPr>
              <w:autoSpaceDE w:val="0"/>
              <w:autoSpaceDN w:val="0"/>
              <w:adjustRightInd w:val="0"/>
              <w:spacing w:before="29" w:line="360" w:lineRule="auto"/>
              <w:ind w:left="15"/>
              <w:jc w:val="left"/>
              <w:rPr>
                <w:color w:val="000000"/>
                <w:kern w:val="0"/>
                <w:sz w:val="24"/>
              </w:rPr>
            </w:pPr>
            <w:r w:rsidRPr="00C1648E">
              <w:rPr>
                <w:color w:val="000000"/>
                <w:kern w:val="0"/>
                <w:sz w:val="24"/>
              </w:rPr>
              <w:t>其他应收款</w:t>
            </w:r>
          </w:p>
        </w:tc>
        <w:tc>
          <w:tcPr>
            <w:tcW w:w="4808" w:type="dxa"/>
            <w:vAlign w:val="center"/>
          </w:tcPr>
          <w:p w:rsidR="00A62673" w:rsidRPr="00C1648E" w:rsidRDefault="00A62673" w:rsidP="006B315F">
            <w:pPr>
              <w:autoSpaceDE w:val="0"/>
              <w:autoSpaceDN w:val="0"/>
              <w:adjustRightInd w:val="0"/>
              <w:spacing w:before="29" w:line="360" w:lineRule="auto"/>
              <w:ind w:left="15"/>
              <w:jc w:val="right"/>
              <w:rPr>
                <w:color w:val="000000"/>
                <w:kern w:val="0"/>
                <w:sz w:val="24"/>
              </w:rPr>
            </w:pPr>
            <w:r w:rsidRPr="00C1648E">
              <w:rPr>
                <w:color w:val="000000"/>
                <w:kern w:val="0"/>
                <w:sz w:val="24"/>
              </w:rPr>
              <w:t>-</w:t>
            </w:r>
          </w:p>
        </w:tc>
      </w:tr>
      <w:tr w:rsidR="00A62673" w:rsidRPr="00EC5CE0" w:rsidTr="006B315F">
        <w:tc>
          <w:tcPr>
            <w:tcW w:w="944" w:type="dxa"/>
          </w:tcPr>
          <w:p w:rsidR="00A62673" w:rsidRPr="00C1648E" w:rsidRDefault="00A62673" w:rsidP="006B315F">
            <w:pPr>
              <w:autoSpaceDE w:val="0"/>
              <w:autoSpaceDN w:val="0"/>
              <w:adjustRightInd w:val="0"/>
              <w:spacing w:before="29" w:line="360" w:lineRule="auto"/>
              <w:ind w:left="15"/>
              <w:jc w:val="center"/>
              <w:rPr>
                <w:color w:val="000000"/>
                <w:sz w:val="24"/>
              </w:rPr>
            </w:pPr>
            <w:r w:rsidRPr="00C1648E">
              <w:rPr>
                <w:color w:val="000000"/>
                <w:sz w:val="24"/>
              </w:rPr>
              <w:t>7</w:t>
            </w:r>
          </w:p>
        </w:tc>
        <w:tc>
          <w:tcPr>
            <w:tcW w:w="2761" w:type="dxa"/>
          </w:tcPr>
          <w:p w:rsidR="00A62673" w:rsidRPr="00C1648E" w:rsidRDefault="00A62673" w:rsidP="006B315F">
            <w:pPr>
              <w:autoSpaceDE w:val="0"/>
              <w:autoSpaceDN w:val="0"/>
              <w:adjustRightInd w:val="0"/>
              <w:spacing w:before="29" w:line="360" w:lineRule="auto"/>
              <w:ind w:left="15"/>
              <w:jc w:val="left"/>
              <w:rPr>
                <w:color w:val="000000"/>
                <w:kern w:val="0"/>
                <w:sz w:val="24"/>
              </w:rPr>
            </w:pPr>
            <w:r w:rsidRPr="00C1648E">
              <w:rPr>
                <w:color w:val="000000"/>
                <w:kern w:val="0"/>
                <w:sz w:val="24"/>
              </w:rPr>
              <w:t>待摊费用</w:t>
            </w:r>
          </w:p>
        </w:tc>
        <w:tc>
          <w:tcPr>
            <w:tcW w:w="4808" w:type="dxa"/>
            <w:vAlign w:val="center"/>
          </w:tcPr>
          <w:p w:rsidR="00A62673" w:rsidRPr="00C1648E" w:rsidRDefault="00A62673" w:rsidP="006B315F">
            <w:pPr>
              <w:autoSpaceDE w:val="0"/>
              <w:autoSpaceDN w:val="0"/>
              <w:adjustRightInd w:val="0"/>
              <w:spacing w:before="29" w:line="360" w:lineRule="auto"/>
              <w:ind w:left="15"/>
              <w:jc w:val="right"/>
              <w:rPr>
                <w:color w:val="000000"/>
                <w:sz w:val="24"/>
              </w:rPr>
            </w:pPr>
            <w:r w:rsidRPr="00C1648E">
              <w:rPr>
                <w:color w:val="000000"/>
                <w:sz w:val="24"/>
              </w:rPr>
              <w:t>-</w:t>
            </w:r>
          </w:p>
        </w:tc>
      </w:tr>
      <w:tr w:rsidR="00A62673" w:rsidRPr="00EC5CE0" w:rsidTr="006B315F">
        <w:tc>
          <w:tcPr>
            <w:tcW w:w="944" w:type="dxa"/>
            <w:vAlign w:val="center"/>
          </w:tcPr>
          <w:p w:rsidR="00A62673" w:rsidRPr="00C1648E" w:rsidRDefault="00A62673" w:rsidP="006B315F">
            <w:pPr>
              <w:autoSpaceDE w:val="0"/>
              <w:autoSpaceDN w:val="0"/>
              <w:adjustRightInd w:val="0"/>
              <w:spacing w:before="29" w:line="360" w:lineRule="auto"/>
              <w:ind w:left="15"/>
              <w:jc w:val="center"/>
              <w:rPr>
                <w:color w:val="000000"/>
                <w:sz w:val="24"/>
              </w:rPr>
            </w:pPr>
            <w:r w:rsidRPr="00C1648E">
              <w:rPr>
                <w:color w:val="000000"/>
                <w:sz w:val="24"/>
              </w:rPr>
              <w:t>8</w:t>
            </w:r>
          </w:p>
        </w:tc>
        <w:tc>
          <w:tcPr>
            <w:tcW w:w="2761" w:type="dxa"/>
            <w:vAlign w:val="center"/>
          </w:tcPr>
          <w:p w:rsidR="00A62673" w:rsidRPr="00C1648E" w:rsidRDefault="00A62673" w:rsidP="006B315F">
            <w:pPr>
              <w:autoSpaceDE w:val="0"/>
              <w:autoSpaceDN w:val="0"/>
              <w:adjustRightInd w:val="0"/>
              <w:spacing w:before="29" w:line="360" w:lineRule="auto"/>
              <w:ind w:left="15"/>
              <w:jc w:val="left"/>
              <w:rPr>
                <w:color w:val="000000"/>
                <w:kern w:val="0"/>
                <w:sz w:val="24"/>
              </w:rPr>
            </w:pPr>
            <w:r w:rsidRPr="00C1648E">
              <w:rPr>
                <w:color w:val="000000"/>
                <w:kern w:val="0"/>
                <w:sz w:val="24"/>
              </w:rPr>
              <w:t>其他</w:t>
            </w:r>
          </w:p>
        </w:tc>
        <w:tc>
          <w:tcPr>
            <w:tcW w:w="4808" w:type="dxa"/>
            <w:vAlign w:val="center"/>
          </w:tcPr>
          <w:p w:rsidR="00A62673" w:rsidRPr="00C1648E" w:rsidRDefault="00A62673" w:rsidP="006B315F">
            <w:pPr>
              <w:autoSpaceDE w:val="0"/>
              <w:autoSpaceDN w:val="0"/>
              <w:adjustRightInd w:val="0"/>
              <w:spacing w:before="29" w:line="360" w:lineRule="auto"/>
              <w:ind w:left="15"/>
              <w:jc w:val="right"/>
              <w:rPr>
                <w:color w:val="000000"/>
                <w:kern w:val="0"/>
                <w:sz w:val="24"/>
              </w:rPr>
            </w:pPr>
            <w:r w:rsidRPr="00C1648E">
              <w:rPr>
                <w:color w:val="000000"/>
                <w:kern w:val="0"/>
                <w:sz w:val="24"/>
              </w:rPr>
              <w:t>-</w:t>
            </w:r>
          </w:p>
        </w:tc>
      </w:tr>
      <w:tr w:rsidR="00A62673" w:rsidRPr="00EC5CE0" w:rsidTr="006B315F">
        <w:tc>
          <w:tcPr>
            <w:tcW w:w="944" w:type="dxa"/>
            <w:vAlign w:val="center"/>
          </w:tcPr>
          <w:p w:rsidR="00A62673" w:rsidRPr="00C1648E" w:rsidRDefault="00A62673" w:rsidP="006B315F">
            <w:pPr>
              <w:autoSpaceDE w:val="0"/>
              <w:autoSpaceDN w:val="0"/>
              <w:adjustRightInd w:val="0"/>
              <w:spacing w:before="29" w:line="360" w:lineRule="auto"/>
              <w:ind w:left="15"/>
              <w:jc w:val="center"/>
              <w:rPr>
                <w:color w:val="000000"/>
                <w:sz w:val="24"/>
              </w:rPr>
            </w:pPr>
            <w:r w:rsidRPr="00C1648E">
              <w:rPr>
                <w:color w:val="000000"/>
                <w:sz w:val="24"/>
              </w:rPr>
              <w:t>9</w:t>
            </w:r>
          </w:p>
        </w:tc>
        <w:tc>
          <w:tcPr>
            <w:tcW w:w="2761" w:type="dxa"/>
            <w:vAlign w:val="center"/>
          </w:tcPr>
          <w:p w:rsidR="00A62673" w:rsidRPr="00C1648E" w:rsidRDefault="00A62673" w:rsidP="006B315F">
            <w:pPr>
              <w:autoSpaceDE w:val="0"/>
              <w:autoSpaceDN w:val="0"/>
              <w:adjustRightInd w:val="0"/>
              <w:spacing w:before="29" w:line="360" w:lineRule="auto"/>
              <w:ind w:left="15"/>
              <w:jc w:val="left"/>
              <w:rPr>
                <w:color w:val="000000"/>
                <w:kern w:val="0"/>
                <w:sz w:val="24"/>
              </w:rPr>
            </w:pPr>
            <w:r w:rsidRPr="00C1648E">
              <w:rPr>
                <w:color w:val="000000"/>
                <w:kern w:val="0"/>
                <w:sz w:val="24"/>
              </w:rPr>
              <w:t>合计</w:t>
            </w:r>
          </w:p>
        </w:tc>
        <w:tc>
          <w:tcPr>
            <w:tcW w:w="4808" w:type="dxa"/>
            <w:vAlign w:val="center"/>
          </w:tcPr>
          <w:p w:rsidR="00A62673" w:rsidRPr="00C1648E" w:rsidRDefault="00A62673" w:rsidP="006B315F">
            <w:pPr>
              <w:autoSpaceDE w:val="0"/>
              <w:autoSpaceDN w:val="0"/>
              <w:adjustRightInd w:val="0"/>
              <w:spacing w:before="29" w:line="360" w:lineRule="auto"/>
              <w:ind w:left="15"/>
              <w:jc w:val="right"/>
              <w:rPr>
                <w:color w:val="000000"/>
                <w:kern w:val="0"/>
                <w:sz w:val="24"/>
              </w:rPr>
            </w:pPr>
            <w:r w:rsidRPr="00C1648E">
              <w:rPr>
                <w:color w:val="000000"/>
                <w:kern w:val="0"/>
                <w:sz w:val="24"/>
              </w:rPr>
              <w:t>4,767,673.34</w:t>
            </w:r>
          </w:p>
        </w:tc>
      </w:tr>
    </w:tbl>
    <w:p w:rsidR="00A62673" w:rsidRPr="00977154" w:rsidRDefault="00A62673" w:rsidP="00045BEC">
      <w:pPr>
        <w:autoSpaceDE w:val="0"/>
        <w:autoSpaceDN w:val="0"/>
        <w:adjustRightInd w:val="0"/>
        <w:spacing w:line="360" w:lineRule="auto"/>
        <w:jc w:val="left"/>
        <w:rPr>
          <w:rFonts w:ascii="宋体" w:cs="Arial"/>
          <w:color w:val="000000"/>
          <w:kern w:val="0"/>
          <w:sz w:val="24"/>
        </w:rPr>
      </w:pPr>
      <w:r w:rsidRPr="00977154">
        <w:rPr>
          <w:rFonts w:ascii="宋体" w:hAnsi="宋体"/>
          <w:color w:val="000000"/>
          <w:kern w:val="0"/>
          <w:sz w:val="24"/>
        </w:rPr>
        <w:t>5.11.4</w:t>
      </w:r>
      <w:r w:rsidRPr="00977154">
        <w:rPr>
          <w:rFonts w:ascii="宋体" w:hAnsi="宋体" w:cs="Arial" w:hint="eastAsia"/>
          <w:color w:val="000000"/>
          <w:kern w:val="0"/>
          <w:sz w:val="24"/>
        </w:rPr>
        <w:t>报告期末持有的处于转股期的可转换债券明细</w:t>
      </w:r>
    </w:p>
    <w:p w:rsidR="00A62673" w:rsidRPr="00DC315B" w:rsidRDefault="00A62673" w:rsidP="00DC315B">
      <w:pPr>
        <w:spacing w:line="360" w:lineRule="auto"/>
        <w:ind w:firstLineChars="200" w:firstLine="480"/>
        <w:rPr>
          <w:color w:val="000000"/>
          <w:sz w:val="24"/>
        </w:rPr>
      </w:pPr>
      <w:r w:rsidRPr="00DC315B">
        <w:rPr>
          <w:color w:val="000000"/>
          <w:sz w:val="24"/>
        </w:rPr>
        <w:t>本基金本报告期末未持有处于转股期的可转换债券。</w:t>
      </w:r>
    </w:p>
    <w:p w:rsidR="00774C7D" w:rsidRPr="00977154" w:rsidRDefault="00774C7D" w:rsidP="00774C7D">
      <w:pPr>
        <w:spacing w:line="360" w:lineRule="auto"/>
        <w:rPr>
          <w:rFonts w:ascii="宋体" w:cs="Arial"/>
          <w:color w:val="000000"/>
          <w:kern w:val="0"/>
          <w:sz w:val="24"/>
        </w:rPr>
      </w:pPr>
      <w:r w:rsidRPr="00977154">
        <w:rPr>
          <w:rFonts w:ascii="宋体" w:hAnsi="宋体"/>
          <w:color w:val="000000"/>
          <w:kern w:val="0"/>
          <w:sz w:val="24"/>
        </w:rPr>
        <w:t>5.11.5</w:t>
      </w:r>
      <w:r w:rsidRPr="00977154">
        <w:rPr>
          <w:rFonts w:ascii="宋体" w:hAnsi="宋体" w:hint="eastAsia"/>
          <w:sz w:val="24"/>
        </w:rPr>
        <w:t>报告期末前十名股票中存在流通受限情况的说明</w:t>
      </w:r>
    </w:p>
    <w:p w:rsidR="00774C7D" w:rsidRPr="00977154" w:rsidRDefault="00774C7D" w:rsidP="00774C7D">
      <w:pPr>
        <w:spacing w:line="360" w:lineRule="auto"/>
        <w:rPr>
          <w:rFonts w:ascii="宋体" w:cs="Arial"/>
          <w:color w:val="000000"/>
          <w:kern w:val="0"/>
          <w:sz w:val="24"/>
        </w:rPr>
      </w:pPr>
      <w:r w:rsidRPr="00977154">
        <w:rPr>
          <w:rFonts w:ascii="宋体" w:hAnsi="宋体"/>
          <w:color w:val="000000"/>
          <w:kern w:val="0"/>
          <w:sz w:val="24"/>
        </w:rPr>
        <w:t>5.11.5</w:t>
      </w:r>
      <w:r w:rsidRPr="00977154">
        <w:rPr>
          <w:rFonts w:ascii="宋体" w:cs="Arial"/>
          <w:color w:val="000000"/>
          <w:kern w:val="0"/>
          <w:sz w:val="24"/>
        </w:rPr>
        <w:t>.</w:t>
      </w:r>
      <w:r w:rsidRPr="00977154">
        <w:rPr>
          <w:rFonts w:ascii="宋体" w:hAnsi="宋体" w:cs="Arial"/>
          <w:color w:val="000000"/>
          <w:kern w:val="0"/>
          <w:sz w:val="24"/>
        </w:rPr>
        <w:t>1</w:t>
      </w:r>
      <w:r w:rsidRPr="00977154">
        <w:rPr>
          <w:rFonts w:ascii="宋体" w:hAnsi="宋体" w:hint="eastAsia"/>
          <w:sz w:val="24"/>
        </w:rPr>
        <w:t>期末指数投资前十名股票中存在流通受限情况的说明</w:t>
      </w:r>
    </w:p>
    <w:p w:rsidR="00774C7D" w:rsidRPr="00DC315B" w:rsidRDefault="00774C7D" w:rsidP="00774C7D">
      <w:pPr>
        <w:spacing w:line="360" w:lineRule="auto"/>
        <w:ind w:firstLineChars="200" w:firstLine="480"/>
        <w:rPr>
          <w:color w:val="000000"/>
          <w:sz w:val="24"/>
        </w:rPr>
      </w:pPr>
      <w:r w:rsidRPr="00DC315B">
        <w:rPr>
          <w:color w:val="000000"/>
          <w:sz w:val="24"/>
        </w:rPr>
        <w:t>本基金本报告期末指数投资前十名股票中不存在流通受限情况。</w:t>
      </w:r>
    </w:p>
    <w:p w:rsidR="00774C7D" w:rsidRPr="00977154" w:rsidRDefault="00774C7D" w:rsidP="00774C7D">
      <w:pPr>
        <w:spacing w:line="360" w:lineRule="auto"/>
        <w:rPr>
          <w:rFonts w:ascii="宋体" w:cs="STSong-Light"/>
          <w:sz w:val="24"/>
        </w:rPr>
      </w:pPr>
      <w:r w:rsidRPr="00977154">
        <w:rPr>
          <w:rFonts w:ascii="宋体" w:hAnsi="宋体"/>
          <w:color w:val="000000"/>
          <w:kern w:val="0"/>
          <w:sz w:val="24"/>
        </w:rPr>
        <w:t>5.11.5</w:t>
      </w:r>
      <w:r w:rsidRPr="00977154">
        <w:rPr>
          <w:rFonts w:ascii="宋体" w:cs="Arial"/>
          <w:color w:val="000000"/>
          <w:kern w:val="0"/>
          <w:sz w:val="24"/>
        </w:rPr>
        <w:t>.</w:t>
      </w:r>
      <w:r w:rsidRPr="00977154">
        <w:rPr>
          <w:rFonts w:ascii="宋体" w:hAnsi="宋体" w:cs="Arial"/>
          <w:color w:val="000000"/>
          <w:kern w:val="0"/>
          <w:sz w:val="24"/>
        </w:rPr>
        <w:t>2</w:t>
      </w:r>
      <w:r w:rsidRPr="00977154">
        <w:rPr>
          <w:rFonts w:ascii="宋体" w:hAnsi="宋体" w:hint="eastAsia"/>
          <w:sz w:val="24"/>
        </w:rPr>
        <w:t>期末积极投资前五名股票中存在流通受限情况的说明</w:t>
      </w:r>
    </w:p>
    <w:p w:rsidR="00A62673" w:rsidRPr="00C1648E" w:rsidRDefault="00774C7D" w:rsidP="00C1648E">
      <w:pPr>
        <w:spacing w:line="360" w:lineRule="auto"/>
        <w:ind w:firstLineChars="200" w:firstLine="480"/>
        <w:rPr>
          <w:color w:val="000000"/>
          <w:sz w:val="24"/>
        </w:rPr>
      </w:pPr>
      <w:r w:rsidRPr="00DC315B">
        <w:rPr>
          <w:color w:val="000000"/>
          <w:sz w:val="24"/>
        </w:rPr>
        <w:t>本基金本报告期末积极投资前五名股票中不存在流通受限情况。</w:t>
      </w:r>
    </w:p>
    <w:p w:rsidR="00A62673" w:rsidRPr="00EC5CE0" w:rsidRDefault="00A62673" w:rsidP="007467A8">
      <w:pPr>
        <w:pStyle w:val="1"/>
        <w:spacing w:beforeLines="100" w:before="312" w:afterLines="100" w:after="312" w:line="360" w:lineRule="auto"/>
        <w:jc w:val="center"/>
        <w:rPr>
          <w:rFonts w:ascii="宋体" w:cs="Arial"/>
          <w:color w:val="000000"/>
          <w:kern w:val="0"/>
          <w:sz w:val="24"/>
          <w:szCs w:val="24"/>
        </w:rPr>
      </w:pPr>
      <w:r w:rsidRPr="00EC5CE0">
        <w:rPr>
          <w:rFonts w:ascii="宋体" w:hAnsi="宋体" w:cs="Arial" w:hint="eastAsia"/>
          <w:color w:val="000000"/>
          <w:kern w:val="0"/>
          <w:sz w:val="24"/>
          <w:szCs w:val="24"/>
        </w:rPr>
        <w:t>§</w:t>
      </w:r>
      <w:r w:rsidRPr="00EC5CE0">
        <w:rPr>
          <w:rFonts w:ascii="宋体" w:hAnsi="宋体" w:cs="Arial"/>
          <w:color w:val="000000"/>
          <w:kern w:val="0"/>
          <w:sz w:val="24"/>
          <w:szCs w:val="24"/>
        </w:rPr>
        <w:t xml:space="preserve">6  </w:t>
      </w:r>
      <w:r w:rsidRPr="00EC5CE0">
        <w:rPr>
          <w:rFonts w:ascii="宋体" w:hAnsi="宋体" w:cs="Arial" w:hint="eastAsia"/>
          <w:color w:val="000000"/>
          <w:kern w:val="0"/>
          <w:sz w:val="24"/>
          <w:szCs w:val="24"/>
        </w:rPr>
        <w:t>开放式基金份额变动</w:t>
      </w:r>
    </w:p>
    <w:p w:rsidR="00A62673" w:rsidRPr="00EC5CE0" w:rsidRDefault="00A62673" w:rsidP="0019563C">
      <w:pPr>
        <w:autoSpaceDE w:val="0"/>
        <w:autoSpaceDN w:val="0"/>
        <w:adjustRightInd w:val="0"/>
        <w:spacing w:before="29" w:line="360" w:lineRule="auto"/>
        <w:ind w:left="15"/>
        <w:jc w:val="right"/>
        <w:rPr>
          <w:rFonts w:ascii="宋体" w:cs="Arial"/>
          <w:color w:val="000000"/>
          <w:kern w:val="0"/>
          <w:sz w:val="24"/>
        </w:rPr>
      </w:pPr>
      <w:r w:rsidRPr="00EC5CE0">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4609"/>
        <w:gridCol w:w="4025"/>
      </w:tblGrid>
      <w:tr w:rsidR="00A62673" w:rsidRPr="00EC5CE0" w:rsidTr="00C21C43">
        <w:tc>
          <w:tcPr>
            <w:tcW w:w="4609" w:type="dxa"/>
            <w:tcBorders>
              <w:top w:val="single" w:sz="8" w:space="0" w:color="000000"/>
              <w:left w:val="single" w:sz="8" w:space="0" w:color="000000"/>
              <w:bottom w:val="single" w:sz="8" w:space="0" w:color="000000"/>
              <w:right w:val="single" w:sz="8" w:space="0" w:color="000000"/>
            </w:tcBorders>
            <w:vAlign w:val="center"/>
          </w:tcPr>
          <w:p w:rsidR="00A62673" w:rsidRPr="00C1648E" w:rsidRDefault="00A62673" w:rsidP="00C21C43">
            <w:pPr>
              <w:autoSpaceDE w:val="0"/>
              <w:autoSpaceDN w:val="0"/>
              <w:adjustRightInd w:val="0"/>
              <w:spacing w:before="29" w:line="360" w:lineRule="auto"/>
              <w:ind w:left="17"/>
              <w:jc w:val="left"/>
              <w:rPr>
                <w:color w:val="000000"/>
                <w:kern w:val="0"/>
                <w:sz w:val="24"/>
              </w:rPr>
            </w:pPr>
            <w:r w:rsidRPr="00C1648E">
              <w:rPr>
                <w:color w:val="000000"/>
                <w:kern w:val="0"/>
                <w:sz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62673" w:rsidRPr="00C1648E" w:rsidRDefault="00A62673" w:rsidP="00C21C43">
            <w:pPr>
              <w:autoSpaceDE w:val="0"/>
              <w:autoSpaceDN w:val="0"/>
              <w:adjustRightInd w:val="0"/>
              <w:spacing w:before="29" w:line="360" w:lineRule="auto"/>
              <w:ind w:left="17"/>
              <w:jc w:val="right"/>
              <w:rPr>
                <w:color w:val="000000"/>
                <w:sz w:val="24"/>
              </w:rPr>
            </w:pPr>
            <w:r w:rsidRPr="00C1648E">
              <w:rPr>
                <w:color w:val="000000"/>
                <w:sz w:val="24"/>
              </w:rPr>
              <w:t>504,111,379.98</w:t>
            </w:r>
          </w:p>
        </w:tc>
      </w:tr>
      <w:tr w:rsidR="00A62673" w:rsidRPr="00EC5CE0" w:rsidTr="00C21C43">
        <w:tc>
          <w:tcPr>
            <w:tcW w:w="4609" w:type="dxa"/>
            <w:tcBorders>
              <w:top w:val="single" w:sz="8" w:space="0" w:color="000000"/>
              <w:left w:val="single" w:sz="8" w:space="0" w:color="000000"/>
              <w:bottom w:val="single" w:sz="8" w:space="0" w:color="000000"/>
              <w:right w:val="single" w:sz="8" w:space="0" w:color="000000"/>
            </w:tcBorders>
            <w:vAlign w:val="center"/>
          </w:tcPr>
          <w:p w:rsidR="00A62673" w:rsidRPr="00C1648E" w:rsidRDefault="00A62673" w:rsidP="00C21C43">
            <w:pPr>
              <w:autoSpaceDE w:val="0"/>
              <w:autoSpaceDN w:val="0"/>
              <w:adjustRightInd w:val="0"/>
              <w:spacing w:before="29" w:line="360" w:lineRule="auto"/>
              <w:ind w:left="17"/>
              <w:jc w:val="left"/>
              <w:rPr>
                <w:color w:val="000000"/>
                <w:kern w:val="0"/>
                <w:sz w:val="24"/>
              </w:rPr>
            </w:pPr>
            <w:r w:rsidRPr="00C1648E">
              <w:rPr>
                <w:color w:val="000000"/>
                <w:kern w:val="0"/>
                <w:sz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62673" w:rsidRPr="00C1648E" w:rsidRDefault="00A62673" w:rsidP="00C21C43">
            <w:pPr>
              <w:autoSpaceDE w:val="0"/>
              <w:autoSpaceDN w:val="0"/>
              <w:adjustRightInd w:val="0"/>
              <w:spacing w:before="29" w:line="360" w:lineRule="auto"/>
              <w:ind w:left="17"/>
              <w:jc w:val="right"/>
              <w:rPr>
                <w:color w:val="000000"/>
                <w:sz w:val="24"/>
              </w:rPr>
            </w:pPr>
            <w:r w:rsidRPr="00C1648E">
              <w:rPr>
                <w:color w:val="000000"/>
                <w:sz w:val="24"/>
              </w:rPr>
              <w:t>262,123,615.43</w:t>
            </w:r>
          </w:p>
        </w:tc>
      </w:tr>
      <w:tr w:rsidR="00A62673" w:rsidRPr="00EC5CE0" w:rsidTr="00C21C43">
        <w:tc>
          <w:tcPr>
            <w:tcW w:w="4609" w:type="dxa"/>
            <w:tcBorders>
              <w:top w:val="single" w:sz="8" w:space="0" w:color="000000"/>
              <w:left w:val="single" w:sz="8" w:space="0" w:color="000000"/>
              <w:bottom w:val="single" w:sz="8" w:space="0" w:color="000000"/>
              <w:right w:val="single" w:sz="8" w:space="0" w:color="000000"/>
            </w:tcBorders>
            <w:vAlign w:val="center"/>
          </w:tcPr>
          <w:p w:rsidR="00A62673" w:rsidRPr="00C1648E" w:rsidRDefault="00A62673" w:rsidP="00C21C43">
            <w:pPr>
              <w:autoSpaceDE w:val="0"/>
              <w:autoSpaceDN w:val="0"/>
              <w:adjustRightInd w:val="0"/>
              <w:spacing w:before="29" w:line="360" w:lineRule="auto"/>
              <w:ind w:left="17"/>
              <w:jc w:val="left"/>
              <w:rPr>
                <w:color w:val="000000"/>
                <w:kern w:val="0"/>
                <w:sz w:val="24"/>
              </w:rPr>
            </w:pPr>
            <w:r w:rsidRPr="00C1648E">
              <w:rPr>
                <w:color w:val="000000"/>
                <w:kern w:val="0"/>
                <w:sz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62673" w:rsidRPr="00C1648E" w:rsidRDefault="00A62673" w:rsidP="00C21C43">
            <w:pPr>
              <w:autoSpaceDE w:val="0"/>
              <w:autoSpaceDN w:val="0"/>
              <w:adjustRightInd w:val="0"/>
              <w:spacing w:before="29" w:line="360" w:lineRule="auto"/>
              <w:ind w:left="17"/>
              <w:jc w:val="right"/>
              <w:rPr>
                <w:color w:val="000000"/>
                <w:sz w:val="24"/>
              </w:rPr>
            </w:pPr>
            <w:r w:rsidRPr="00C1648E">
              <w:rPr>
                <w:color w:val="000000"/>
                <w:sz w:val="24"/>
              </w:rPr>
              <w:t>291,075,151.36</w:t>
            </w:r>
          </w:p>
        </w:tc>
      </w:tr>
      <w:tr w:rsidR="00A62673" w:rsidRPr="00EC5CE0" w:rsidTr="00C21C43">
        <w:tc>
          <w:tcPr>
            <w:tcW w:w="4609" w:type="dxa"/>
            <w:tcBorders>
              <w:top w:val="single" w:sz="8" w:space="0" w:color="000000"/>
              <w:left w:val="single" w:sz="8" w:space="0" w:color="000000"/>
              <w:bottom w:val="single" w:sz="8" w:space="0" w:color="000000"/>
              <w:right w:val="single" w:sz="8" w:space="0" w:color="000000"/>
            </w:tcBorders>
            <w:vAlign w:val="center"/>
          </w:tcPr>
          <w:p w:rsidR="00A62673" w:rsidRPr="00C1648E" w:rsidRDefault="00A62673" w:rsidP="00C21C43">
            <w:pPr>
              <w:autoSpaceDE w:val="0"/>
              <w:autoSpaceDN w:val="0"/>
              <w:adjustRightInd w:val="0"/>
              <w:spacing w:before="29" w:line="360" w:lineRule="auto"/>
              <w:ind w:left="17"/>
              <w:jc w:val="left"/>
              <w:rPr>
                <w:color w:val="000000"/>
                <w:kern w:val="0"/>
                <w:sz w:val="24"/>
              </w:rPr>
            </w:pPr>
            <w:r w:rsidRPr="00C1648E">
              <w:rPr>
                <w:color w:val="000000"/>
                <w:kern w:val="0"/>
                <w:sz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62673" w:rsidRPr="00C1648E" w:rsidRDefault="00A62673" w:rsidP="00C21C43">
            <w:pPr>
              <w:autoSpaceDE w:val="0"/>
              <w:autoSpaceDN w:val="0"/>
              <w:adjustRightInd w:val="0"/>
              <w:spacing w:before="29" w:line="360" w:lineRule="auto"/>
              <w:ind w:left="17"/>
              <w:jc w:val="right"/>
              <w:rPr>
                <w:color w:val="000000"/>
                <w:sz w:val="24"/>
              </w:rPr>
            </w:pPr>
            <w:r w:rsidRPr="00C1648E">
              <w:rPr>
                <w:color w:val="000000"/>
                <w:sz w:val="24"/>
              </w:rPr>
              <w:t>-</w:t>
            </w:r>
          </w:p>
        </w:tc>
      </w:tr>
      <w:tr w:rsidR="00A62673" w:rsidRPr="00EC5CE0" w:rsidTr="00C21C43">
        <w:tc>
          <w:tcPr>
            <w:tcW w:w="4609" w:type="dxa"/>
            <w:tcBorders>
              <w:top w:val="single" w:sz="8" w:space="0" w:color="000000"/>
              <w:left w:val="single" w:sz="8" w:space="0" w:color="000000"/>
              <w:bottom w:val="single" w:sz="8" w:space="0" w:color="000000"/>
              <w:right w:val="single" w:sz="8" w:space="0" w:color="000000"/>
            </w:tcBorders>
            <w:vAlign w:val="center"/>
          </w:tcPr>
          <w:p w:rsidR="00A62673" w:rsidRPr="00C1648E" w:rsidRDefault="00A62673" w:rsidP="00C21C43">
            <w:pPr>
              <w:autoSpaceDE w:val="0"/>
              <w:autoSpaceDN w:val="0"/>
              <w:adjustRightInd w:val="0"/>
              <w:spacing w:before="29" w:line="360" w:lineRule="auto"/>
              <w:ind w:left="17"/>
              <w:jc w:val="left"/>
              <w:rPr>
                <w:color w:val="000000"/>
                <w:kern w:val="0"/>
                <w:sz w:val="24"/>
              </w:rPr>
            </w:pPr>
            <w:r w:rsidRPr="00C1648E">
              <w:rPr>
                <w:color w:val="000000"/>
                <w:kern w:val="0"/>
                <w:sz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62673" w:rsidRPr="00C1648E" w:rsidRDefault="00A62673" w:rsidP="00C21C43">
            <w:pPr>
              <w:autoSpaceDE w:val="0"/>
              <w:autoSpaceDN w:val="0"/>
              <w:adjustRightInd w:val="0"/>
              <w:spacing w:before="29" w:line="360" w:lineRule="auto"/>
              <w:ind w:left="17"/>
              <w:jc w:val="right"/>
              <w:rPr>
                <w:color w:val="000000"/>
                <w:sz w:val="24"/>
              </w:rPr>
            </w:pPr>
            <w:r w:rsidRPr="00C1648E">
              <w:rPr>
                <w:color w:val="000000"/>
                <w:sz w:val="24"/>
              </w:rPr>
              <w:t>475,159,844.05</w:t>
            </w:r>
          </w:p>
        </w:tc>
      </w:tr>
    </w:tbl>
    <w:p w:rsidR="00A62673" w:rsidRDefault="00A62673" w:rsidP="007467A8">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A62673" w:rsidRDefault="00A62673" w:rsidP="00413689">
      <w:pPr>
        <w:spacing w:line="360" w:lineRule="auto"/>
        <w:jc w:val="left"/>
        <w:rPr>
          <w:sz w:val="24"/>
        </w:rPr>
      </w:pPr>
      <w:r>
        <w:rPr>
          <w:b/>
          <w:sz w:val="24"/>
        </w:rPr>
        <w:t xml:space="preserve">7.1 </w:t>
      </w:r>
      <w:r>
        <w:rPr>
          <w:rFonts w:hint="eastAsia"/>
          <w:b/>
          <w:sz w:val="24"/>
        </w:rPr>
        <w:t>基金管理人持有本基金份额变动情况</w:t>
      </w:r>
    </w:p>
    <w:p w:rsidR="00A62673" w:rsidRPr="00C1648E" w:rsidRDefault="006D442E" w:rsidP="00C1648E">
      <w:pPr>
        <w:spacing w:line="360" w:lineRule="auto"/>
        <w:ind w:firstLineChars="200" w:firstLine="480"/>
        <w:rPr>
          <w:color w:val="000000"/>
          <w:sz w:val="24"/>
        </w:rPr>
      </w:pPr>
      <w:r w:rsidRPr="00BF18E8">
        <w:rPr>
          <w:color w:val="000000"/>
          <w:sz w:val="24"/>
        </w:rPr>
        <w:t>本报告期内基金管理人未持有本基金份额。</w:t>
      </w:r>
    </w:p>
    <w:p w:rsidR="00A62673" w:rsidRDefault="00A62673" w:rsidP="00413689">
      <w:pPr>
        <w:spacing w:line="360" w:lineRule="auto"/>
        <w:jc w:val="left"/>
        <w:rPr>
          <w:sz w:val="24"/>
        </w:rPr>
      </w:pPr>
      <w:r>
        <w:rPr>
          <w:b/>
          <w:sz w:val="24"/>
        </w:rPr>
        <w:t xml:space="preserve">7.2 </w:t>
      </w:r>
      <w:r>
        <w:rPr>
          <w:rFonts w:hint="eastAsia"/>
          <w:b/>
          <w:sz w:val="24"/>
        </w:rPr>
        <w:t>基金管理人运用固有资金投资本基金交易明细</w:t>
      </w:r>
    </w:p>
    <w:p w:rsidR="00A62673" w:rsidRPr="00DC315B" w:rsidRDefault="00A62673" w:rsidP="00DC315B">
      <w:pPr>
        <w:spacing w:line="360" w:lineRule="auto"/>
        <w:ind w:firstLineChars="200" w:firstLine="480"/>
        <w:rPr>
          <w:color w:val="000000"/>
          <w:sz w:val="24"/>
        </w:rPr>
      </w:pPr>
      <w:r w:rsidRPr="00DC315B">
        <w:rPr>
          <w:color w:val="000000"/>
          <w:sz w:val="24"/>
        </w:rPr>
        <w:t>本报告期内基金管理人未运用固有资金申购、赎回、买卖本基金份额。</w:t>
      </w:r>
    </w:p>
    <w:p w:rsidR="00A62673" w:rsidRPr="00EC5CE0" w:rsidRDefault="00A62673" w:rsidP="007467A8">
      <w:pPr>
        <w:pStyle w:val="1"/>
        <w:spacing w:beforeLines="100" w:before="312" w:afterLines="100" w:after="312" w:line="360" w:lineRule="auto"/>
        <w:jc w:val="center"/>
        <w:rPr>
          <w:rFonts w:ascii="宋体" w:cs="Arial"/>
          <w:color w:val="000000"/>
          <w:kern w:val="0"/>
          <w:sz w:val="24"/>
          <w:szCs w:val="24"/>
        </w:rPr>
      </w:pPr>
      <w:r w:rsidRPr="00EC5CE0">
        <w:rPr>
          <w:rFonts w:ascii="宋体" w:hAnsi="宋体" w:cs="Arial" w:hint="eastAsia"/>
          <w:color w:val="000000"/>
          <w:kern w:val="0"/>
          <w:sz w:val="24"/>
          <w:szCs w:val="24"/>
        </w:rPr>
        <w:t>§</w:t>
      </w:r>
      <w:r w:rsidRPr="00EC5CE0">
        <w:rPr>
          <w:rFonts w:ascii="宋体" w:hAnsi="宋体" w:cs="Arial"/>
          <w:color w:val="000000"/>
          <w:kern w:val="0"/>
          <w:sz w:val="24"/>
          <w:szCs w:val="24"/>
        </w:rPr>
        <w:t>8</w:t>
      </w:r>
      <w:r w:rsidR="00900A07" w:rsidRPr="00EC5CE0">
        <w:rPr>
          <w:rFonts w:ascii="宋体" w:hAnsi="宋体" w:cs="Arial"/>
          <w:color w:val="000000"/>
          <w:kern w:val="0"/>
          <w:sz w:val="24"/>
          <w:szCs w:val="24"/>
        </w:rPr>
        <w:t xml:space="preserve">  </w:t>
      </w:r>
      <w:r w:rsidRPr="00EC5CE0">
        <w:rPr>
          <w:rFonts w:ascii="宋体" w:hAnsi="宋体" w:cs="Arial" w:hint="eastAsia"/>
          <w:color w:val="000000"/>
          <w:kern w:val="0"/>
          <w:sz w:val="24"/>
          <w:szCs w:val="24"/>
        </w:rPr>
        <w:t>备查文件目录</w:t>
      </w:r>
    </w:p>
    <w:p w:rsidR="00A62673" w:rsidRPr="00511B6A" w:rsidRDefault="00A62673" w:rsidP="009A037F">
      <w:pPr>
        <w:spacing w:line="360" w:lineRule="auto"/>
        <w:rPr>
          <w:rFonts w:ascii="宋体"/>
          <w:b/>
          <w:color w:val="000000"/>
          <w:sz w:val="24"/>
        </w:rPr>
      </w:pPr>
      <w:r w:rsidRPr="00511B6A">
        <w:rPr>
          <w:rFonts w:ascii="宋体" w:hAnsi="宋体"/>
          <w:b/>
          <w:color w:val="000000"/>
          <w:sz w:val="24"/>
        </w:rPr>
        <w:t xml:space="preserve">8.1 </w:t>
      </w:r>
      <w:r w:rsidRPr="00511B6A">
        <w:rPr>
          <w:rFonts w:ascii="宋体" w:hAnsi="宋体" w:hint="eastAsia"/>
          <w:b/>
          <w:color w:val="000000"/>
          <w:sz w:val="24"/>
        </w:rPr>
        <w:t>备查文件目录</w:t>
      </w:r>
    </w:p>
    <w:p w:rsidR="003469A5" w:rsidRDefault="00541837">
      <w:pPr>
        <w:spacing w:line="360" w:lineRule="auto"/>
        <w:ind w:firstLineChars="200" w:firstLine="480"/>
        <w:rPr>
          <w:color w:val="000000"/>
          <w:sz w:val="24"/>
        </w:rPr>
      </w:pPr>
      <w:r>
        <w:rPr>
          <w:color w:val="000000"/>
          <w:sz w:val="24"/>
        </w:rPr>
        <w:t>1.</w:t>
      </w:r>
      <w:r>
        <w:rPr>
          <w:color w:val="000000"/>
          <w:sz w:val="24"/>
        </w:rPr>
        <w:t>中国证监会核准易方达量化衍伸股票型证券投资基金募集的文件；</w:t>
      </w:r>
    </w:p>
    <w:p w:rsidR="003469A5" w:rsidRDefault="00541837">
      <w:pPr>
        <w:spacing w:line="360" w:lineRule="auto"/>
        <w:ind w:firstLineChars="200" w:firstLine="480"/>
        <w:rPr>
          <w:color w:val="000000"/>
          <w:sz w:val="24"/>
        </w:rPr>
      </w:pPr>
      <w:r>
        <w:rPr>
          <w:color w:val="000000"/>
          <w:sz w:val="24"/>
        </w:rPr>
        <w:t>2.</w:t>
      </w:r>
      <w:r>
        <w:rPr>
          <w:color w:val="000000"/>
          <w:sz w:val="24"/>
        </w:rPr>
        <w:t>中国证监会《关于核准易方达量化衍伸股票型证券投资基金基金份额持有人大会决议的批复》；</w:t>
      </w:r>
    </w:p>
    <w:p w:rsidR="003469A5" w:rsidRDefault="00541837">
      <w:pPr>
        <w:spacing w:line="360" w:lineRule="auto"/>
        <w:ind w:firstLineChars="200" w:firstLine="480"/>
        <w:rPr>
          <w:color w:val="000000"/>
          <w:sz w:val="24"/>
        </w:rPr>
      </w:pPr>
      <w:r>
        <w:rPr>
          <w:color w:val="000000"/>
          <w:sz w:val="24"/>
        </w:rPr>
        <w:t>3.</w:t>
      </w:r>
      <w:r>
        <w:rPr>
          <w:color w:val="000000"/>
          <w:sz w:val="24"/>
        </w:rPr>
        <w:t>《易方达沪深</w:t>
      </w:r>
      <w:r>
        <w:rPr>
          <w:color w:val="000000"/>
          <w:sz w:val="24"/>
        </w:rPr>
        <w:t>300</w:t>
      </w:r>
      <w:r>
        <w:rPr>
          <w:color w:val="000000"/>
          <w:sz w:val="24"/>
        </w:rPr>
        <w:t>量化增强证券投资基金基金合同》；</w:t>
      </w:r>
    </w:p>
    <w:p w:rsidR="003469A5" w:rsidRDefault="00541837">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3469A5" w:rsidRDefault="00541837">
      <w:pPr>
        <w:spacing w:line="360" w:lineRule="auto"/>
        <w:ind w:firstLineChars="200" w:firstLine="480"/>
        <w:rPr>
          <w:color w:val="000000"/>
          <w:sz w:val="24"/>
        </w:rPr>
      </w:pPr>
      <w:r>
        <w:rPr>
          <w:color w:val="000000"/>
          <w:sz w:val="24"/>
        </w:rPr>
        <w:t>5.</w:t>
      </w:r>
      <w:r>
        <w:rPr>
          <w:color w:val="000000"/>
          <w:sz w:val="24"/>
        </w:rPr>
        <w:t>《易方达沪深</w:t>
      </w:r>
      <w:r>
        <w:rPr>
          <w:color w:val="000000"/>
          <w:sz w:val="24"/>
        </w:rPr>
        <w:t>300</w:t>
      </w:r>
      <w:r>
        <w:rPr>
          <w:color w:val="000000"/>
          <w:sz w:val="24"/>
        </w:rPr>
        <w:t>量化增强证券投资基金托管协议》；</w:t>
      </w:r>
    </w:p>
    <w:p w:rsidR="00A62673" w:rsidRPr="00C1648E" w:rsidRDefault="00A62673" w:rsidP="00C1648E">
      <w:pPr>
        <w:spacing w:line="360" w:lineRule="auto"/>
        <w:ind w:firstLineChars="200" w:firstLine="480"/>
        <w:rPr>
          <w:color w:val="000000"/>
          <w:sz w:val="24"/>
        </w:rPr>
      </w:pPr>
      <w:r w:rsidRPr="00DC315B">
        <w:rPr>
          <w:color w:val="000000"/>
          <w:sz w:val="24"/>
        </w:rPr>
        <w:t>6.</w:t>
      </w:r>
      <w:r w:rsidRPr="00DC315B">
        <w:rPr>
          <w:color w:val="000000"/>
          <w:sz w:val="24"/>
        </w:rPr>
        <w:t>基金管理人业务资格批件和营业执照。</w:t>
      </w:r>
    </w:p>
    <w:p w:rsidR="00A62673" w:rsidRPr="00511B6A" w:rsidRDefault="00A62673" w:rsidP="009A037F">
      <w:pPr>
        <w:spacing w:line="360" w:lineRule="auto"/>
        <w:rPr>
          <w:rFonts w:ascii="宋体"/>
          <w:b/>
          <w:color w:val="000000"/>
          <w:sz w:val="24"/>
        </w:rPr>
      </w:pPr>
      <w:r w:rsidRPr="00511B6A">
        <w:rPr>
          <w:rFonts w:ascii="宋体" w:hAnsi="宋体"/>
          <w:b/>
          <w:color w:val="000000"/>
          <w:sz w:val="24"/>
        </w:rPr>
        <w:t xml:space="preserve">8.2 </w:t>
      </w:r>
      <w:r w:rsidRPr="00511B6A">
        <w:rPr>
          <w:rFonts w:ascii="宋体" w:hAnsi="宋体" w:hint="eastAsia"/>
          <w:b/>
          <w:color w:val="000000"/>
          <w:sz w:val="24"/>
        </w:rPr>
        <w:t>存放地点</w:t>
      </w:r>
    </w:p>
    <w:p w:rsidR="00A62673" w:rsidRPr="00C1648E" w:rsidRDefault="00A62673" w:rsidP="00C1648E">
      <w:pPr>
        <w:spacing w:line="360" w:lineRule="auto"/>
        <w:ind w:firstLineChars="200" w:firstLine="480"/>
        <w:rPr>
          <w:color w:val="000000"/>
          <w:sz w:val="24"/>
        </w:rPr>
      </w:pPr>
      <w:r w:rsidRPr="00DC315B">
        <w:rPr>
          <w:color w:val="000000"/>
          <w:sz w:val="24"/>
        </w:rPr>
        <w:t>广州市天河区珠江新城珠江东路</w:t>
      </w:r>
      <w:r w:rsidRPr="00DC315B">
        <w:rPr>
          <w:color w:val="000000"/>
          <w:sz w:val="24"/>
        </w:rPr>
        <w:t>30</w:t>
      </w:r>
      <w:r w:rsidRPr="00DC315B">
        <w:rPr>
          <w:color w:val="000000"/>
          <w:sz w:val="24"/>
        </w:rPr>
        <w:t>号广州银行大厦</w:t>
      </w:r>
      <w:r w:rsidRPr="00DC315B">
        <w:rPr>
          <w:color w:val="000000"/>
          <w:sz w:val="24"/>
        </w:rPr>
        <w:t>40-43</w:t>
      </w:r>
      <w:r w:rsidRPr="00DC315B">
        <w:rPr>
          <w:color w:val="000000"/>
          <w:sz w:val="24"/>
        </w:rPr>
        <w:t>楼。</w:t>
      </w:r>
    </w:p>
    <w:p w:rsidR="00A62673" w:rsidRPr="00511B6A" w:rsidRDefault="00A62673" w:rsidP="009A037F">
      <w:pPr>
        <w:spacing w:line="360" w:lineRule="auto"/>
        <w:rPr>
          <w:rFonts w:ascii="宋体"/>
          <w:b/>
          <w:color w:val="000000"/>
          <w:sz w:val="24"/>
        </w:rPr>
      </w:pPr>
      <w:r w:rsidRPr="00511B6A">
        <w:rPr>
          <w:rFonts w:ascii="宋体" w:hAnsi="宋体"/>
          <w:b/>
          <w:color w:val="000000"/>
          <w:sz w:val="24"/>
        </w:rPr>
        <w:t xml:space="preserve">8.3 </w:t>
      </w:r>
      <w:r w:rsidRPr="00511B6A">
        <w:rPr>
          <w:rFonts w:ascii="宋体" w:hAnsi="宋体" w:hint="eastAsia"/>
          <w:b/>
          <w:color w:val="000000"/>
          <w:sz w:val="24"/>
        </w:rPr>
        <w:t>查阅方式</w:t>
      </w:r>
    </w:p>
    <w:p w:rsidR="00A62673" w:rsidRPr="00DC315B" w:rsidRDefault="00A62673" w:rsidP="005A2769">
      <w:pPr>
        <w:spacing w:line="360" w:lineRule="auto"/>
        <w:ind w:firstLineChars="200" w:firstLine="480"/>
        <w:rPr>
          <w:color w:val="000000"/>
          <w:sz w:val="24"/>
        </w:rPr>
      </w:pPr>
      <w:r w:rsidRPr="00DC315B">
        <w:rPr>
          <w:color w:val="000000"/>
          <w:sz w:val="24"/>
        </w:rPr>
        <w:t>投资者可在营业时间免费查阅，也可按工本费购买复印件。</w:t>
      </w:r>
    </w:p>
    <w:p w:rsidR="00A62673" w:rsidRDefault="00A62673" w:rsidP="0019563C">
      <w:pPr>
        <w:spacing w:line="360" w:lineRule="auto"/>
        <w:ind w:left="840"/>
        <w:jc w:val="right"/>
        <w:rPr>
          <w:rFonts w:ascii="宋体"/>
          <w:color w:val="000000"/>
          <w:sz w:val="24"/>
        </w:rPr>
      </w:pPr>
    </w:p>
    <w:p w:rsidR="00A62673" w:rsidRDefault="00A62673" w:rsidP="0019563C">
      <w:pPr>
        <w:spacing w:line="360" w:lineRule="auto"/>
        <w:ind w:left="840"/>
        <w:jc w:val="right"/>
        <w:rPr>
          <w:rFonts w:ascii="宋体"/>
          <w:color w:val="000000"/>
          <w:sz w:val="24"/>
        </w:rPr>
      </w:pPr>
    </w:p>
    <w:p w:rsidR="00A62673" w:rsidRDefault="00A62673" w:rsidP="0019563C">
      <w:pPr>
        <w:spacing w:line="360" w:lineRule="auto"/>
        <w:ind w:left="840"/>
        <w:jc w:val="right"/>
        <w:rPr>
          <w:rFonts w:ascii="宋体"/>
          <w:color w:val="000000"/>
          <w:sz w:val="24"/>
        </w:rPr>
      </w:pPr>
    </w:p>
    <w:p w:rsidR="00A62673" w:rsidRPr="00EC5CE0" w:rsidRDefault="00A62673" w:rsidP="0019563C">
      <w:pPr>
        <w:spacing w:line="360" w:lineRule="auto"/>
        <w:ind w:left="840"/>
        <w:jc w:val="right"/>
        <w:rPr>
          <w:rFonts w:ascii="宋体"/>
          <w:color w:val="000000"/>
          <w:sz w:val="24"/>
        </w:rPr>
      </w:pPr>
    </w:p>
    <w:p w:rsidR="00A62673" w:rsidRPr="00EC5CE0" w:rsidRDefault="00A62673" w:rsidP="0019563C">
      <w:pPr>
        <w:spacing w:line="360" w:lineRule="auto"/>
        <w:ind w:left="840"/>
        <w:jc w:val="right"/>
        <w:rPr>
          <w:rFonts w:ascii="宋体"/>
          <w:color w:val="000000"/>
          <w:sz w:val="24"/>
        </w:rPr>
      </w:pPr>
    </w:p>
    <w:p w:rsidR="00A62673" w:rsidRPr="00EC5CE0" w:rsidRDefault="00A62673" w:rsidP="009A037F">
      <w:pPr>
        <w:spacing w:line="360" w:lineRule="auto"/>
        <w:jc w:val="right"/>
        <w:rPr>
          <w:rFonts w:ascii="宋体" w:hAnsi="宋体"/>
          <w:b/>
          <w:bCs/>
          <w:sz w:val="24"/>
        </w:rPr>
      </w:pPr>
      <w:r w:rsidRPr="00EC5CE0">
        <w:rPr>
          <w:rFonts w:ascii="宋体" w:hAnsi="宋体"/>
          <w:b/>
          <w:bCs/>
          <w:sz w:val="24"/>
        </w:rPr>
        <w:t>易方达基金管理有限公司</w:t>
      </w:r>
    </w:p>
    <w:p w:rsidR="00A62673" w:rsidRPr="001E4DBA" w:rsidRDefault="00A62673" w:rsidP="001E4DBA">
      <w:pPr>
        <w:spacing w:line="360" w:lineRule="auto"/>
        <w:jc w:val="right"/>
        <w:rPr>
          <w:rFonts w:ascii="宋体" w:hAnsi="宋体"/>
          <w:b/>
          <w:bCs/>
          <w:sz w:val="24"/>
        </w:rPr>
      </w:pPr>
      <w:r w:rsidRPr="00EC5CE0">
        <w:rPr>
          <w:rFonts w:ascii="宋体" w:hAnsi="宋体"/>
          <w:b/>
          <w:bCs/>
          <w:sz w:val="24"/>
        </w:rPr>
        <w:t>二〇一九年十月二十四日</w:t>
      </w:r>
    </w:p>
    <w:sectPr w:rsidR="00A62673" w:rsidRPr="001E4DBA" w:rsidSect="00DB4450">
      <w:footerReference w:type="even" r:id="rId10"/>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CE3" w:rsidRDefault="00BB6CE3">
      <w:r>
        <w:separator/>
      </w:r>
    </w:p>
  </w:endnote>
  <w:endnote w:type="continuationSeparator" w:id="0">
    <w:p w:rsidR="00BB6CE3" w:rsidRDefault="00BB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TSong-Light">
    <w:altName w:val="Times New Roman"/>
    <w:panose1 w:val="00000000000000000000"/>
    <w:charset w:val="00"/>
    <w:family w:val="roman"/>
    <w:notTrueType/>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673" w:rsidRPr="001D0DB0" w:rsidRDefault="00A62673" w:rsidP="00230A66">
    <w:pPr>
      <w:pStyle w:val="a6"/>
      <w:jc w:val="center"/>
    </w:pPr>
    <w:r>
      <w:rPr>
        <w:rFonts w:hint="eastAsia"/>
        <w:szCs w:val="21"/>
      </w:rPr>
      <w:t>第</w:t>
    </w:r>
    <w:r w:rsidR="00C85F94">
      <w:rPr>
        <w:szCs w:val="21"/>
      </w:rPr>
      <w:fldChar w:fldCharType="begin"/>
    </w:r>
    <w:r>
      <w:rPr>
        <w:szCs w:val="21"/>
      </w:rPr>
      <w:instrText xml:space="preserve"> PAGE </w:instrText>
    </w:r>
    <w:r w:rsidR="00C85F94">
      <w:rPr>
        <w:szCs w:val="21"/>
      </w:rPr>
      <w:fldChar w:fldCharType="separate"/>
    </w:r>
    <w:r w:rsidR="00541837">
      <w:rPr>
        <w:noProof/>
        <w:szCs w:val="21"/>
      </w:rPr>
      <w:t>1</w:t>
    </w:r>
    <w:r w:rsidR="00C85F94">
      <w:rPr>
        <w:szCs w:val="21"/>
      </w:rPr>
      <w:fldChar w:fldCharType="end"/>
    </w:r>
    <w:r>
      <w:rPr>
        <w:rFonts w:hint="eastAsia"/>
        <w:szCs w:val="21"/>
      </w:rPr>
      <w:t>页共</w:t>
    </w:r>
    <w:r w:rsidR="00C85F94">
      <w:rPr>
        <w:szCs w:val="21"/>
      </w:rPr>
      <w:fldChar w:fldCharType="begin"/>
    </w:r>
    <w:r>
      <w:rPr>
        <w:szCs w:val="21"/>
      </w:rPr>
      <w:instrText xml:space="preserve"> NUMPAGES </w:instrText>
    </w:r>
    <w:r w:rsidR="00C85F94">
      <w:rPr>
        <w:szCs w:val="21"/>
      </w:rPr>
      <w:fldChar w:fldCharType="separate"/>
    </w:r>
    <w:r w:rsidR="00541837">
      <w:rPr>
        <w:noProof/>
        <w:szCs w:val="21"/>
      </w:rPr>
      <w:t>3</w:t>
    </w:r>
    <w:r w:rsidR="00C85F94">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673" w:rsidRDefault="00C85F94">
    <w:pPr>
      <w:pStyle w:val="a6"/>
      <w:framePr w:wrap="around" w:vAnchor="text" w:hAnchor="margin" w:xAlign="center" w:y="1"/>
      <w:rPr>
        <w:rStyle w:val="a7"/>
      </w:rPr>
    </w:pPr>
    <w:r>
      <w:rPr>
        <w:rStyle w:val="a7"/>
      </w:rPr>
      <w:fldChar w:fldCharType="begin"/>
    </w:r>
    <w:r w:rsidR="00A62673">
      <w:rPr>
        <w:rStyle w:val="a7"/>
      </w:rPr>
      <w:instrText xml:space="preserve">PAGE  </w:instrText>
    </w:r>
    <w:r>
      <w:rPr>
        <w:rStyle w:val="a7"/>
      </w:rPr>
      <w:fldChar w:fldCharType="end"/>
    </w:r>
  </w:p>
  <w:p w:rsidR="00A62673" w:rsidRDefault="00A6267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673" w:rsidRDefault="00C85F94">
    <w:pPr>
      <w:pStyle w:val="a6"/>
      <w:framePr w:wrap="around" w:vAnchor="text" w:hAnchor="margin" w:xAlign="center" w:y="1"/>
      <w:rPr>
        <w:rStyle w:val="a7"/>
      </w:rPr>
    </w:pPr>
    <w:r>
      <w:rPr>
        <w:rStyle w:val="a7"/>
      </w:rPr>
      <w:fldChar w:fldCharType="begin"/>
    </w:r>
    <w:r w:rsidR="00A62673">
      <w:rPr>
        <w:rStyle w:val="a7"/>
      </w:rPr>
      <w:instrText xml:space="preserve">PAGE  </w:instrText>
    </w:r>
    <w:r>
      <w:rPr>
        <w:rStyle w:val="a7"/>
      </w:rPr>
      <w:fldChar w:fldCharType="separate"/>
    </w:r>
    <w:r w:rsidR="00541837">
      <w:rPr>
        <w:rStyle w:val="a7"/>
        <w:noProof/>
      </w:rPr>
      <w:t>14</w:t>
    </w:r>
    <w:r>
      <w:rPr>
        <w:rStyle w:val="a7"/>
      </w:rPr>
      <w:fldChar w:fldCharType="end"/>
    </w:r>
  </w:p>
  <w:p w:rsidR="00A62673" w:rsidRDefault="00A6267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CE3" w:rsidRDefault="00BB6CE3">
      <w:r>
        <w:separator/>
      </w:r>
    </w:p>
  </w:footnote>
  <w:footnote w:type="continuationSeparator" w:id="0">
    <w:p w:rsidR="00BB6CE3" w:rsidRDefault="00BB6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673" w:rsidRPr="00977154" w:rsidRDefault="00A62673" w:rsidP="005E491F">
    <w:pPr>
      <w:pStyle w:val="a9"/>
      <w:pBdr>
        <w:bottom w:val="single" w:sz="6" w:space="0" w:color="auto"/>
      </w:pBdr>
      <w:jc w:val="right"/>
    </w:pPr>
    <w:r w:rsidRPr="00977154">
      <w:t>易方达沪深</w:t>
    </w:r>
    <w:r w:rsidRPr="00977154">
      <w:t>300</w:t>
    </w:r>
    <w:r w:rsidRPr="00977154">
      <w:t>量化增强证券投资基金</w:t>
    </w:r>
    <w:r w:rsidRPr="00977154">
      <w:t>2019</w:t>
    </w:r>
    <w:r w:rsidRPr="00977154">
      <w:t>年第</w:t>
    </w:r>
    <w:r w:rsidRPr="00977154">
      <w:t>3</w:t>
    </w:r>
    <w:r w:rsidRPr="0097715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42A56"/>
    <w:rsid w:val="0000021D"/>
    <w:rsid w:val="000020BB"/>
    <w:rsid w:val="0000369F"/>
    <w:rsid w:val="0000403B"/>
    <w:rsid w:val="00005911"/>
    <w:rsid w:val="00010A83"/>
    <w:rsid w:val="00010A8E"/>
    <w:rsid w:val="00010AC3"/>
    <w:rsid w:val="000115A7"/>
    <w:rsid w:val="00011EB5"/>
    <w:rsid w:val="0001280C"/>
    <w:rsid w:val="00017581"/>
    <w:rsid w:val="00020583"/>
    <w:rsid w:val="00021DD4"/>
    <w:rsid w:val="00023BE7"/>
    <w:rsid w:val="00024709"/>
    <w:rsid w:val="00037FCF"/>
    <w:rsid w:val="000421B8"/>
    <w:rsid w:val="00043ABF"/>
    <w:rsid w:val="000445E4"/>
    <w:rsid w:val="00045BEC"/>
    <w:rsid w:val="000510AB"/>
    <w:rsid w:val="00055AF1"/>
    <w:rsid w:val="000625A6"/>
    <w:rsid w:val="00064AE3"/>
    <w:rsid w:val="0006511D"/>
    <w:rsid w:val="00066524"/>
    <w:rsid w:val="00070CD1"/>
    <w:rsid w:val="0007171B"/>
    <w:rsid w:val="00072E4F"/>
    <w:rsid w:val="00074E9F"/>
    <w:rsid w:val="000770DE"/>
    <w:rsid w:val="00081D05"/>
    <w:rsid w:val="000820A8"/>
    <w:rsid w:val="00084895"/>
    <w:rsid w:val="00084EE5"/>
    <w:rsid w:val="00087CF7"/>
    <w:rsid w:val="00091560"/>
    <w:rsid w:val="00093160"/>
    <w:rsid w:val="00094876"/>
    <w:rsid w:val="00095912"/>
    <w:rsid w:val="00095CE0"/>
    <w:rsid w:val="00096933"/>
    <w:rsid w:val="00097230"/>
    <w:rsid w:val="0009778D"/>
    <w:rsid w:val="000A457E"/>
    <w:rsid w:val="000A53FD"/>
    <w:rsid w:val="000A549A"/>
    <w:rsid w:val="000A5F96"/>
    <w:rsid w:val="000A72F2"/>
    <w:rsid w:val="000B0C56"/>
    <w:rsid w:val="000B3E43"/>
    <w:rsid w:val="000B5CC0"/>
    <w:rsid w:val="000C1723"/>
    <w:rsid w:val="000C1B20"/>
    <w:rsid w:val="000C4107"/>
    <w:rsid w:val="000C45E7"/>
    <w:rsid w:val="000C7776"/>
    <w:rsid w:val="000D01F4"/>
    <w:rsid w:val="000D1519"/>
    <w:rsid w:val="000D1C87"/>
    <w:rsid w:val="000E4456"/>
    <w:rsid w:val="000F175F"/>
    <w:rsid w:val="000F17D1"/>
    <w:rsid w:val="000F60FF"/>
    <w:rsid w:val="000F635F"/>
    <w:rsid w:val="000F6C61"/>
    <w:rsid w:val="00100C12"/>
    <w:rsid w:val="00101DBA"/>
    <w:rsid w:val="001049B6"/>
    <w:rsid w:val="001051C6"/>
    <w:rsid w:val="00107CB4"/>
    <w:rsid w:val="0011177A"/>
    <w:rsid w:val="00112E9B"/>
    <w:rsid w:val="00116E31"/>
    <w:rsid w:val="00122A26"/>
    <w:rsid w:val="0012304E"/>
    <w:rsid w:val="001248EF"/>
    <w:rsid w:val="001257C7"/>
    <w:rsid w:val="00126DDF"/>
    <w:rsid w:val="001270BF"/>
    <w:rsid w:val="00127BAC"/>
    <w:rsid w:val="0013360F"/>
    <w:rsid w:val="00141121"/>
    <w:rsid w:val="00142A56"/>
    <w:rsid w:val="00144DF5"/>
    <w:rsid w:val="00145A97"/>
    <w:rsid w:val="00146485"/>
    <w:rsid w:val="00150AD6"/>
    <w:rsid w:val="00153B40"/>
    <w:rsid w:val="00154ADA"/>
    <w:rsid w:val="0015531A"/>
    <w:rsid w:val="001600E8"/>
    <w:rsid w:val="00163B27"/>
    <w:rsid w:val="00165317"/>
    <w:rsid w:val="00165A09"/>
    <w:rsid w:val="00171BAD"/>
    <w:rsid w:val="0017347D"/>
    <w:rsid w:val="001744B4"/>
    <w:rsid w:val="001756A1"/>
    <w:rsid w:val="001761EE"/>
    <w:rsid w:val="0017659B"/>
    <w:rsid w:val="00176EAA"/>
    <w:rsid w:val="0017725A"/>
    <w:rsid w:val="001779ED"/>
    <w:rsid w:val="00177C4B"/>
    <w:rsid w:val="00182635"/>
    <w:rsid w:val="0018325A"/>
    <w:rsid w:val="00185053"/>
    <w:rsid w:val="00186199"/>
    <w:rsid w:val="001928F7"/>
    <w:rsid w:val="00194537"/>
    <w:rsid w:val="0019563C"/>
    <w:rsid w:val="00195F18"/>
    <w:rsid w:val="001968CE"/>
    <w:rsid w:val="00196E83"/>
    <w:rsid w:val="001A0A1E"/>
    <w:rsid w:val="001A21A9"/>
    <w:rsid w:val="001A59D8"/>
    <w:rsid w:val="001A5FA6"/>
    <w:rsid w:val="001A6A3B"/>
    <w:rsid w:val="001A6F8A"/>
    <w:rsid w:val="001B0A62"/>
    <w:rsid w:val="001B2F0C"/>
    <w:rsid w:val="001C13C9"/>
    <w:rsid w:val="001C37F6"/>
    <w:rsid w:val="001C6288"/>
    <w:rsid w:val="001D0DB0"/>
    <w:rsid w:val="001D0F6A"/>
    <w:rsid w:val="001D21BC"/>
    <w:rsid w:val="001D2FA5"/>
    <w:rsid w:val="001D35E0"/>
    <w:rsid w:val="001D3711"/>
    <w:rsid w:val="001D3CDF"/>
    <w:rsid w:val="001D5045"/>
    <w:rsid w:val="001D5A44"/>
    <w:rsid w:val="001D63BB"/>
    <w:rsid w:val="001D724B"/>
    <w:rsid w:val="001E11D3"/>
    <w:rsid w:val="001E2A6A"/>
    <w:rsid w:val="001E3742"/>
    <w:rsid w:val="001E3DC2"/>
    <w:rsid w:val="001E4DBA"/>
    <w:rsid w:val="001E56FF"/>
    <w:rsid w:val="001E5C6B"/>
    <w:rsid w:val="001F03E1"/>
    <w:rsid w:val="001F3CC6"/>
    <w:rsid w:val="001F4530"/>
    <w:rsid w:val="001F5265"/>
    <w:rsid w:val="002010DE"/>
    <w:rsid w:val="00202885"/>
    <w:rsid w:val="00202968"/>
    <w:rsid w:val="00202C32"/>
    <w:rsid w:val="00203AEF"/>
    <w:rsid w:val="00211A26"/>
    <w:rsid w:val="002125F7"/>
    <w:rsid w:val="00214463"/>
    <w:rsid w:val="00214756"/>
    <w:rsid w:val="00215CF2"/>
    <w:rsid w:val="00217171"/>
    <w:rsid w:val="00220542"/>
    <w:rsid w:val="00221174"/>
    <w:rsid w:val="00225421"/>
    <w:rsid w:val="00225ADC"/>
    <w:rsid w:val="00227748"/>
    <w:rsid w:val="00230A66"/>
    <w:rsid w:val="00230EC2"/>
    <w:rsid w:val="002359EB"/>
    <w:rsid w:val="002363AB"/>
    <w:rsid w:val="00236807"/>
    <w:rsid w:val="00237F06"/>
    <w:rsid w:val="0024260D"/>
    <w:rsid w:val="00245012"/>
    <w:rsid w:val="0024504E"/>
    <w:rsid w:val="0024651F"/>
    <w:rsid w:val="00250062"/>
    <w:rsid w:val="00250BE3"/>
    <w:rsid w:val="0025158D"/>
    <w:rsid w:val="002517C2"/>
    <w:rsid w:val="0025281A"/>
    <w:rsid w:val="00253D3C"/>
    <w:rsid w:val="00255292"/>
    <w:rsid w:val="00257D8C"/>
    <w:rsid w:val="00257F8D"/>
    <w:rsid w:val="00260200"/>
    <w:rsid w:val="00263563"/>
    <w:rsid w:val="002648D8"/>
    <w:rsid w:val="00264E55"/>
    <w:rsid w:val="00267B74"/>
    <w:rsid w:val="00270548"/>
    <w:rsid w:val="00273F86"/>
    <w:rsid w:val="002774F0"/>
    <w:rsid w:val="00283272"/>
    <w:rsid w:val="0028459B"/>
    <w:rsid w:val="00284C5F"/>
    <w:rsid w:val="002873F0"/>
    <w:rsid w:val="00287AC3"/>
    <w:rsid w:val="0029046D"/>
    <w:rsid w:val="00295C5D"/>
    <w:rsid w:val="002964F9"/>
    <w:rsid w:val="002A1F14"/>
    <w:rsid w:val="002A2678"/>
    <w:rsid w:val="002A2E01"/>
    <w:rsid w:val="002A398F"/>
    <w:rsid w:val="002A3B4A"/>
    <w:rsid w:val="002A5C6B"/>
    <w:rsid w:val="002A5D31"/>
    <w:rsid w:val="002A714F"/>
    <w:rsid w:val="002B1851"/>
    <w:rsid w:val="002B27FF"/>
    <w:rsid w:val="002B6793"/>
    <w:rsid w:val="002B7C16"/>
    <w:rsid w:val="002C1726"/>
    <w:rsid w:val="002C21A6"/>
    <w:rsid w:val="002C2610"/>
    <w:rsid w:val="002C26D5"/>
    <w:rsid w:val="002C5777"/>
    <w:rsid w:val="002D32E3"/>
    <w:rsid w:val="002E0FEB"/>
    <w:rsid w:val="002E300D"/>
    <w:rsid w:val="002F0F79"/>
    <w:rsid w:val="002F1CC8"/>
    <w:rsid w:val="002F280E"/>
    <w:rsid w:val="002F3709"/>
    <w:rsid w:val="002F3A6C"/>
    <w:rsid w:val="002F4296"/>
    <w:rsid w:val="00300951"/>
    <w:rsid w:val="003023C9"/>
    <w:rsid w:val="00302CA8"/>
    <w:rsid w:val="00302DE9"/>
    <w:rsid w:val="00305084"/>
    <w:rsid w:val="00310086"/>
    <w:rsid w:val="00312FE8"/>
    <w:rsid w:val="0031358C"/>
    <w:rsid w:val="00313AE2"/>
    <w:rsid w:val="0031630D"/>
    <w:rsid w:val="003204E9"/>
    <w:rsid w:val="00321E8C"/>
    <w:rsid w:val="00322A86"/>
    <w:rsid w:val="00323AE8"/>
    <w:rsid w:val="00324548"/>
    <w:rsid w:val="003251F4"/>
    <w:rsid w:val="003303E3"/>
    <w:rsid w:val="00331FA4"/>
    <w:rsid w:val="003329EA"/>
    <w:rsid w:val="003347EF"/>
    <w:rsid w:val="00337293"/>
    <w:rsid w:val="003407A5"/>
    <w:rsid w:val="00341188"/>
    <w:rsid w:val="0034147B"/>
    <w:rsid w:val="00345AA8"/>
    <w:rsid w:val="003469A5"/>
    <w:rsid w:val="00350238"/>
    <w:rsid w:val="0035109C"/>
    <w:rsid w:val="00351F0A"/>
    <w:rsid w:val="0035432B"/>
    <w:rsid w:val="00357172"/>
    <w:rsid w:val="0035753B"/>
    <w:rsid w:val="003613A8"/>
    <w:rsid w:val="00361E7E"/>
    <w:rsid w:val="0036360E"/>
    <w:rsid w:val="00364504"/>
    <w:rsid w:val="00364559"/>
    <w:rsid w:val="00370AA4"/>
    <w:rsid w:val="00371FF4"/>
    <w:rsid w:val="00376C39"/>
    <w:rsid w:val="00377520"/>
    <w:rsid w:val="003802CC"/>
    <w:rsid w:val="00380D36"/>
    <w:rsid w:val="003822D3"/>
    <w:rsid w:val="0038237A"/>
    <w:rsid w:val="003834E0"/>
    <w:rsid w:val="00384C43"/>
    <w:rsid w:val="00386630"/>
    <w:rsid w:val="00390B25"/>
    <w:rsid w:val="00397156"/>
    <w:rsid w:val="00397960"/>
    <w:rsid w:val="003A0A94"/>
    <w:rsid w:val="003A3BC4"/>
    <w:rsid w:val="003A458A"/>
    <w:rsid w:val="003B2DA8"/>
    <w:rsid w:val="003B2F13"/>
    <w:rsid w:val="003B405E"/>
    <w:rsid w:val="003B57D3"/>
    <w:rsid w:val="003C1A49"/>
    <w:rsid w:val="003C1F58"/>
    <w:rsid w:val="003C6C58"/>
    <w:rsid w:val="003C792F"/>
    <w:rsid w:val="003D124B"/>
    <w:rsid w:val="003D18F3"/>
    <w:rsid w:val="003D23CB"/>
    <w:rsid w:val="003D6F64"/>
    <w:rsid w:val="003D78B5"/>
    <w:rsid w:val="003E244F"/>
    <w:rsid w:val="003E62A6"/>
    <w:rsid w:val="003E68A0"/>
    <w:rsid w:val="003E695F"/>
    <w:rsid w:val="003E6C9B"/>
    <w:rsid w:val="003E709C"/>
    <w:rsid w:val="003E7B89"/>
    <w:rsid w:val="003F4241"/>
    <w:rsid w:val="003F7040"/>
    <w:rsid w:val="003F7C45"/>
    <w:rsid w:val="0040132C"/>
    <w:rsid w:val="00405085"/>
    <w:rsid w:val="00405481"/>
    <w:rsid w:val="004066FC"/>
    <w:rsid w:val="00407C10"/>
    <w:rsid w:val="004103DF"/>
    <w:rsid w:val="00410E6E"/>
    <w:rsid w:val="004113B4"/>
    <w:rsid w:val="00413689"/>
    <w:rsid w:val="004143D6"/>
    <w:rsid w:val="00414827"/>
    <w:rsid w:val="00416C10"/>
    <w:rsid w:val="00420355"/>
    <w:rsid w:val="00421E6B"/>
    <w:rsid w:val="00424EF3"/>
    <w:rsid w:val="004268BB"/>
    <w:rsid w:val="00431047"/>
    <w:rsid w:val="004318F0"/>
    <w:rsid w:val="00431B86"/>
    <w:rsid w:val="00435368"/>
    <w:rsid w:val="004408EC"/>
    <w:rsid w:val="004419E2"/>
    <w:rsid w:val="00441E6A"/>
    <w:rsid w:val="0044398D"/>
    <w:rsid w:val="00443C8F"/>
    <w:rsid w:val="00447C82"/>
    <w:rsid w:val="00450215"/>
    <w:rsid w:val="00452481"/>
    <w:rsid w:val="00457251"/>
    <w:rsid w:val="004575E9"/>
    <w:rsid w:val="004576F2"/>
    <w:rsid w:val="00457804"/>
    <w:rsid w:val="004646BF"/>
    <w:rsid w:val="00464744"/>
    <w:rsid w:val="004665E3"/>
    <w:rsid w:val="00467683"/>
    <w:rsid w:val="004731F1"/>
    <w:rsid w:val="00480BC8"/>
    <w:rsid w:val="00481265"/>
    <w:rsid w:val="004814BF"/>
    <w:rsid w:val="0048587E"/>
    <w:rsid w:val="00487C2B"/>
    <w:rsid w:val="00490626"/>
    <w:rsid w:val="00491631"/>
    <w:rsid w:val="0049297D"/>
    <w:rsid w:val="004929F2"/>
    <w:rsid w:val="00495A03"/>
    <w:rsid w:val="004967FC"/>
    <w:rsid w:val="00497079"/>
    <w:rsid w:val="004A00BD"/>
    <w:rsid w:val="004A1A57"/>
    <w:rsid w:val="004A1BBA"/>
    <w:rsid w:val="004A3E3C"/>
    <w:rsid w:val="004B0E4B"/>
    <w:rsid w:val="004B0E6D"/>
    <w:rsid w:val="004B16E8"/>
    <w:rsid w:val="004B2DB9"/>
    <w:rsid w:val="004B5E54"/>
    <w:rsid w:val="004B6250"/>
    <w:rsid w:val="004B76B1"/>
    <w:rsid w:val="004C0057"/>
    <w:rsid w:val="004C03A7"/>
    <w:rsid w:val="004C0541"/>
    <w:rsid w:val="004C2C46"/>
    <w:rsid w:val="004C5189"/>
    <w:rsid w:val="004C7235"/>
    <w:rsid w:val="004C7955"/>
    <w:rsid w:val="004D047F"/>
    <w:rsid w:val="004D1930"/>
    <w:rsid w:val="004D1A45"/>
    <w:rsid w:val="004D3D96"/>
    <w:rsid w:val="004D650F"/>
    <w:rsid w:val="004E2133"/>
    <w:rsid w:val="004E5AB9"/>
    <w:rsid w:val="004E60FB"/>
    <w:rsid w:val="004F4EA9"/>
    <w:rsid w:val="004F779C"/>
    <w:rsid w:val="004F7846"/>
    <w:rsid w:val="005000D4"/>
    <w:rsid w:val="0050069E"/>
    <w:rsid w:val="005009C0"/>
    <w:rsid w:val="00500F1D"/>
    <w:rsid w:val="0050148E"/>
    <w:rsid w:val="00504285"/>
    <w:rsid w:val="00504432"/>
    <w:rsid w:val="00505EE0"/>
    <w:rsid w:val="0050638D"/>
    <w:rsid w:val="00510CAF"/>
    <w:rsid w:val="00511B6A"/>
    <w:rsid w:val="005128C5"/>
    <w:rsid w:val="00514754"/>
    <w:rsid w:val="0051478B"/>
    <w:rsid w:val="0051566A"/>
    <w:rsid w:val="00515D7B"/>
    <w:rsid w:val="005166E9"/>
    <w:rsid w:val="0052009E"/>
    <w:rsid w:val="00521065"/>
    <w:rsid w:val="00524EC3"/>
    <w:rsid w:val="00525E59"/>
    <w:rsid w:val="005318CC"/>
    <w:rsid w:val="00531D1B"/>
    <w:rsid w:val="005349B1"/>
    <w:rsid w:val="005374BC"/>
    <w:rsid w:val="00541837"/>
    <w:rsid w:val="00543188"/>
    <w:rsid w:val="00543367"/>
    <w:rsid w:val="00543BFA"/>
    <w:rsid w:val="00547D9C"/>
    <w:rsid w:val="00547DA1"/>
    <w:rsid w:val="00551CED"/>
    <w:rsid w:val="00554EAB"/>
    <w:rsid w:val="0055513C"/>
    <w:rsid w:val="00560C94"/>
    <w:rsid w:val="00560F37"/>
    <w:rsid w:val="0056291C"/>
    <w:rsid w:val="00565A63"/>
    <w:rsid w:val="00566588"/>
    <w:rsid w:val="00570B1A"/>
    <w:rsid w:val="00572736"/>
    <w:rsid w:val="0057275D"/>
    <w:rsid w:val="005800A9"/>
    <w:rsid w:val="00580488"/>
    <w:rsid w:val="0058074D"/>
    <w:rsid w:val="00580FD1"/>
    <w:rsid w:val="0058111B"/>
    <w:rsid w:val="00582FAD"/>
    <w:rsid w:val="00583489"/>
    <w:rsid w:val="00583A98"/>
    <w:rsid w:val="00584D71"/>
    <w:rsid w:val="005858C4"/>
    <w:rsid w:val="00590DB7"/>
    <w:rsid w:val="00590FE4"/>
    <w:rsid w:val="00591D9C"/>
    <w:rsid w:val="00597057"/>
    <w:rsid w:val="00597D8B"/>
    <w:rsid w:val="005A1C30"/>
    <w:rsid w:val="005A2769"/>
    <w:rsid w:val="005A2DCB"/>
    <w:rsid w:val="005A3295"/>
    <w:rsid w:val="005A46FF"/>
    <w:rsid w:val="005A6166"/>
    <w:rsid w:val="005B011E"/>
    <w:rsid w:val="005B1C7D"/>
    <w:rsid w:val="005B1DEC"/>
    <w:rsid w:val="005B2E84"/>
    <w:rsid w:val="005B53CA"/>
    <w:rsid w:val="005B5A04"/>
    <w:rsid w:val="005B7B0E"/>
    <w:rsid w:val="005C0A04"/>
    <w:rsid w:val="005C5409"/>
    <w:rsid w:val="005C69AC"/>
    <w:rsid w:val="005C722E"/>
    <w:rsid w:val="005D01A4"/>
    <w:rsid w:val="005D14DE"/>
    <w:rsid w:val="005D3F12"/>
    <w:rsid w:val="005D44E4"/>
    <w:rsid w:val="005D45B3"/>
    <w:rsid w:val="005D4CEB"/>
    <w:rsid w:val="005E491F"/>
    <w:rsid w:val="005E58CE"/>
    <w:rsid w:val="005E59E9"/>
    <w:rsid w:val="005F04E6"/>
    <w:rsid w:val="005F43B9"/>
    <w:rsid w:val="005F68CB"/>
    <w:rsid w:val="005F6A4A"/>
    <w:rsid w:val="00602154"/>
    <w:rsid w:val="006033E3"/>
    <w:rsid w:val="00604FE3"/>
    <w:rsid w:val="0061321C"/>
    <w:rsid w:val="00620DB0"/>
    <w:rsid w:val="0062386E"/>
    <w:rsid w:val="00623D9A"/>
    <w:rsid w:val="00623F01"/>
    <w:rsid w:val="006242FB"/>
    <w:rsid w:val="00626E2D"/>
    <w:rsid w:val="00627D94"/>
    <w:rsid w:val="00630B42"/>
    <w:rsid w:val="00636CDE"/>
    <w:rsid w:val="00637BA7"/>
    <w:rsid w:val="00640ACD"/>
    <w:rsid w:val="00642072"/>
    <w:rsid w:val="00643330"/>
    <w:rsid w:val="006440ED"/>
    <w:rsid w:val="00645293"/>
    <w:rsid w:val="00647C64"/>
    <w:rsid w:val="00651B78"/>
    <w:rsid w:val="00652263"/>
    <w:rsid w:val="00652881"/>
    <w:rsid w:val="00661974"/>
    <w:rsid w:val="00664551"/>
    <w:rsid w:val="00664E44"/>
    <w:rsid w:val="00665677"/>
    <w:rsid w:val="0066704D"/>
    <w:rsid w:val="006676A0"/>
    <w:rsid w:val="00670857"/>
    <w:rsid w:val="00671124"/>
    <w:rsid w:val="006727B0"/>
    <w:rsid w:val="0067307E"/>
    <w:rsid w:val="00677AC6"/>
    <w:rsid w:val="00687AD5"/>
    <w:rsid w:val="00691AFA"/>
    <w:rsid w:val="0069335C"/>
    <w:rsid w:val="00695251"/>
    <w:rsid w:val="00695ADE"/>
    <w:rsid w:val="00695C0D"/>
    <w:rsid w:val="00696356"/>
    <w:rsid w:val="006A72C6"/>
    <w:rsid w:val="006B02DA"/>
    <w:rsid w:val="006B2065"/>
    <w:rsid w:val="006B315F"/>
    <w:rsid w:val="006B3940"/>
    <w:rsid w:val="006B3FC5"/>
    <w:rsid w:val="006C168D"/>
    <w:rsid w:val="006C1D5C"/>
    <w:rsid w:val="006C3C80"/>
    <w:rsid w:val="006C3F43"/>
    <w:rsid w:val="006C642C"/>
    <w:rsid w:val="006C6FC6"/>
    <w:rsid w:val="006D442E"/>
    <w:rsid w:val="006D6A40"/>
    <w:rsid w:val="006D6F20"/>
    <w:rsid w:val="006D7693"/>
    <w:rsid w:val="006E231B"/>
    <w:rsid w:val="006E346E"/>
    <w:rsid w:val="006E34B7"/>
    <w:rsid w:val="006F0F87"/>
    <w:rsid w:val="006F2F3E"/>
    <w:rsid w:val="006F4CD8"/>
    <w:rsid w:val="006F53D9"/>
    <w:rsid w:val="006F6A94"/>
    <w:rsid w:val="00700348"/>
    <w:rsid w:val="007004DC"/>
    <w:rsid w:val="00701575"/>
    <w:rsid w:val="00701A03"/>
    <w:rsid w:val="00703E8A"/>
    <w:rsid w:val="00711522"/>
    <w:rsid w:val="007124FE"/>
    <w:rsid w:val="00712EE5"/>
    <w:rsid w:val="00713186"/>
    <w:rsid w:val="00713757"/>
    <w:rsid w:val="0071379B"/>
    <w:rsid w:val="0071497D"/>
    <w:rsid w:val="00717772"/>
    <w:rsid w:val="00721AF1"/>
    <w:rsid w:val="0072280F"/>
    <w:rsid w:val="00722B5E"/>
    <w:rsid w:val="00723309"/>
    <w:rsid w:val="00723845"/>
    <w:rsid w:val="0072708F"/>
    <w:rsid w:val="007323FB"/>
    <w:rsid w:val="00732D1D"/>
    <w:rsid w:val="00736034"/>
    <w:rsid w:val="0073681C"/>
    <w:rsid w:val="00741EBE"/>
    <w:rsid w:val="00746130"/>
    <w:rsid w:val="007467A8"/>
    <w:rsid w:val="00746A40"/>
    <w:rsid w:val="007479DC"/>
    <w:rsid w:val="00750358"/>
    <w:rsid w:val="00755CDF"/>
    <w:rsid w:val="00757A4C"/>
    <w:rsid w:val="0076110A"/>
    <w:rsid w:val="00764A94"/>
    <w:rsid w:val="00764DC3"/>
    <w:rsid w:val="007651E5"/>
    <w:rsid w:val="007670DC"/>
    <w:rsid w:val="00767239"/>
    <w:rsid w:val="0077111A"/>
    <w:rsid w:val="00772272"/>
    <w:rsid w:val="00774C7D"/>
    <w:rsid w:val="007756ED"/>
    <w:rsid w:val="007869A0"/>
    <w:rsid w:val="00786A23"/>
    <w:rsid w:val="007870FC"/>
    <w:rsid w:val="00787CD0"/>
    <w:rsid w:val="00791053"/>
    <w:rsid w:val="00791A3A"/>
    <w:rsid w:val="00794196"/>
    <w:rsid w:val="00797637"/>
    <w:rsid w:val="007A2E54"/>
    <w:rsid w:val="007A3680"/>
    <w:rsid w:val="007A59B8"/>
    <w:rsid w:val="007B2862"/>
    <w:rsid w:val="007B662A"/>
    <w:rsid w:val="007B6FEC"/>
    <w:rsid w:val="007C1A93"/>
    <w:rsid w:val="007C751E"/>
    <w:rsid w:val="007D021A"/>
    <w:rsid w:val="007D28C9"/>
    <w:rsid w:val="007D3CC8"/>
    <w:rsid w:val="007D62F9"/>
    <w:rsid w:val="007D63A4"/>
    <w:rsid w:val="007E1AA2"/>
    <w:rsid w:val="007E4C1F"/>
    <w:rsid w:val="007E6601"/>
    <w:rsid w:val="007F0746"/>
    <w:rsid w:val="007F0759"/>
    <w:rsid w:val="007F25C0"/>
    <w:rsid w:val="007F456A"/>
    <w:rsid w:val="007F4C9B"/>
    <w:rsid w:val="007F5F52"/>
    <w:rsid w:val="007F77C6"/>
    <w:rsid w:val="007F77D8"/>
    <w:rsid w:val="008003A1"/>
    <w:rsid w:val="008006B7"/>
    <w:rsid w:val="00800FDB"/>
    <w:rsid w:val="00802081"/>
    <w:rsid w:val="008020B5"/>
    <w:rsid w:val="008021E8"/>
    <w:rsid w:val="008034CF"/>
    <w:rsid w:val="008063D8"/>
    <w:rsid w:val="00806461"/>
    <w:rsid w:val="00806722"/>
    <w:rsid w:val="0081096D"/>
    <w:rsid w:val="00810EAD"/>
    <w:rsid w:val="00811833"/>
    <w:rsid w:val="008174D4"/>
    <w:rsid w:val="00820FE6"/>
    <w:rsid w:val="00821A66"/>
    <w:rsid w:val="00822476"/>
    <w:rsid w:val="00822882"/>
    <w:rsid w:val="0082435E"/>
    <w:rsid w:val="00824CB2"/>
    <w:rsid w:val="00825F68"/>
    <w:rsid w:val="008273D3"/>
    <w:rsid w:val="00835408"/>
    <w:rsid w:val="008359DA"/>
    <w:rsid w:val="00837CEF"/>
    <w:rsid w:val="00840035"/>
    <w:rsid w:val="00840220"/>
    <w:rsid w:val="008419D5"/>
    <w:rsid w:val="00841B65"/>
    <w:rsid w:val="008428A9"/>
    <w:rsid w:val="00844112"/>
    <w:rsid w:val="008456C9"/>
    <w:rsid w:val="0084611D"/>
    <w:rsid w:val="00847BEF"/>
    <w:rsid w:val="00847D9E"/>
    <w:rsid w:val="00850C62"/>
    <w:rsid w:val="008624F9"/>
    <w:rsid w:val="00863011"/>
    <w:rsid w:val="00865075"/>
    <w:rsid w:val="00866F96"/>
    <w:rsid w:val="0086748F"/>
    <w:rsid w:val="00872CE4"/>
    <w:rsid w:val="00874F4B"/>
    <w:rsid w:val="0087539B"/>
    <w:rsid w:val="00877B62"/>
    <w:rsid w:val="00880199"/>
    <w:rsid w:val="00881015"/>
    <w:rsid w:val="008810B0"/>
    <w:rsid w:val="008813D6"/>
    <w:rsid w:val="008819B6"/>
    <w:rsid w:val="00881AAC"/>
    <w:rsid w:val="008836B7"/>
    <w:rsid w:val="008841D3"/>
    <w:rsid w:val="0088709F"/>
    <w:rsid w:val="00887DE6"/>
    <w:rsid w:val="00894C2A"/>
    <w:rsid w:val="00897708"/>
    <w:rsid w:val="00897D88"/>
    <w:rsid w:val="008A2F16"/>
    <w:rsid w:val="008B1823"/>
    <w:rsid w:val="008B203C"/>
    <w:rsid w:val="008B6E16"/>
    <w:rsid w:val="008B7110"/>
    <w:rsid w:val="008C2029"/>
    <w:rsid w:val="008C61D6"/>
    <w:rsid w:val="008C64F1"/>
    <w:rsid w:val="008D1531"/>
    <w:rsid w:val="008D1BB0"/>
    <w:rsid w:val="008D20FF"/>
    <w:rsid w:val="008D2265"/>
    <w:rsid w:val="008D3DE6"/>
    <w:rsid w:val="008D4223"/>
    <w:rsid w:val="008D44CC"/>
    <w:rsid w:val="008D46E3"/>
    <w:rsid w:val="008D6709"/>
    <w:rsid w:val="008D7EF7"/>
    <w:rsid w:val="008E083A"/>
    <w:rsid w:val="008E1338"/>
    <w:rsid w:val="008E2450"/>
    <w:rsid w:val="008E2983"/>
    <w:rsid w:val="008E6038"/>
    <w:rsid w:val="008E7896"/>
    <w:rsid w:val="008F2477"/>
    <w:rsid w:val="008F2F2B"/>
    <w:rsid w:val="008F385C"/>
    <w:rsid w:val="008F3EF6"/>
    <w:rsid w:val="008F4AAB"/>
    <w:rsid w:val="008F60C5"/>
    <w:rsid w:val="00900A07"/>
    <w:rsid w:val="009010F0"/>
    <w:rsid w:val="00901162"/>
    <w:rsid w:val="0090223A"/>
    <w:rsid w:val="009028E2"/>
    <w:rsid w:val="00914EAB"/>
    <w:rsid w:val="00916597"/>
    <w:rsid w:val="00922D49"/>
    <w:rsid w:val="009259CF"/>
    <w:rsid w:val="00925E37"/>
    <w:rsid w:val="00925EDD"/>
    <w:rsid w:val="00927D0E"/>
    <w:rsid w:val="009309DA"/>
    <w:rsid w:val="00936688"/>
    <w:rsid w:val="00937CFA"/>
    <w:rsid w:val="009406B3"/>
    <w:rsid w:val="00942DF0"/>
    <w:rsid w:val="00945CF5"/>
    <w:rsid w:val="00950044"/>
    <w:rsid w:val="009500A1"/>
    <w:rsid w:val="0095037E"/>
    <w:rsid w:val="00950845"/>
    <w:rsid w:val="00952AAD"/>
    <w:rsid w:val="00954567"/>
    <w:rsid w:val="009547A9"/>
    <w:rsid w:val="009548FE"/>
    <w:rsid w:val="00956F0B"/>
    <w:rsid w:val="00957466"/>
    <w:rsid w:val="0096260B"/>
    <w:rsid w:val="009664D5"/>
    <w:rsid w:val="00970C69"/>
    <w:rsid w:val="00971DF7"/>
    <w:rsid w:val="00971F1C"/>
    <w:rsid w:val="0097211D"/>
    <w:rsid w:val="00972E10"/>
    <w:rsid w:val="009746CA"/>
    <w:rsid w:val="00974975"/>
    <w:rsid w:val="00974EA8"/>
    <w:rsid w:val="00977154"/>
    <w:rsid w:val="00981963"/>
    <w:rsid w:val="00983C82"/>
    <w:rsid w:val="00984520"/>
    <w:rsid w:val="0098545C"/>
    <w:rsid w:val="00992BA2"/>
    <w:rsid w:val="00992F83"/>
    <w:rsid w:val="0099508A"/>
    <w:rsid w:val="009974EB"/>
    <w:rsid w:val="009A037F"/>
    <w:rsid w:val="009A1126"/>
    <w:rsid w:val="009A552C"/>
    <w:rsid w:val="009A63AC"/>
    <w:rsid w:val="009B1584"/>
    <w:rsid w:val="009B1B32"/>
    <w:rsid w:val="009B21CA"/>
    <w:rsid w:val="009B2648"/>
    <w:rsid w:val="009C03E5"/>
    <w:rsid w:val="009C0C11"/>
    <w:rsid w:val="009C3730"/>
    <w:rsid w:val="009C37BD"/>
    <w:rsid w:val="009C3AAC"/>
    <w:rsid w:val="009C4D19"/>
    <w:rsid w:val="009C5FDB"/>
    <w:rsid w:val="009C6493"/>
    <w:rsid w:val="009C693E"/>
    <w:rsid w:val="009C70CB"/>
    <w:rsid w:val="009D1EA4"/>
    <w:rsid w:val="009D27AA"/>
    <w:rsid w:val="009D38BA"/>
    <w:rsid w:val="009D4991"/>
    <w:rsid w:val="009D5BB5"/>
    <w:rsid w:val="009D696D"/>
    <w:rsid w:val="009D6ED2"/>
    <w:rsid w:val="009D7F16"/>
    <w:rsid w:val="009E0F1A"/>
    <w:rsid w:val="009E140D"/>
    <w:rsid w:val="009E348F"/>
    <w:rsid w:val="009E4465"/>
    <w:rsid w:val="009E4DF2"/>
    <w:rsid w:val="009E6401"/>
    <w:rsid w:val="009E6C54"/>
    <w:rsid w:val="009F2261"/>
    <w:rsid w:val="009F2A25"/>
    <w:rsid w:val="009F5235"/>
    <w:rsid w:val="009F531A"/>
    <w:rsid w:val="009F6550"/>
    <w:rsid w:val="009F786E"/>
    <w:rsid w:val="00A00902"/>
    <w:rsid w:val="00A039FF"/>
    <w:rsid w:val="00A0522C"/>
    <w:rsid w:val="00A05ACE"/>
    <w:rsid w:val="00A078CB"/>
    <w:rsid w:val="00A14AE3"/>
    <w:rsid w:val="00A1522A"/>
    <w:rsid w:val="00A16675"/>
    <w:rsid w:val="00A22CD6"/>
    <w:rsid w:val="00A234EC"/>
    <w:rsid w:val="00A2417A"/>
    <w:rsid w:val="00A26668"/>
    <w:rsid w:val="00A27804"/>
    <w:rsid w:val="00A3489D"/>
    <w:rsid w:val="00A348F0"/>
    <w:rsid w:val="00A36822"/>
    <w:rsid w:val="00A36AB5"/>
    <w:rsid w:val="00A411D1"/>
    <w:rsid w:val="00A428A4"/>
    <w:rsid w:val="00A42CE1"/>
    <w:rsid w:val="00A43389"/>
    <w:rsid w:val="00A43E71"/>
    <w:rsid w:val="00A45753"/>
    <w:rsid w:val="00A47B15"/>
    <w:rsid w:val="00A52F84"/>
    <w:rsid w:val="00A56B05"/>
    <w:rsid w:val="00A57678"/>
    <w:rsid w:val="00A60E2F"/>
    <w:rsid w:val="00A618F3"/>
    <w:rsid w:val="00A62673"/>
    <w:rsid w:val="00A63284"/>
    <w:rsid w:val="00A64CB8"/>
    <w:rsid w:val="00A67018"/>
    <w:rsid w:val="00A672F3"/>
    <w:rsid w:val="00A673DC"/>
    <w:rsid w:val="00A677FA"/>
    <w:rsid w:val="00A7076E"/>
    <w:rsid w:val="00A709BE"/>
    <w:rsid w:val="00A70F13"/>
    <w:rsid w:val="00A7162E"/>
    <w:rsid w:val="00A7195A"/>
    <w:rsid w:val="00A72D71"/>
    <w:rsid w:val="00A75705"/>
    <w:rsid w:val="00A77C69"/>
    <w:rsid w:val="00A829DE"/>
    <w:rsid w:val="00A83953"/>
    <w:rsid w:val="00A85AF5"/>
    <w:rsid w:val="00A903B6"/>
    <w:rsid w:val="00A90F4F"/>
    <w:rsid w:val="00A92C40"/>
    <w:rsid w:val="00A947AA"/>
    <w:rsid w:val="00AA0AC5"/>
    <w:rsid w:val="00AA19FE"/>
    <w:rsid w:val="00AA1B53"/>
    <w:rsid w:val="00AA3556"/>
    <w:rsid w:val="00AA35FD"/>
    <w:rsid w:val="00AA38A5"/>
    <w:rsid w:val="00AA3ADC"/>
    <w:rsid w:val="00AA3DB7"/>
    <w:rsid w:val="00AA6B2E"/>
    <w:rsid w:val="00AB3012"/>
    <w:rsid w:val="00AB321C"/>
    <w:rsid w:val="00AB5B99"/>
    <w:rsid w:val="00AB688F"/>
    <w:rsid w:val="00AB75EA"/>
    <w:rsid w:val="00AB7AA2"/>
    <w:rsid w:val="00AC44D9"/>
    <w:rsid w:val="00AC4BC1"/>
    <w:rsid w:val="00AC6FFD"/>
    <w:rsid w:val="00AD04BD"/>
    <w:rsid w:val="00AD25F6"/>
    <w:rsid w:val="00AD610E"/>
    <w:rsid w:val="00AD67CB"/>
    <w:rsid w:val="00AD7214"/>
    <w:rsid w:val="00AE1066"/>
    <w:rsid w:val="00AE4518"/>
    <w:rsid w:val="00AE5D7F"/>
    <w:rsid w:val="00AE79F0"/>
    <w:rsid w:val="00AF0030"/>
    <w:rsid w:val="00AF2DAE"/>
    <w:rsid w:val="00AF5585"/>
    <w:rsid w:val="00AF6EC1"/>
    <w:rsid w:val="00B00331"/>
    <w:rsid w:val="00B01A80"/>
    <w:rsid w:val="00B03EF2"/>
    <w:rsid w:val="00B07C27"/>
    <w:rsid w:val="00B10017"/>
    <w:rsid w:val="00B10DE1"/>
    <w:rsid w:val="00B10FF8"/>
    <w:rsid w:val="00B203C4"/>
    <w:rsid w:val="00B22E81"/>
    <w:rsid w:val="00B23996"/>
    <w:rsid w:val="00B23CB2"/>
    <w:rsid w:val="00B2561A"/>
    <w:rsid w:val="00B25A64"/>
    <w:rsid w:val="00B32AB3"/>
    <w:rsid w:val="00B34E7C"/>
    <w:rsid w:val="00B368EA"/>
    <w:rsid w:val="00B37EEF"/>
    <w:rsid w:val="00B51D20"/>
    <w:rsid w:val="00B5298E"/>
    <w:rsid w:val="00B54370"/>
    <w:rsid w:val="00B54B5F"/>
    <w:rsid w:val="00B55185"/>
    <w:rsid w:val="00B60D38"/>
    <w:rsid w:val="00B61923"/>
    <w:rsid w:val="00B621D6"/>
    <w:rsid w:val="00B63EF5"/>
    <w:rsid w:val="00B65D6F"/>
    <w:rsid w:val="00B677E1"/>
    <w:rsid w:val="00B67C23"/>
    <w:rsid w:val="00B7090F"/>
    <w:rsid w:val="00B70DC7"/>
    <w:rsid w:val="00B73042"/>
    <w:rsid w:val="00B75283"/>
    <w:rsid w:val="00B75735"/>
    <w:rsid w:val="00B77142"/>
    <w:rsid w:val="00B80A2C"/>
    <w:rsid w:val="00B81F60"/>
    <w:rsid w:val="00B841AC"/>
    <w:rsid w:val="00B865B0"/>
    <w:rsid w:val="00B90780"/>
    <w:rsid w:val="00B91F9C"/>
    <w:rsid w:val="00B9240D"/>
    <w:rsid w:val="00BA22A8"/>
    <w:rsid w:val="00BA285B"/>
    <w:rsid w:val="00BA3E48"/>
    <w:rsid w:val="00BA4BD3"/>
    <w:rsid w:val="00BA7473"/>
    <w:rsid w:val="00BB0187"/>
    <w:rsid w:val="00BB07B5"/>
    <w:rsid w:val="00BB1EB3"/>
    <w:rsid w:val="00BB22CA"/>
    <w:rsid w:val="00BB2678"/>
    <w:rsid w:val="00BB3E96"/>
    <w:rsid w:val="00BB6CE3"/>
    <w:rsid w:val="00BC013A"/>
    <w:rsid w:val="00BC2343"/>
    <w:rsid w:val="00BC23F8"/>
    <w:rsid w:val="00BD30C8"/>
    <w:rsid w:val="00BD3EB4"/>
    <w:rsid w:val="00BD5C65"/>
    <w:rsid w:val="00BD7DB4"/>
    <w:rsid w:val="00BE1A80"/>
    <w:rsid w:val="00BE2F07"/>
    <w:rsid w:val="00BE6018"/>
    <w:rsid w:val="00BF0F8F"/>
    <w:rsid w:val="00BF18E8"/>
    <w:rsid w:val="00BF1F57"/>
    <w:rsid w:val="00BF4086"/>
    <w:rsid w:val="00BF426C"/>
    <w:rsid w:val="00BF47C9"/>
    <w:rsid w:val="00BF4E32"/>
    <w:rsid w:val="00BF58D0"/>
    <w:rsid w:val="00BF7D6A"/>
    <w:rsid w:val="00C013E1"/>
    <w:rsid w:val="00C01611"/>
    <w:rsid w:val="00C02D59"/>
    <w:rsid w:val="00C030B6"/>
    <w:rsid w:val="00C03284"/>
    <w:rsid w:val="00C050D7"/>
    <w:rsid w:val="00C05B5F"/>
    <w:rsid w:val="00C104CC"/>
    <w:rsid w:val="00C152FE"/>
    <w:rsid w:val="00C1648E"/>
    <w:rsid w:val="00C16739"/>
    <w:rsid w:val="00C21C43"/>
    <w:rsid w:val="00C22C7D"/>
    <w:rsid w:val="00C22CCE"/>
    <w:rsid w:val="00C231D6"/>
    <w:rsid w:val="00C23BA2"/>
    <w:rsid w:val="00C32AF2"/>
    <w:rsid w:val="00C33204"/>
    <w:rsid w:val="00C338EB"/>
    <w:rsid w:val="00C3465D"/>
    <w:rsid w:val="00C379E9"/>
    <w:rsid w:val="00C439FB"/>
    <w:rsid w:val="00C43F23"/>
    <w:rsid w:val="00C47790"/>
    <w:rsid w:val="00C50011"/>
    <w:rsid w:val="00C5274B"/>
    <w:rsid w:val="00C55A77"/>
    <w:rsid w:val="00C55B19"/>
    <w:rsid w:val="00C645E6"/>
    <w:rsid w:val="00C64D82"/>
    <w:rsid w:val="00C64FBC"/>
    <w:rsid w:val="00C65A83"/>
    <w:rsid w:val="00C72C6F"/>
    <w:rsid w:val="00C76CF1"/>
    <w:rsid w:val="00C80F23"/>
    <w:rsid w:val="00C81151"/>
    <w:rsid w:val="00C82CC6"/>
    <w:rsid w:val="00C850A3"/>
    <w:rsid w:val="00C85C32"/>
    <w:rsid w:val="00C85F94"/>
    <w:rsid w:val="00C87568"/>
    <w:rsid w:val="00C90DB6"/>
    <w:rsid w:val="00C9394F"/>
    <w:rsid w:val="00C93B1A"/>
    <w:rsid w:val="00C96A14"/>
    <w:rsid w:val="00C96F5F"/>
    <w:rsid w:val="00CA21B5"/>
    <w:rsid w:val="00CA5927"/>
    <w:rsid w:val="00CA79EC"/>
    <w:rsid w:val="00CB26A5"/>
    <w:rsid w:val="00CB39C2"/>
    <w:rsid w:val="00CB4664"/>
    <w:rsid w:val="00CB4C8C"/>
    <w:rsid w:val="00CB6782"/>
    <w:rsid w:val="00CC080A"/>
    <w:rsid w:val="00CC52E1"/>
    <w:rsid w:val="00CD319D"/>
    <w:rsid w:val="00CD6BC3"/>
    <w:rsid w:val="00CD72D0"/>
    <w:rsid w:val="00CE3519"/>
    <w:rsid w:val="00CE5277"/>
    <w:rsid w:val="00CE6358"/>
    <w:rsid w:val="00CF2D54"/>
    <w:rsid w:val="00CF3CDE"/>
    <w:rsid w:val="00CF6570"/>
    <w:rsid w:val="00D03538"/>
    <w:rsid w:val="00D049B8"/>
    <w:rsid w:val="00D0516C"/>
    <w:rsid w:val="00D05EE7"/>
    <w:rsid w:val="00D068D0"/>
    <w:rsid w:val="00D078D1"/>
    <w:rsid w:val="00D129A8"/>
    <w:rsid w:val="00D12FB9"/>
    <w:rsid w:val="00D200BD"/>
    <w:rsid w:val="00D22399"/>
    <w:rsid w:val="00D26460"/>
    <w:rsid w:val="00D3268B"/>
    <w:rsid w:val="00D33751"/>
    <w:rsid w:val="00D33924"/>
    <w:rsid w:val="00D36F6E"/>
    <w:rsid w:val="00D37343"/>
    <w:rsid w:val="00D4205E"/>
    <w:rsid w:val="00D42507"/>
    <w:rsid w:val="00D50E63"/>
    <w:rsid w:val="00D5574C"/>
    <w:rsid w:val="00D61982"/>
    <w:rsid w:val="00D6267A"/>
    <w:rsid w:val="00D67D12"/>
    <w:rsid w:val="00D7585A"/>
    <w:rsid w:val="00D80618"/>
    <w:rsid w:val="00D81A17"/>
    <w:rsid w:val="00D82494"/>
    <w:rsid w:val="00D84A4B"/>
    <w:rsid w:val="00D8681D"/>
    <w:rsid w:val="00D92168"/>
    <w:rsid w:val="00D940A9"/>
    <w:rsid w:val="00D940B5"/>
    <w:rsid w:val="00D95CB0"/>
    <w:rsid w:val="00D977C0"/>
    <w:rsid w:val="00DA00A3"/>
    <w:rsid w:val="00DA13F3"/>
    <w:rsid w:val="00DA2DE3"/>
    <w:rsid w:val="00DA7146"/>
    <w:rsid w:val="00DA716A"/>
    <w:rsid w:val="00DB1F4F"/>
    <w:rsid w:val="00DB37EE"/>
    <w:rsid w:val="00DB4450"/>
    <w:rsid w:val="00DB4A22"/>
    <w:rsid w:val="00DB7B69"/>
    <w:rsid w:val="00DC02EC"/>
    <w:rsid w:val="00DC234A"/>
    <w:rsid w:val="00DC315B"/>
    <w:rsid w:val="00DC41E4"/>
    <w:rsid w:val="00DC5116"/>
    <w:rsid w:val="00DC77DD"/>
    <w:rsid w:val="00DC7C77"/>
    <w:rsid w:val="00DD2417"/>
    <w:rsid w:val="00DD51D8"/>
    <w:rsid w:val="00DD7EA2"/>
    <w:rsid w:val="00DE00F2"/>
    <w:rsid w:val="00DE117F"/>
    <w:rsid w:val="00DE401C"/>
    <w:rsid w:val="00DE4CDE"/>
    <w:rsid w:val="00DF1ED6"/>
    <w:rsid w:val="00DF63FA"/>
    <w:rsid w:val="00E00A1C"/>
    <w:rsid w:val="00E012CC"/>
    <w:rsid w:val="00E02B71"/>
    <w:rsid w:val="00E02DEB"/>
    <w:rsid w:val="00E042A1"/>
    <w:rsid w:val="00E04CE6"/>
    <w:rsid w:val="00E062A5"/>
    <w:rsid w:val="00E104FA"/>
    <w:rsid w:val="00E1082A"/>
    <w:rsid w:val="00E11166"/>
    <w:rsid w:val="00E13182"/>
    <w:rsid w:val="00E15383"/>
    <w:rsid w:val="00E1738C"/>
    <w:rsid w:val="00E22D28"/>
    <w:rsid w:val="00E230E3"/>
    <w:rsid w:val="00E23611"/>
    <w:rsid w:val="00E25852"/>
    <w:rsid w:val="00E30EDF"/>
    <w:rsid w:val="00E31FBA"/>
    <w:rsid w:val="00E36AAE"/>
    <w:rsid w:val="00E41773"/>
    <w:rsid w:val="00E427F2"/>
    <w:rsid w:val="00E513F6"/>
    <w:rsid w:val="00E514F1"/>
    <w:rsid w:val="00E52F3B"/>
    <w:rsid w:val="00E53D94"/>
    <w:rsid w:val="00E53DEA"/>
    <w:rsid w:val="00E55094"/>
    <w:rsid w:val="00E55A61"/>
    <w:rsid w:val="00E57F92"/>
    <w:rsid w:val="00E616DB"/>
    <w:rsid w:val="00E627A4"/>
    <w:rsid w:val="00E630ED"/>
    <w:rsid w:val="00E70C95"/>
    <w:rsid w:val="00E74E84"/>
    <w:rsid w:val="00E74EC5"/>
    <w:rsid w:val="00E75FDC"/>
    <w:rsid w:val="00E76B86"/>
    <w:rsid w:val="00E8342F"/>
    <w:rsid w:val="00E847A7"/>
    <w:rsid w:val="00E85F25"/>
    <w:rsid w:val="00E86E79"/>
    <w:rsid w:val="00E906B4"/>
    <w:rsid w:val="00E9095B"/>
    <w:rsid w:val="00E926B8"/>
    <w:rsid w:val="00E92E98"/>
    <w:rsid w:val="00E9399B"/>
    <w:rsid w:val="00E94008"/>
    <w:rsid w:val="00E94762"/>
    <w:rsid w:val="00E96B52"/>
    <w:rsid w:val="00EA2244"/>
    <w:rsid w:val="00EA4C93"/>
    <w:rsid w:val="00EA6FA7"/>
    <w:rsid w:val="00EB067F"/>
    <w:rsid w:val="00EB0BF5"/>
    <w:rsid w:val="00EB1F02"/>
    <w:rsid w:val="00EB5BC5"/>
    <w:rsid w:val="00EC086C"/>
    <w:rsid w:val="00EC42D0"/>
    <w:rsid w:val="00EC5CE0"/>
    <w:rsid w:val="00EC638F"/>
    <w:rsid w:val="00ED48AC"/>
    <w:rsid w:val="00EE224C"/>
    <w:rsid w:val="00EE4874"/>
    <w:rsid w:val="00EE4A8C"/>
    <w:rsid w:val="00EE674E"/>
    <w:rsid w:val="00EE79A6"/>
    <w:rsid w:val="00EF2689"/>
    <w:rsid w:val="00EF454D"/>
    <w:rsid w:val="00EF6111"/>
    <w:rsid w:val="00F005A0"/>
    <w:rsid w:val="00F06616"/>
    <w:rsid w:val="00F11352"/>
    <w:rsid w:val="00F1498D"/>
    <w:rsid w:val="00F14DDF"/>
    <w:rsid w:val="00F152AD"/>
    <w:rsid w:val="00F20DFE"/>
    <w:rsid w:val="00F2285F"/>
    <w:rsid w:val="00F23155"/>
    <w:rsid w:val="00F24236"/>
    <w:rsid w:val="00F24E0E"/>
    <w:rsid w:val="00F26693"/>
    <w:rsid w:val="00F3366A"/>
    <w:rsid w:val="00F36130"/>
    <w:rsid w:val="00F40444"/>
    <w:rsid w:val="00F40868"/>
    <w:rsid w:val="00F423BD"/>
    <w:rsid w:val="00F432FF"/>
    <w:rsid w:val="00F4715C"/>
    <w:rsid w:val="00F54869"/>
    <w:rsid w:val="00F556B2"/>
    <w:rsid w:val="00F5754B"/>
    <w:rsid w:val="00F576DE"/>
    <w:rsid w:val="00F63BF7"/>
    <w:rsid w:val="00F65617"/>
    <w:rsid w:val="00F710BE"/>
    <w:rsid w:val="00F736D2"/>
    <w:rsid w:val="00F7564C"/>
    <w:rsid w:val="00F75CC2"/>
    <w:rsid w:val="00F76220"/>
    <w:rsid w:val="00F769BE"/>
    <w:rsid w:val="00F76A67"/>
    <w:rsid w:val="00F82E6B"/>
    <w:rsid w:val="00F837C4"/>
    <w:rsid w:val="00F97B71"/>
    <w:rsid w:val="00FA1EC5"/>
    <w:rsid w:val="00FA2DDA"/>
    <w:rsid w:val="00FA34CA"/>
    <w:rsid w:val="00FA4A55"/>
    <w:rsid w:val="00FA4D4F"/>
    <w:rsid w:val="00FA54E8"/>
    <w:rsid w:val="00FA7193"/>
    <w:rsid w:val="00FA7EC0"/>
    <w:rsid w:val="00FB2D17"/>
    <w:rsid w:val="00FB2F69"/>
    <w:rsid w:val="00FB368B"/>
    <w:rsid w:val="00FB45FF"/>
    <w:rsid w:val="00FB5D97"/>
    <w:rsid w:val="00FC1CA5"/>
    <w:rsid w:val="00FC2979"/>
    <w:rsid w:val="00FD1C3C"/>
    <w:rsid w:val="00FD38A8"/>
    <w:rsid w:val="00FD4622"/>
    <w:rsid w:val="00FD5477"/>
    <w:rsid w:val="00FD6AC8"/>
    <w:rsid w:val="00FD7C9C"/>
    <w:rsid w:val="00FE2D29"/>
    <w:rsid w:val="00FE3EA1"/>
    <w:rsid w:val="00FE4818"/>
    <w:rsid w:val="00FE5D80"/>
    <w:rsid w:val="00FE7205"/>
    <w:rsid w:val="00FE754E"/>
    <w:rsid w:val="00FF157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B931E488-3FBF-4421-BD08-528E4974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uiPriority w:val="99"/>
    <w:qFormat/>
    <w:rsid w:val="004F4EA9"/>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337293"/>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F4EA9"/>
    <w:rPr>
      <w:rFonts w:cs="Times New Roman"/>
      <w:b/>
      <w:bCs/>
      <w:kern w:val="44"/>
      <w:sz w:val="44"/>
      <w:szCs w:val="44"/>
    </w:rPr>
  </w:style>
  <w:style w:type="character" w:customStyle="1" w:styleId="2Char">
    <w:name w:val="标题 2 Char"/>
    <w:link w:val="2"/>
    <w:uiPriority w:val="99"/>
    <w:semiHidden/>
    <w:locked/>
    <w:rsid w:val="00F76A67"/>
    <w:rPr>
      <w:rFonts w:ascii="Cambria" w:eastAsia="宋体" w:hAnsi="Cambria" w:cs="Times New Roman"/>
      <w:b/>
      <w:bCs/>
      <w:sz w:val="32"/>
      <w:szCs w:val="32"/>
    </w:rPr>
  </w:style>
  <w:style w:type="paragraph" w:styleId="a0">
    <w:name w:val="Normal Indent"/>
    <w:basedOn w:val="a"/>
    <w:uiPriority w:val="99"/>
    <w:rsid w:val="00337293"/>
    <w:pPr>
      <w:ind w:firstLineChars="200" w:firstLine="420"/>
    </w:pPr>
  </w:style>
  <w:style w:type="paragraph" w:styleId="a4">
    <w:name w:val="Body Text Indent"/>
    <w:basedOn w:val="a"/>
    <w:link w:val="Char"/>
    <w:uiPriority w:val="99"/>
    <w:rsid w:val="00337293"/>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F76A67"/>
    <w:rPr>
      <w:rFonts w:cs="Times New Roman"/>
      <w:sz w:val="24"/>
      <w:szCs w:val="24"/>
    </w:rPr>
  </w:style>
  <w:style w:type="paragraph" w:styleId="a5">
    <w:name w:val="Plain Text"/>
    <w:basedOn w:val="a"/>
    <w:link w:val="Char0"/>
    <w:uiPriority w:val="99"/>
    <w:rsid w:val="00337293"/>
    <w:rPr>
      <w:rFonts w:ascii="宋体" w:hAnsi="Courier New"/>
      <w:szCs w:val="20"/>
    </w:rPr>
  </w:style>
  <w:style w:type="character" w:customStyle="1" w:styleId="Char0">
    <w:name w:val="纯文本 Char"/>
    <w:link w:val="a5"/>
    <w:uiPriority w:val="99"/>
    <w:locked/>
    <w:rsid w:val="00CE3519"/>
    <w:rPr>
      <w:rFonts w:ascii="宋体" w:hAnsi="Courier New" w:cs="Times New Roman"/>
      <w:kern w:val="2"/>
      <w:sz w:val="21"/>
    </w:rPr>
  </w:style>
  <w:style w:type="paragraph" w:styleId="20">
    <w:name w:val="Body Text Indent 2"/>
    <w:basedOn w:val="a"/>
    <w:link w:val="2Char0"/>
    <w:uiPriority w:val="99"/>
    <w:rsid w:val="00337293"/>
    <w:pPr>
      <w:spacing w:line="560" w:lineRule="exact"/>
      <w:ind w:firstLineChars="200" w:firstLine="480"/>
    </w:pPr>
    <w:rPr>
      <w:kern w:val="0"/>
      <w:sz w:val="24"/>
    </w:rPr>
  </w:style>
  <w:style w:type="character" w:customStyle="1" w:styleId="2Char0">
    <w:name w:val="正文文本缩进 2 Char"/>
    <w:link w:val="20"/>
    <w:uiPriority w:val="99"/>
    <w:semiHidden/>
    <w:locked/>
    <w:rsid w:val="00F76A67"/>
    <w:rPr>
      <w:rFonts w:cs="Times New Roman"/>
      <w:sz w:val="24"/>
      <w:szCs w:val="24"/>
    </w:rPr>
  </w:style>
  <w:style w:type="paragraph" w:styleId="a6">
    <w:name w:val="footer"/>
    <w:basedOn w:val="a"/>
    <w:link w:val="Char1"/>
    <w:uiPriority w:val="99"/>
    <w:rsid w:val="00337293"/>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F76A67"/>
    <w:rPr>
      <w:rFonts w:cs="Times New Roman"/>
      <w:sz w:val="18"/>
      <w:szCs w:val="18"/>
    </w:rPr>
  </w:style>
  <w:style w:type="character" w:styleId="a7">
    <w:name w:val="page number"/>
    <w:uiPriority w:val="99"/>
    <w:rsid w:val="00337293"/>
    <w:rPr>
      <w:rFonts w:cs="Times New Roman"/>
    </w:rPr>
  </w:style>
  <w:style w:type="character" w:styleId="a8">
    <w:name w:val="Hyperlink"/>
    <w:uiPriority w:val="99"/>
    <w:rsid w:val="00337293"/>
    <w:rPr>
      <w:rFonts w:cs="Times New Roman"/>
      <w:color w:val="0000FF"/>
      <w:u w:val="single"/>
    </w:rPr>
  </w:style>
  <w:style w:type="paragraph" w:styleId="3">
    <w:name w:val="Body Text Indent 3"/>
    <w:basedOn w:val="a"/>
    <w:link w:val="3Char"/>
    <w:uiPriority w:val="99"/>
    <w:rsid w:val="00337293"/>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F76A67"/>
    <w:rPr>
      <w:rFonts w:cs="Times New Roman"/>
      <w:sz w:val="16"/>
      <w:szCs w:val="16"/>
    </w:rPr>
  </w:style>
  <w:style w:type="paragraph" w:styleId="a9">
    <w:name w:val="header"/>
    <w:basedOn w:val="a"/>
    <w:link w:val="Char2"/>
    <w:uiPriority w:val="99"/>
    <w:rsid w:val="00337293"/>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5E491F"/>
    <w:rPr>
      <w:rFonts w:cs="Times New Roman"/>
      <w:kern w:val="2"/>
      <w:sz w:val="18"/>
      <w:szCs w:val="18"/>
    </w:rPr>
  </w:style>
  <w:style w:type="character" w:styleId="aa">
    <w:name w:val="FollowedHyperlink"/>
    <w:uiPriority w:val="99"/>
    <w:rsid w:val="00337293"/>
    <w:rPr>
      <w:rFonts w:cs="Times New Roman"/>
      <w:color w:val="800080"/>
      <w:u w:val="single"/>
    </w:rPr>
  </w:style>
  <w:style w:type="paragraph" w:styleId="ab">
    <w:name w:val="List"/>
    <w:basedOn w:val="ac"/>
    <w:uiPriority w:val="99"/>
    <w:rsid w:val="00337293"/>
    <w:pPr>
      <w:spacing w:after="220" w:line="220" w:lineRule="atLeast"/>
      <w:ind w:left="1440" w:hanging="360"/>
    </w:pPr>
    <w:rPr>
      <w:szCs w:val="20"/>
    </w:rPr>
  </w:style>
  <w:style w:type="paragraph" w:styleId="ac">
    <w:name w:val="Body Text"/>
    <w:basedOn w:val="a"/>
    <w:link w:val="Char3"/>
    <w:uiPriority w:val="99"/>
    <w:rsid w:val="00337293"/>
    <w:pPr>
      <w:spacing w:after="120"/>
    </w:pPr>
    <w:rPr>
      <w:kern w:val="0"/>
      <w:sz w:val="24"/>
    </w:rPr>
  </w:style>
  <w:style w:type="character" w:customStyle="1" w:styleId="Char3">
    <w:name w:val="正文文本 Char"/>
    <w:link w:val="ac"/>
    <w:uiPriority w:val="99"/>
    <w:semiHidden/>
    <w:locked/>
    <w:rsid w:val="00F76A67"/>
    <w:rPr>
      <w:rFonts w:cs="Times New Roman"/>
      <w:sz w:val="24"/>
      <w:szCs w:val="24"/>
    </w:rPr>
  </w:style>
  <w:style w:type="paragraph" w:styleId="ad">
    <w:name w:val="Date"/>
    <w:basedOn w:val="a"/>
    <w:next w:val="a"/>
    <w:link w:val="Char4"/>
    <w:uiPriority w:val="99"/>
    <w:rsid w:val="00337293"/>
    <w:rPr>
      <w:sz w:val="24"/>
      <w:szCs w:val="20"/>
    </w:rPr>
  </w:style>
  <w:style w:type="character" w:customStyle="1" w:styleId="Char4">
    <w:name w:val="日期 Char"/>
    <w:link w:val="ad"/>
    <w:uiPriority w:val="99"/>
    <w:locked/>
    <w:rsid w:val="005B1DEC"/>
    <w:rPr>
      <w:rFonts w:cs="Times New Roman"/>
      <w:kern w:val="2"/>
      <w:sz w:val="24"/>
    </w:rPr>
  </w:style>
  <w:style w:type="character" w:customStyle="1" w:styleId="c1">
    <w:name w:val="c1"/>
    <w:uiPriority w:val="99"/>
    <w:rsid w:val="00337293"/>
    <w:rPr>
      <w:rFonts w:cs="Times New Roman"/>
      <w:color w:val="000000"/>
      <w:sz w:val="18"/>
      <w:szCs w:val="18"/>
    </w:rPr>
  </w:style>
  <w:style w:type="paragraph" w:styleId="10">
    <w:name w:val="index 1"/>
    <w:basedOn w:val="a"/>
    <w:next w:val="a"/>
    <w:autoRedefine/>
    <w:uiPriority w:val="99"/>
    <w:semiHidden/>
    <w:rsid w:val="00337293"/>
    <w:pPr>
      <w:jc w:val="right"/>
    </w:pPr>
    <w:rPr>
      <w:color w:val="008000"/>
    </w:rPr>
  </w:style>
  <w:style w:type="paragraph" w:customStyle="1" w:styleId="font5">
    <w:name w:val="font5"/>
    <w:basedOn w:val="a"/>
    <w:uiPriority w:val="99"/>
    <w:rsid w:val="00337293"/>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337293"/>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337293"/>
    <w:rPr>
      <w:kern w:val="0"/>
      <w:sz w:val="2"/>
      <w:szCs w:val="20"/>
    </w:rPr>
  </w:style>
  <w:style w:type="character" w:customStyle="1" w:styleId="Char5">
    <w:name w:val="批注框文本 Char"/>
    <w:link w:val="ae"/>
    <w:uiPriority w:val="99"/>
    <w:semiHidden/>
    <w:locked/>
    <w:rsid w:val="00F76A67"/>
    <w:rPr>
      <w:rFonts w:cs="Times New Roman"/>
      <w:sz w:val="2"/>
    </w:rPr>
  </w:style>
  <w:style w:type="character" w:styleId="af">
    <w:name w:val="annotation reference"/>
    <w:uiPriority w:val="99"/>
    <w:semiHidden/>
    <w:rsid w:val="00337293"/>
    <w:rPr>
      <w:rFonts w:cs="Times New Roman"/>
      <w:sz w:val="21"/>
      <w:szCs w:val="21"/>
    </w:rPr>
  </w:style>
  <w:style w:type="paragraph" w:styleId="af0">
    <w:name w:val="annotation text"/>
    <w:basedOn w:val="a"/>
    <w:link w:val="Char6"/>
    <w:uiPriority w:val="99"/>
    <w:semiHidden/>
    <w:rsid w:val="00337293"/>
    <w:pPr>
      <w:jc w:val="left"/>
    </w:pPr>
    <w:rPr>
      <w:kern w:val="0"/>
      <w:sz w:val="24"/>
    </w:rPr>
  </w:style>
  <w:style w:type="character" w:customStyle="1" w:styleId="Char6">
    <w:name w:val="批注文字 Char"/>
    <w:link w:val="af0"/>
    <w:uiPriority w:val="99"/>
    <w:semiHidden/>
    <w:locked/>
    <w:rsid w:val="00F76A67"/>
    <w:rPr>
      <w:rFonts w:cs="Times New Roman"/>
      <w:sz w:val="24"/>
      <w:szCs w:val="24"/>
    </w:rPr>
  </w:style>
  <w:style w:type="paragraph" w:styleId="af1">
    <w:name w:val="annotation subject"/>
    <w:basedOn w:val="af0"/>
    <w:next w:val="af0"/>
    <w:link w:val="Char7"/>
    <w:uiPriority w:val="99"/>
    <w:semiHidden/>
    <w:rsid w:val="00337293"/>
    <w:rPr>
      <w:b/>
      <w:bCs/>
    </w:rPr>
  </w:style>
  <w:style w:type="character" w:customStyle="1" w:styleId="Char7">
    <w:name w:val="批注主题 Char"/>
    <w:link w:val="af1"/>
    <w:uiPriority w:val="99"/>
    <w:semiHidden/>
    <w:locked/>
    <w:rsid w:val="00F76A67"/>
    <w:rPr>
      <w:rFonts w:cs="Times New Roman"/>
      <w:b/>
      <w:bCs/>
      <w:sz w:val="24"/>
      <w:szCs w:val="24"/>
    </w:rPr>
  </w:style>
  <w:style w:type="paragraph" w:customStyle="1" w:styleId="Char8">
    <w:name w:val="Char"/>
    <w:basedOn w:val="a"/>
    <w:uiPriority w:val="99"/>
    <w:rsid w:val="00337293"/>
  </w:style>
  <w:style w:type="paragraph" w:styleId="af2">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2"/>
    <w:uiPriority w:val="99"/>
    <w:semiHidden/>
    <w:locked/>
    <w:rsid w:val="00F76A67"/>
    <w:rPr>
      <w:rFonts w:cs="Times New Roman"/>
      <w:sz w:val="2"/>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kern w:val="0"/>
      <w:sz w:val="18"/>
      <w:szCs w:val="18"/>
    </w:rPr>
  </w:style>
  <w:style w:type="character" w:customStyle="1" w:styleId="Chara">
    <w:name w:val="脚注文本 Char"/>
    <w:link w:val="af4"/>
    <w:uiPriority w:val="99"/>
    <w:semiHidden/>
    <w:locked/>
    <w:rsid w:val="00F76A67"/>
    <w:rPr>
      <w:rFonts w:cs="Times New Roman"/>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295C5D"/>
    <w:pPr>
      <w:widowControl w:val="0"/>
      <w:autoSpaceDE w:val="0"/>
      <w:autoSpaceDN w:val="0"/>
      <w:adjustRightInd w:val="0"/>
    </w:pPr>
    <w:rPr>
      <w:rFonts w:ascii="FangSong" w:hAnsi="FangSong" w:cs="FangSong"/>
      <w:color w:val="000000"/>
      <w:sz w:val="24"/>
      <w:szCs w:val="24"/>
    </w:rPr>
  </w:style>
  <w:style w:type="character" w:styleId="af8">
    <w:name w:val="Strong"/>
    <w:uiPriority w:val="22"/>
    <w:qFormat/>
    <w:locked/>
    <w:rsid w:val="004572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213109">
      <w:bodyDiv w:val="1"/>
      <w:marLeft w:val="0"/>
      <w:marRight w:val="0"/>
      <w:marTop w:val="0"/>
      <w:marBottom w:val="0"/>
      <w:divBdr>
        <w:top w:val="none" w:sz="0" w:space="0" w:color="auto"/>
        <w:left w:val="none" w:sz="0" w:space="0" w:color="auto"/>
        <w:bottom w:val="none" w:sz="0" w:space="0" w:color="auto"/>
        <w:right w:val="none" w:sz="0" w:space="0" w:color="auto"/>
      </w:divBdr>
    </w:div>
    <w:div w:id="1604335068">
      <w:bodyDiv w:val="1"/>
      <w:marLeft w:val="0"/>
      <w:marRight w:val="0"/>
      <w:marTop w:val="0"/>
      <w:marBottom w:val="0"/>
      <w:divBdr>
        <w:top w:val="none" w:sz="0" w:space="0" w:color="auto"/>
        <w:left w:val="none" w:sz="0" w:space="0" w:color="auto"/>
        <w:bottom w:val="none" w:sz="0" w:space="0" w:color="auto"/>
        <w:right w:val="none" w:sz="0" w:space="0" w:color="auto"/>
      </w:divBdr>
    </w:div>
    <w:div w:id="1863275524">
      <w:marLeft w:val="0"/>
      <w:marRight w:val="0"/>
      <w:marTop w:val="0"/>
      <w:marBottom w:val="0"/>
      <w:divBdr>
        <w:top w:val="none" w:sz="0" w:space="0" w:color="auto"/>
        <w:left w:val="none" w:sz="0" w:space="0" w:color="auto"/>
        <w:bottom w:val="none" w:sz="0" w:space="0" w:color="auto"/>
        <w:right w:val="none" w:sz="0" w:space="0" w:color="auto"/>
      </w:divBdr>
    </w:div>
    <w:div w:id="1863275525">
      <w:marLeft w:val="0"/>
      <w:marRight w:val="0"/>
      <w:marTop w:val="0"/>
      <w:marBottom w:val="0"/>
      <w:divBdr>
        <w:top w:val="none" w:sz="0" w:space="0" w:color="auto"/>
        <w:left w:val="none" w:sz="0" w:space="0" w:color="auto"/>
        <w:bottom w:val="none" w:sz="0" w:space="0" w:color="auto"/>
        <w:right w:val="none" w:sz="0" w:space="0" w:color="auto"/>
      </w:divBdr>
    </w:div>
    <w:div w:id="1863275526">
      <w:marLeft w:val="0"/>
      <w:marRight w:val="0"/>
      <w:marTop w:val="0"/>
      <w:marBottom w:val="0"/>
      <w:divBdr>
        <w:top w:val="none" w:sz="0" w:space="0" w:color="auto"/>
        <w:left w:val="none" w:sz="0" w:space="0" w:color="auto"/>
        <w:bottom w:val="none" w:sz="0" w:space="0" w:color="auto"/>
        <w:right w:val="none" w:sz="0" w:space="0" w:color="auto"/>
      </w:divBdr>
    </w:div>
    <w:div w:id="1863275527">
      <w:marLeft w:val="0"/>
      <w:marRight w:val="0"/>
      <w:marTop w:val="0"/>
      <w:marBottom w:val="0"/>
      <w:divBdr>
        <w:top w:val="none" w:sz="0" w:space="0" w:color="auto"/>
        <w:left w:val="none" w:sz="0" w:space="0" w:color="auto"/>
        <w:bottom w:val="none" w:sz="0" w:space="0" w:color="auto"/>
        <w:right w:val="none" w:sz="0" w:space="0" w:color="auto"/>
      </w:divBdr>
    </w:div>
    <w:div w:id="1863275528">
      <w:marLeft w:val="0"/>
      <w:marRight w:val="0"/>
      <w:marTop w:val="0"/>
      <w:marBottom w:val="0"/>
      <w:divBdr>
        <w:top w:val="none" w:sz="0" w:space="0" w:color="auto"/>
        <w:left w:val="none" w:sz="0" w:space="0" w:color="auto"/>
        <w:bottom w:val="none" w:sz="0" w:space="0" w:color="auto"/>
        <w:right w:val="none" w:sz="0" w:space="0" w:color="auto"/>
      </w:divBdr>
    </w:div>
    <w:div w:id="1863275529">
      <w:marLeft w:val="0"/>
      <w:marRight w:val="0"/>
      <w:marTop w:val="0"/>
      <w:marBottom w:val="0"/>
      <w:divBdr>
        <w:top w:val="none" w:sz="0" w:space="0" w:color="auto"/>
        <w:left w:val="none" w:sz="0" w:space="0" w:color="auto"/>
        <w:bottom w:val="none" w:sz="0" w:space="0" w:color="auto"/>
        <w:right w:val="none" w:sz="0" w:space="0" w:color="auto"/>
      </w:divBdr>
    </w:div>
    <w:div w:id="1863275530">
      <w:marLeft w:val="0"/>
      <w:marRight w:val="0"/>
      <w:marTop w:val="0"/>
      <w:marBottom w:val="0"/>
      <w:divBdr>
        <w:top w:val="none" w:sz="0" w:space="0" w:color="auto"/>
        <w:left w:val="none" w:sz="0" w:space="0" w:color="auto"/>
        <w:bottom w:val="none" w:sz="0" w:space="0" w:color="auto"/>
        <w:right w:val="none" w:sz="0" w:space="0" w:color="auto"/>
      </w:divBdr>
    </w:div>
    <w:div w:id="1863275531">
      <w:marLeft w:val="0"/>
      <w:marRight w:val="0"/>
      <w:marTop w:val="0"/>
      <w:marBottom w:val="0"/>
      <w:divBdr>
        <w:top w:val="none" w:sz="0" w:space="0" w:color="auto"/>
        <w:left w:val="none" w:sz="0" w:space="0" w:color="auto"/>
        <w:bottom w:val="none" w:sz="0" w:space="0" w:color="auto"/>
        <w:right w:val="none" w:sz="0" w:space="0" w:color="auto"/>
      </w:divBdr>
    </w:div>
    <w:div w:id="1863275532">
      <w:marLeft w:val="0"/>
      <w:marRight w:val="0"/>
      <w:marTop w:val="0"/>
      <w:marBottom w:val="0"/>
      <w:divBdr>
        <w:top w:val="none" w:sz="0" w:space="0" w:color="auto"/>
        <w:left w:val="none" w:sz="0" w:space="0" w:color="auto"/>
        <w:bottom w:val="none" w:sz="0" w:space="0" w:color="auto"/>
        <w:right w:val="none" w:sz="0" w:space="0" w:color="auto"/>
      </w:divBdr>
    </w:div>
    <w:div w:id="1863275533">
      <w:marLeft w:val="0"/>
      <w:marRight w:val="0"/>
      <w:marTop w:val="0"/>
      <w:marBottom w:val="0"/>
      <w:divBdr>
        <w:top w:val="none" w:sz="0" w:space="0" w:color="auto"/>
        <w:left w:val="none" w:sz="0" w:space="0" w:color="auto"/>
        <w:bottom w:val="none" w:sz="0" w:space="0" w:color="auto"/>
        <w:right w:val="none" w:sz="0" w:space="0" w:color="auto"/>
      </w:divBdr>
    </w:div>
    <w:div w:id="1887596873">
      <w:bodyDiv w:val="1"/>
      <w:marLeft w:val="0"/>
      <w:marRight w:val="0"/>
      <w:marTop w:val="0"/>
      <w:marBottom w:val="0"/>
      <w:divBdr>
        <w:top w:val="none" w:sz="0" w:space="0" w:color="auto"/>
        <w:left w:val="none" w:sz="0" w:space="0" w:color="auto"/>
        <w:bottom w:val="none" w:sz="0" w:space="0" w:color="auto"/>
        <w:right w:val="none" w:sz="0" w:space="0" w:color="auto"/>
      </w:divBdr>
    </w:div>
    <w:div w:id="212214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3</Pages>
  <Words>1287</Words>
  <Characters>7342</Characters>
  <Application>Microsoft Office Word</Application>
  <DocSecurity>0</DocSecurity>
  <Lines>61</Lines>
  <Paragraphs>17</Paragraphs>
  <ScaleCrop>false</ScaleCrop>
  <Company>TRT. Ltd. Co.</Company>
  <LinksUpToDate>false</LinksUpToDate>
  <CharactersWithSpaces>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189</cp:revision>
  <cp:lastPrinted>2019-10-16T13:56:00Z</cp:lastPrinted>
  <dcterms:created xsi:type="dcterms:W3CDTF">2012-11-21T04:46:00Z</dcterms:created>
  <dcterms:modified xsi:type="dcterms:W3CDTF">2019-10-16T13:56:00Z</dcterms:modified>
</cp:coreProperties>
</file>