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bookmarkStart w:id="0" w:name="_GoBack"/>
      <w:bookmarkEnd w:id="0"/>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FC7F43" w:rsidRPr="00D3639B" w:rsidRDefault="00FC7F4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9A2283" w:rsidP="009A2283">
      <w:pPr>
        <w:autoSpaceDE w:val="0"/>
        <w:autoSpaceDN w:val="0"/>
        <w:adjustRightInd w:val="0"/>
        <w:spacing w:line="360" w:lineRule="auto"/>
        <w:jc w:val="left"/>
        <w:rPr>
          <w:rFonts w:eastAsiaTheme="minorEastAsia"/>
          <w:color w:val="000000" w:themeColor="text1"/>
          <w:kern w:val="0"/>
          <w:szCs w:val="21"/>
        </w:rPr>
      </w:pPr>
    </w:p>
    <w:p w:rsidR="009A2283"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易方达创业板交易型开放式指数证券投资基金联接基金</w:t>
      </w:r>
    </w:p>
    <w:p w:rsidR="002D2A00" w:rsidRPr="00D3639B" w:rsidRDefault="002D2A00"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年第</w:t>
      </w:r>
      <w:r w:rsidRPr="00D3639B">
        <w:rPr>
          <w:rFonts w:eastAsiaTheme="minorEastAsia"/>
          <w:b/>
          <w:color w:val="000000" w:themeColor="text1"/>
          <w:sz w:val="36"/>
          <w:szCs w:val="36"/>
        </w:rPr>
        <w:t>3</w:t>
      </w:r>
      <w:r w:rsidRPr="00D3639B">
        <w:rPr>
          <w:rFonts w:eastAsiaTheme="minorEastAsia"/>
          <w:b/>
          <w:color w:val="000000" w:themeColor="text1"/>
          <w:sz w:val="36"/>
          <w:szCs w:val="36"/>
        </w:rPr>
        <w:t>季度报告</w:t>
      </w:r>
    </w:p>
    <w:p w:rsidR="009A2283" w:rsidRPr="00D3639B" w:rsidRDefault="00121533" w:rsidP="00FC13C8">
      <w:pPr>
        <w:spacing w:line="360" w:lineRule="auto"/>
        <w:jc w:val="center"/>
        <w:rPr>
          <w:rFonts w:eastAsiaTheme="minorEastAsia"/>
          <w:b/>
          <w:color w:val="000000" w:themeColor="text1"/>
          <w:sz w:val="36"/>
          <w:szCs w:val="36"/>
        </w:rPr>
      </w:pPr>
      <w:r w:rsidRPr="00D3639B">
        <w:rPr>
          <w:rFonts w:eastAsiaTheme="minorEastAsia"/>
          <w:b/>
          <w:color w:val="000000" w:themeColor="text1"/>
          <w:sz w:val="36"/>
          <w:szCs w:val="36"/>
        </w:rPr>
        <w:t>2019</w:t>
      </w:r>
      <w:r w:rsidRPr="00D3639B">
        <w:rPr>
          <w:rFonts w:eastAsiaTheme="minorEastAsia"/>
          <w:b/>
          <w:color w:val="000000" w:themeColor="text1"/>
          <w:sz w:val="36"/>
          <w:szCs w:val="36"/>
        </w:rPr>
        <w:t>年</w:t>
      </w:r>
      <w:r w:rsidRPr="00D3639B">
        <w:rPr>
          <w:rFonts w:eastAsiaTheme="minorEastAsia"/>
          <w:b/>
          <w:color w:val="000000" w:themeColor="text1"/>
          <w:sz w:val="36"/>
          <w:szCs w:val="36"/>
        </w:rPr>
        <w:t>9</w:t>
      </w:r>
      <w:r w:rsidRPr="00D3639B">
        <w:rPr>
          <w:rFonts w:eastAsiaTheme="minorEastAsia"/>
          <w:b/>
          <w:color w:val="000000" w:themeColor="text1"/>
          <w:sz w:val="36"/>
          <w:szCs w:val="36"/>
        </w:rPr>
        <w:t>月</w:t>
      </w:r>
      <w:r w:rsidRPr="00D3639B">
        <w:rPr>
          <w:rFonts w:eastAsiaTheme="minorEastAsia"/>
          <w:b/>
          <w:color w:val="000000" w:themeColor="text1"/>
          <w:sz w:val="36"/>
          <w:szCs w:val="36"/>
        </w:rPr>
        <w:t>30</w:t>
      </w:r>
      <w:r w:rsidRPr="00D3639B">
        <w:rPr>
          <w:rFonts w:eastAsiaTheme="minorEastAsia"/>
          <w:b/>
          <w:color w:val="000000" w:themeColor="text1"/>
          <w:sz w:val="36"/>
          <w:szCs w:val="36"/>
        </w:rPr>
        <w:t>日</w:t>
      </w: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E27360">
      <w:pPr>
        <w:spacing w:line="360" w:lineRule="auto"/>
        <w:jc w:val="center"/>
        <w:rPr>
          <w:rFonts w:eastAsiaTheme="minorEastAsia"/>
          <w:b/>
          <w:color w:val="000000" w:themeColor="text1"/>
          <w:szCs w:val="21"/>
        </w:rPr>
      </w:pPr>
    </w:p>
    <w:p w:rsidR="00E27360" w:rsidRPr="00D3639B" w:rsidRDefault="00E27360" w:rsidP="00E27360">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jc w:val="center"/>
        <w:rPr>
          <w:rFonts w:eastAsiaTheme="minorEastAsia"/>
          <w:b/>
          <w:color w:val="000000" w:themeColor="text1"/>
          <w:szCs w:val="21"/>
        </w:rPr>
      </w:pPr>
    </w:p>
    <w:p w:rsidR="009A2283" w:rsidRPr="00D3639B" w:rsidRDefault="009A2283" w:rsidP="009A2283">
      <w:pPr>
        <w:spacing w:line="360" w:lineRule="auto"/>
        <w:rPr>
          <w:rFonts w:eastAsiaTheme="minorEastAsia"/>
          <w:b/>
          <w:color w:val="000000" w:themeColor="text1"/>
          <w:szCs w:val="21"/>
        </w:rPr>
      </w:pP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基金管理人：</w:t>
      </w:r>
      <w:r w:rsidR="00BF377F" w:rsidRPr="00D3639B">
        <w:rPr>
          <w:rFonts w:eastAsiaTheme="minorEastAsia"/>
          <w:b/>
          <w:color w:val="000000" w:themeColor="text1"/>
          <w:sz w:val="24"/>
        </w:rPr>
        <w:t>易方达基金管理有限公司</w:t>
      </w:r>
    </w:p>
    <w:p w:rsidR="009A2283" w:rsidRPr="00D3639B" w:rsidRDefault="009A2283" w:rsidP="004B54B8">
      <w:pPr>
        <w:spacing w:line="360" w:lineRule="auto"/>
        <w:ind w:firstLineChars="900" w:firstLine="2168"/>
        <w:rPr>
          <w:rFonts w:eastAsiaTheme="minorEastAsia"/>
          <w:b/>
          <w:color w:val="000000" w:themeColor="text1"/>
          <w:sz w:val="24"/>
        </w:rPr>
      </w:pPr>
      <w:r w:rsidRPr="00D3639B">
        <w:rPr>
          <w:rFonts w:eastAsiaTheme="minorEastAsia"/>
          <w:b/>
          <w:color w:val="000000" w:themeColor="text1"/>
          <w:sz w:val="24"/>
        </w:rPr>
        <w:t>基金托管人：</w:t>
      </w:r>
      <w:r w:rsidR="00BF377F" w:rsidRPr="00D3639B">
        <w:rPr>
          <w:rFonts w:eastAsiaTheme="minorEastAsia"/>
          <w:b/>
          <w:color w:val="000000" w:themeColor="text1"/>
          <w:sz w:val="24"/>
        </w:rPr>
        <w:t>中国工商银行股份有限公司</w:t>
      </w:r>
    </w:p>
    <w:p w:rsidR="009A2283" w:rsidRPr="00D3639B" w:rsidRDefault="009A2283" w:rsidP="004B54B8">
      <w:pPr>
        <w:spacing w:line="360" w:lineRule="auto"/>
        <w:ind w:firstLineChars="900" w:firstLine="2168"/>
        <w:rPr>
          <w:rFonts w:eastAsiaTheme="minorEastAsia"/>
          <w:color w:val="000000" w:themeColor="text1"/>
          <w:sz w:val="24"/>
        </w:rPr>
        <w:sectPr w:rsidR="009A2283" w:rsidRPr="00D3639B" w:rsidSect="00F7094A">
          <w:headerReference w:type="default" r:id="rId8"/>
          <w:footerReference w:type="default" r:id="rId9"/>
          <w:pgSz w:w="11926" w:h="15840"/>
          <w:pgMar w:top="1418" w:right="1418" w:bottom="851" w:left="1418" w:header="851" w:footer="992" w:gutter="0"/>
          <w:cols w:space="720"/>
          <w:noEndnote/>
        </w:sectPr>
      </w:pPr>
      <w:r w:rsidRPr="00D3639B">
        <w:rPr>
          <w:rFonts w:eastAsiaTheme="minorEastAsia"/>
          <w:b/>
          <w:color w:val="000000" w:themeColor="text1"/>
          <w:sz w:val="24"/>
        </w:rPr>
        <w:t>报告送出日期：</w:t>
      </w:r>
      <w:r w:rsidR="00D04410" w:rsidRPr="00D3639B">
        <w:rPr>
          <w:rFonts w:eastAsiaTheme="minorEastAsia"/>
          <w:b/>
          <w:color w:val="000000" w:themeColor="text1"/>
          <w:sz w:val="24"/>
        </w:rPr>
        <w:t>二〇一九年十月二十四日</w:t>
      </w:r>
    </w:p>
    <w:p w:rsidR="009238DB" w:rsidRPr="00B34368" w:rsidRDefault="009238DB" w:rsidP="00C544B8">
      <w:pPr>
        <w:pStyle w:val="1"/>
        <w:spacing w:beforeLines="100" w:before="312" w:afterLines="100" w:after="312" w:line="360" w:lineRule="auto"/>
        <w:jc w:val="center"/>
        <w:rPr>
          <w:rFonts w:eastAsiaTheme="minorEastAsia"/>
          <w:b w:val="0"/>
          <w:color w:val="000000" w:themeColor="text1"/>
          <w:kern w:val="0"/>
          <w:sz w:val="24"/>
          <w:szCs w:val="24"/>
        </w:rPr>
      </w:pPr>
      <w:r w:rsidRPr="00B34368">
        <w:rPr>
          <w:rFonts w:eastAsiaTheme="minorEastAsia"/>
          <w:color w:val="000000" w:themeColor="text1"/>
          <w:kern w:val="0"/>
          <w:sz w:val="24"/>
          <w:szCs w:val="24"/>
        </w:rPr>
        <w:lastRenderedPageBreak/>
        <w:t xml:space="preserve">§1  </w:t>
      </w:r>
      <w:r w:rsidRPr="00B34368">
        <w:rPr>
          <w:rFonts w:eastAsiaTheme="minorEastAsia" w:hAnsiTheme="minorEastAsia"/>
          <w:color w:val="000000" w:themeColor="text1"/>
          <w:kern w:val="0"/>
          <w:sz w:val="24"/>
          <w:szCs w:val="24"/>
        </w:rPr>
        <w:t>重要提示</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基金管理人的董事会及董事保证本报告所载资料不存在虚假记载、误导性陈述或重大遗漏，并对其内容的真实性、准确性和完整性承担个别及连带责任。</w:t>
      </w:r>
      <w:r>
        <w:rPr>
          <w:rFonts w:eastAsiaTheme="minorEastAsia"/>
          <w:color w:val="000000" w:themeColor="text1"/>
          <w:sz w:val="24"/>
        </w:rPr>
        <w:t xml:space="preserve"> </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基金托管人中国工商银行股份有限公司根据本基金合同规定，于</w:t>
      </w: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10</w:t>
      </w:r>
      <w:r>
        <w:rPr>
          <w:rFonts w:eastAsiaTheme="minorEastAsia"/>
          <w:color w:val="000000" w:themeColor="text1"/>
          <w:sz w:val="24"/>
        </w:rPr>
        <w:t>月</w:t>
      </w:r>
      <w:r>
        <w:rPr>
          <w:rFonts w:eastAsiaTheme="minorEastAsia"/>
          <w:color w:val="000000" w:themeColor="text1"/>
          <w:sz w:val="24"/>
        </w:rPr>
        <w:t>22</w:t>
      </w:r>
      <w:r>
        <w:rPr>
          <w:rFonts w:eastAsiaTheme="minorEastAsia"/>
          <w:color w:val="000000" w:themeColor="text1"/>
          <w:sz w:val="24"/>
        </w:rPr>
        <w:t>日复核了本报告中的财务指标、净值表现和投资组合报告等内容，保证复核内容不存在虚假记载、误导性陈述或者重大遗漏。</w:t>
      </w:r>
      <w:r>
        <w:rPr>
          <w:rFonts w:eastAsiaTheme="minorEastAsia"/>
          <w:color w:val="000000" w:themeColor="text1"/>
          <w:sz w:val="24"/>
        </w:rPr>
        <w:t xml:space="preserve"> </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基金管理人承诺以诚实信用、勤勉尽责的原则管理和运用基金资产，但不保证基金一定盈利。</w:t>
      </w:r>
      <w:r>
        <w:rPr>
          <w:rFonts w:eastAsiaTheme="minorEastAsia"/>
          <w:color w:val="000000" w:themeColor="text1"/>
          <w:sz w:val="24"/>
        </w:rPr>
        <w:t xml:space="preserve"> </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基金的过往业绩并不代表其未来表现。投资有风险，投资者在作出投资决策前应仔细阅读本基金的招募说明书。</w:t>
      </w:r>
      <w:r>
        <w:rPr>
          <w:rFonts w:eastAsiaTheme="minorEastAsia"/>
          <w:color w:val="000000" w:themeColor="text1"/>
          <w:sz w:val="24"/>
        </w:rPr>
        <w:t xml:space="preserve"> </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本报告中财务资料未经审计。</w:t>
      </w:r>
    </w:p>
    <w:p w:rsidR="009238DB" w:rsidRPr="00B34368" w:rsidRDefault="00267DA9"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本报告期自</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日起至</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日止。</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§2  </w:t>
      </w:r>
      <w:r w:rsidRPr="00B34368">
        <w:rPr>
          <w:rFonts w:eastAsiaTheme="minorEastAsia" w:hAnsiTheme="minorEastAsia"/>
          <w:color w:val="000000" w:themeColor="text1"/>
          <w:kern w:val="0"/>
          <w:sz w:val="24"/>
          <w:szCs w:val="24"/>
        </w:rPr>
        <w:t>基金产品概况</w:t>
      </w:r>
    </w:p>
    <w:p w:rsidR="002C32ED" w:rsidRPr="00B34368" w:rsidRDefault="002C32ED" w:rsidP="002C32ED">
      <w:pPr>
        <w:pStyle w:val="2"/>
        <w:keepNext w:val="0"/>
        <w:keepLines w:val="0"/>
        <w:spacing w:before="0" w:after="0"/>
        <w:rPr>
          <w:rFonts w:ascii="Times New Roman" w:eastAsiaTheme="minorEastAsia" w:hAnsi="Times New Roman" w:cs="Times New Roman"/>
          <w:color w:val="000000" w:themeColor="text1"/>
          <w:szCs w:val="24"/>
        </w:rPr>
      </w:pPr>
      <w:bookmarkStart w:id="1" w:name="_Toc245193810"/>
      <w:r w:rsidRPr="00B34368">
        <w:rPr>
          <w:rFonts w:ascii="Times New Roman" w:eastAsiaTheme="minorEastAsia" w:hAnsi="Times New Roman" w:cs="Times New Roman"/>
          <w:color w:val="000000" w:themeColor="text1"/>
          <w:szCs w:val="24"/>
        </w:rPr>
        <w:t>2.1</w:t>
      </w:r>
      <w:r w:rsidRPr="00B34368">
        <w:rPr>
          <w:rFonts w:ascii="Times New Roman" w:eastAsiaTheme="minorEastAsia" w:hAnsiTheme="minorEastAsia" w:cs="Times New Roman"/>
          <w:color w:val="000000" w:themeColor="text1"/>
          <w:szCs w:val="24"/>
        </w:rPr>
        <w:t>基金产品概况</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基金简称</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易方达创业板</w:t>
            </w:r>
            <w:r w:rsidRPr="00B34368">
              <w:rPr>
                <w:rFonts w:eastAsiaTheme="minorEastAsia"/>
                <w:color w:val="000000" w:themeColor="text1"/>
                <w:kern w:val="0"/>
                <w:sz w:val="24"/>
              </w:rPr>
              <w:t>ETF</w:t>
            </w:r>
            <w:r w:rsidRPr="00B34368">
              <w:rPr>
                <w:rFonts w:eastAsiaTheme="minorEastAsia"/>
                <w:color w:val="000000" w:themeColor="text1"/>
                <w:kern w:val="0"/>
                <w:sz w:val="24"/>
              </w:rPr>
              <w:t>联接</w:t>
            </w:r>
          </w:p>
        </w:tc>
      </w:tr>
      <w:tr w:rsidR="00D3639B" w:rsidRPr="00B34368" w:rsidTr="00AA7EBD">
        <w:tc>
          <w:tcPr>
            <w:tcW w:w="2835" w:type="dxa"/>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479" w:type="dxa"/>
            <w:gridSpan w:val="2"/>
            <w:tcBorders>
              <w:bottom w:val="single" w:sz="4" w:space="0" w:color="auto"/>
            </w:tcBorders>
          </w:tcPr>
          <w:p w:rsidR="00B95753" w:rsidRPr="00B34368" w:rsidRDefault="00B95753" w:rsidP="00E205AA">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110026</w:t>
            </w:r>
          </w:p>
        </w:tc>
      </w:tr>
      <w:tr w:rsidR="00D3639B" w:rsidRPr="00B34368" w:rsidTr="00AA7EBD">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基金运作方式</w:t>
            </w:r>
          </w:p>
        </w:tc>
        <w:tc>
          <w:tcPr>
            <w:tcW w:w="5479" w:type="dxa"/>
            <w:gridSpan w:val="2"/>
            <w:tcBorders>
              <w:top w:val="single" w:sz="4" w:space="0" w:color="auto"/>
            </w:tcBorders>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契约型开放式</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基金合同生效日</w:t>
            </w:r>
          </w:p>
        </w:tc>
        <w:tc>
          <w:tcPr>
            <w:tcW w:w="5479" w:type="dxa"/>
            <w:gridSpan w:val="2"/>
          </w:tcPr>
          <w:p w:rsidR="00A6200E" w:rsidRPr="00B34368" w:rsidRDefault="00121533" w:rsidP="00121533">
            <w:pPr>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2011</w:t>
            </w:r>
            <w:r w:rsidRPr="00B34368">
              <w:rPr>
                <w:rFonts w:eastAsiaTheme="minorEastAsia"/>
                <w:color w:val="000000" w:themeColor="text1"/>
                <w:kern w:val="0"/>
                <w:sz w:val="24"/>
              </w:rPr>
              <w:t>年</w:t>
            </w:r>
            <w:r w:rsidRPr="00B34368">
              <w:rPr>
                <w:rFonts w:eastAsiaTheme="minorEastAsia"/>
                <w:color w:val="000000" w:themeColor="text1"/>
                <w:kern w:val="0"/>
                <w:sz w:val="24"/>
              </w:rPr>
              <w:t>9</w:t>
            </w:r>
            <w:r w:rsidRPr="00B34368">
              <w:rPr>
                <w:rFonts w:eastAsiaTheme="minorEastAsia"/>
                <w:color w:val="000000" w:themeColor="text1"/>
                <w:kern w:val="0"/>
                <w:sz w:val="24"/>
              </w:rPr>
              <w:t>月</w:t>
            </w:r>
            <w:r w:rsidRPr="00B34368">
              <w:rPr>
                <w:rFonts w:eastAsiaTheme="minorEastAsia"/>
                <w:color w:val="000000" w:themeColor="text1"/>
                <w:kern w:val="0"/>
                <w:sz w:val="24"/>
              </w:rPr>
              <w:t>20</w:t>
            </w:r>
            <w:r w:rsidRPr="00B34368">
              <w:rPr>
                <w:rFonts w:eastAsiaTheme="minorEastAsia"/>
                <w:color w:val="000000" w:themeColor="text1"/>
                <w:kern w:val="0"/>
                <w:sz w:val="24"/>
              </w:rPr>
              <w:t>日</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报告期末基金份额总额</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3,470,245,036.21</w:t>
            </w:r>
            <w:r w:rsidR="0060758A" w:rsidRPr="00B34368">
              <w:rPr>
                <w:rFonts w:eastAsiaTheme="minorEastAsia" w:hAnsiTheme="minorEastAsia"/>
                <w:color w:val="000000" w:themeColor="text1"/>
                <w:kern w:val="0"/>
                <w:sz w:val="24"/>
              </w:rPr>
              <w:t>份</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投资目标</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紧密跟踪业绩比较基准，追求跟踪偏离度及跟踪误差的最小化。</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投资策略</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本基金为创业板</w:t>
            </w:r>
            <w:r w:rsidRPr="00B34368">
              <w:rPr>
                <w:rFonts w:eastAsiaTheme="minorEastAsia"/>
                <w:color w:val="000000" w:themeColor="text1"/>
                <w:kern w:val="0"/>
                <w:sz w:val="24"/>
              </w:rPr>
              <w:t>ETF</w:t>
            </w:r>
            <w:r w:rsidRPr="00B34368">
              <w:rPr>
                <w:rFonts w:eastAsiaTheme="minorEastAsia"/>
                <w:color w:val="000000" w:themeColor="text1"/>
                <w:kern w:val="0"/>
                <w:sz w:val="24"/>
              </w:rPr>
              <w:t>的联接基金。创业板</w:t>
            </w:r>
            <w:r w:rsidRPr="00B34368">
              <w:rPr>
                <w:rFonts w:eastAsiaTheme="minorEastAsia"/>
                <w:color w:val="000000" w:themeColor="text1"/>
                <w:kern w:val="0"/>
                <w:sz w:val="24"/>
              </w:rPr>
              <w:t>ETF</w:t>
            </w:r>
            <w:r w:rsidRPr="00B34368">
              <w:rPr>
                <w:rFonts w:eastAsiaTheme="minorEastAsia"/>
                <w:color w:val="000000" w:themeColor="text1"/>
                <w:kern w:val="0"/>
                <w:sz w:val="24"/>
              </w:rPr>
              <w:t>是采用完全复制法实现对创业板指数紧密跟踪的全被动指数基金，本基金主要通过投资于创业板</w:t>
            </w:r>
            <w:r w:rsidRPr="00B34368">
              <w:rPr>
                <w:rFonts w:eastAsiaTheme="minorEastAsia"/>
                <w:color w:val="000000" w:themeColor="text1"/>
                <w:kern w:val="0"/>
                <w:sz w:val="24"/>
              </w:rPr>
              <w:t>ETF</w:t>
            </w:r>
            <w:r w:rsidRPr="00B34368">
              <w:rPr>
                <w:rFonts w:eastAsiaTheme="minorEastAsia"/>
                <w:color w:val="000000" w:themeColor="text1"/>
                <w:kern w:val="0"/>
                <w:sz w:val="24"/>
              </w:rPr>
              <w:t>实现对业绩比较基准的紧密跟踪，力争将日均跟踪偏离度控制在</w:t>
            </w:r>
            <w:r w:rsidRPr="00B34368">
              <w:rPr>
                <w:rFonts w:eastAsiaTheme="minorEastAsia"/>
                <w:color w:val="000000" w:themeColor="text1"/>
                <w:kern w:val="0"/>
                <w:sz w:val="24"/>
              </w:rPr>
              <w:t>0.35%</w:t>
            </w:r>
            <w:r w:rsidRPr="00B34368">
              <w:rPr>
                <w:rFonts w:eastAsiaTheme="minorEastAsia"/>
                <w:color w:val="000000" w:themeColor="text1"/>
                <w:kern w:val="0"/>
                <w:sz w:val="24"/>
              </w:rPr>
              <w:t>以内，年化跟踪误差控制在</w:t>
            </w:r>
            <w:r w:rsidRPr="00B34368">
              <w:rPr>
                <w:rFonts w:eastAsiaTheme="minorEastAsia"/>
                <w:color w:val="000000" w:themeColor="text1"/>
                <w:kern w:val="0"/>
                <w:sz w:val="24"/>
              </w:rPr>
              <w:t>4%</w:t>
            </w:r>
            <w:r w:rsidRPr="00B34368">
              <w:rPr>
                <w:rFonts w:eastAsiaTheme="minorEastAsia"/>
                <w:color w:val="000000" w:themeColor="text1"/>
                <w:kern w:val="0"/>
                <w:sz w:val="24"/>
              </w:rPr>
              <w:lastRenderedPageBreak/>
              <w:t>以内。在投资运作过程中，本基金将在综合考虑合规、风险、效率、成本等因素的基础上，决定采用实物申赎的方式或证券二级市场交易的方式进行创业板</w:t>
            </w:r>
            <w:r w:rsidRPr="00B34368">
              <w:rPr>
                <w:rFonts w:eastAsiaTheme="minorEastAsia"/>
                <w:color w:val="000000" w:themeColor="text1"/>
                <w:kern w:val="0"/>
                <w:sz w:val="24"/>
              </w:rPr>
              <w:t>ETF</w:t>
            </w:r>
            <w:r w:rsidRPr="00B34368">
              <w:rPr>
                <w:rFonts w:eastAsiaTheme="minorEastAsia"/>
                <w:color w:val="000000" w:themeColor="text1"/>
                <w:kern w:val="0"/>
                <w:sz w:val="24"/>
              </w:rPr>
              <w:t>的买卖。本基金可以参与股指期货交易，但必须根据风险管理的原则，以套期保值为目的。</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lastRenderedPageBreak/>
              <w:t>业绩比较基准</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创业板指数收益率</w:t>
            </w:r>
            <w:r w:rsidRPr="00B34368">
              <w:rPr>
                <w:rFonts w:eastAsiaTheme="minorEastAsia"/>
                <w:color w:val="000000" w:themeColor="text1"/>
                <w:kern w:val="0"/>
                <w:sz w:val="24"/>
              </w:rPr>
              <w:t>X95%+</w:t>
            </w:r>
            <w:r w:rsidRPr="00B34368">
              <w:rPr>
                <w:rFonts w:eastAsiaTheme="minorEastAsia"/>
                <w:color w:val="000000" w:themeColor="text1"/>
                <w:kern w:val="0"/>
                <w:sz w:val="24"/>
              </w:rPr>
              <w:t>活期存款利率</w:t>
            </w:r>
            <w:r w:rsidRPr="00B34368">
              <w:rPr>
                <w:rFonts w:eastAsiaTheme="minorEastAsia"/>
                <w:color w:val="000000" w:themeColor="text1"/>
                <w:kern w:val="0"/>
                <w:sz w:val="24"/>
              </w:rPr>
              <w:t>(</w:t>
            </w:r>
            <w:r w:rsidRPr="00B34368">
              <w:rPr>
                <w:rFonts w:eastAsiaTheme="minorEastAsia"/>
                <w:color w:val="000000" w:themeColor="text1"/>
                <w:kern w:val="0"/>
                <w:sz w:val="24"/>
              </w:rPr>
              <w:t>税后</w:t>
            </w:r>
            <w:r w:rsidRPr="00B34368">
              <w:rPr>
                <w:rFonts w:eastAsiaTheme="minorEastAsia"/>
                <w:color w:val="000000" w:themeColor="text1"/>
                <w:kern w:val="0"/>
                <w:sz w:val="24"/>
              </w:rPr>
              <w:t>)X5%</w:t>
            </w:r>
          </w:p>
        </w:tc>
      </w:tr>
      <w:tr w:rsidR="00D3639B" w:rsidRPr="00B34368" w:rsidTr="009A045B">
        <w:tc>
          <w:tcPr>
            <w:tcW w:w="2835" w:type="dxa"/>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风险收益特征</w:t>
            </w:r>
          </w:p>
        </w:tc>
        <w:tc>
          <w:tcPr>
            <w:tcW w:w="5479" w:type="dxa"/>
            <w:gridSpan w:val="2"/>
          </w:tcPr>
          <w:p w:rsidR="00846C2B" w:rsidRPr="00B34368" w:rsidRDefault="00846C2B"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本基金为创业板</w:t>
            </w:r>
            <w:r w:rsidRPr="00B34368">
              <w:rPr>
                <w:rFonts w:eastAsiaTheme="minorEastAsia"/>
                <w:color w:val="000000" w:themeColor="text1"/>
                <w:kern w:val="0"/>
                <w:sz w:val="24"/>
              </w:rPr>
              <w:t>ETF</w:t>
            </w:r>
            <w:r w:rsidRPr="00B34368">
              <w:rPr>
                <w:rFonts w:eastAsiaTheme="minorEastAsia"/>
                <w:color w:val="000000" w:themeColor="text1"/>
                <w:kern w:val="0"/>
                <w:sz w:val="24"/>
              </w:rPr>
              <w:t>的联接基金，其预期风险收益水平高于混合型基金、债券基金和货币市场基金；本基金主要通过投资创业板</w:t>
            </w:r>
            <w:r w:rsidRPr="00B34368">
              <w:rPr>
                <w:rFonts w:eastAsiaTheme="minorEastAsia"/>
                <w:color w:val="000000" w:themeColor="text1"/>
                <w:kern w:val="0"/>
                <w:sz w:val="24"/>
              </w:rPr>
              <w:t>ETF</w:t>
            </w:r>
            <w:r w:rsidRPr="00B34368">
              <w:rPr>
                <w:rFonts w:eastAsiaTheme="minorEastAsia"/>
                <w:color w:val="000000" w:themeColor="text1"/>
                <w:kern w:val="0"/>
                <w:sz w:val="24"/>
              </w:rPr>
              <w:t>追踪业绩比较基准，具有与业绩比较基准相似的风险收益特征。</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基金管理人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易方达基金管理有限公司</w:t>
            </w:r>
          </w:p>
        </w:tc>
      </w:tr>
      <w:tr w:rsidR="00D3639B" w:rsidRPr="00B34368" w:rsidTr="00950413">
        <w:tc>
          <w:tcPr>
            <w:tcW w:w="2835" w:type="dxa"/>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kern w:val="0"/>
                <w:sz w:val="24"/>
              </w:rPr>
              <w:t>基金托管人</w:t>
            </w:r>
          </w:p>
        </w:tc>
        <w:tc>
          <w:tcPr>
            <w:tcW w:w="5479" w:type="dxa"/>
            <w:gridSpan w:val="2"/>
          </w:tcPr>
          <w:p w:rsidR="00A6200E" w:rsidRPr="00B34368" w:rsidRDefault="00A6200E" w:rsidP="00E205AA">
            <w:pPr>
              <w:adjustRightInd w:val="0"/>
              <w:spacing w:before="29" w:line="360" w:lineRule="auto"/>
              <w:ind w:left="17"/>
              <w:jc w:val="left"/>
              <w:rPr>
                <w:rFonts w:eastAsiaTheme="minorEastAsia"/>
                <w:color w:val="000000" w:themeColor="text1"/>
                <w:sz w:val="24"/>
              </w:rPr>
            </w:pPr>
            <w:r w:rsidRPr="00B34368">
              <w:rPr>
                <w:rFonts w:eastAsiaTheme="minorEastAsia"/>
                <w:color w:val="000000" w:themeColor="text1"/>
                <w:kern w:val="0"/>
                <w:sz w:val="24"/>
              </w:rPr>
              <w:t>中国工商银行股份有限公司</w:t>
            </w:r>
          </w:p>
        </w:tc>
      </w:tr>
      <w:tr w:rsidR="00D3639B" w:rsidRPr="00B34368" w:rsidTr="00950413">
        <w:tc>
          <w:tcPr>
            <w:tcW w:w="2835" w:type="dxa"/>
          </w:tcPr>
          <w:p w:rsidR="00950413" w:rsidRPr="00B34368" w:rsidRDefault="00075E4E" w:rsidP="00E205AA">
            <w:pPr>
              <w:adjustRightInd w:val="0"/>
              <w:spacing w:before="29" w:line="360" w:lineRule="auto"/>
              <w:ind w:left="17"/>
              <w:jc w:val="left"/>
              <w:rPr>
                <w:rFonts w:eastAsiaTheme="minorEastAsia"/>
                <w:color w:val="000000" w:themeColor="text1"/>
                <w:kern w:val="0"/>
                <w:sz w:val="24"/>
              </w:rPr>
            </w:pPr>
            <w:r>
              <w:rPr>
                <w:rFonts w:eastAsiaTheme="minorEastAsia" w:hAnsiTheme="minorEastAsia"/>
                <w:color w:val="000000" w:themeColor="text1"/>
                <w:sz w:val="24"/>
              </w:rPr>
              <w:t>下属</w:t>
            </w:r>
            <w:r>
              <w:rPr>
                <w:rFonts w:eastAsiaTheme="minorEastAsia" w:hAnsiTheme="minorEastAsia" w:hint="eastAsia"/>
                <w:color w:val="000000" w:themeColor="text1"/>
                <w:sz w:val="24"/>
              </w:rPr>
              <w:t>分</w:t>
            </w:r>
            <w:r w:rsidR="00950413" w:rsidRPr="00B34368">
              <w:rPr>
                <w:rFonts w:eastAsiaTheme="minorEastAsia" w:hAnsiTheme="minorEastAsia"/>
                <w:color w:val="000000" w:themeColor="text1"/>
                <w:sz w:val="24"/>
              </w:rPr>
              <w:t>级基金的基金简称</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易方达创业板</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740"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易方达创业板</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级基金的交易代码</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110026</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004744</w:t>
            </w:r>
          </w:p>
        </w:tc>
      </w:tr>
      <w:tr w:rsidR="00D3639B" w:rsidRPr="00B34368" w:rsidTr="00950413">
        <w:tc>
          <w:tcPr>
            <w:tcW w:w="2835" w:type="dxa"/>
          </w:tcPr>
          <w:p w:rsidR="00950413" w:rsidRPr="00B34368" w:rsidRDefault="00950413" w:rsidP="00E205AA">
            <w:pPr>
              <w:adjustRightInd w:val="0"/>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报告期末下属</w:t>
            </w:r>
            <w:r w:rsidR="00075E4E">
              <w:rPr>
                <w:rFonts w:eastAsiaTheme="minorEastAsia" w:hAnsiTheme="minorEastAsia" w:hint="eastAsia"/>
                <w:color w:val="000000" w:themeColor="text1"/>
                <w:sz w:val="24"/>
              </w:rPr>
              <w:t>分</w:t>
            </w:r>
            <w:r w:rsidRPr="00B34368">
              <w:rPr>
                <w:rFonts w:eastAsiaTheme="minorEastAsia" w:hAnsiTheme="minorEastAsia"/>
                <w:color w:val="000000" w:themeColor="text1"/>
                <w:sz w:val="24"/>
              </w:rPr>
              <w:t>级基金的份额总额</w:t>
            </w:r>
          </w:p>
        </w:tc>
        <w:tc>
          <w:tcPr>
            <w:tcW w:w="2739" w:type="dxa"/>
            <w:vAlign w:val="center"/>
          </w:tcPr>
          <w:p w:rsidR="00950413" w:rsidRPr="00B34368" w:rsidRDefault="00950413" w:rsidP="00950413">
            <w:pPr>
              <w:jc w:val="left"/>
              <w:rPr>
                <w:rFonts w:eastAsiaTheme="minorEastAsia"/>
                <w:color w:val="000000" w:themeColor="text1"/>
                <w:sz w:val="24"/>
              </w:rPr>
            </w:pPr>
            <w:r w:rsidRPr="00B34368">
              <w:rPr>
                <w:rFonts w:eastAsiaTheme="minorEastAsia"/>
                <w:color w:val="000000" w:themeColor="text1"/>
                <w:sz w:val="24"/>
              </w:rPr>
              <w:t>2,447,821,909.76</w:t>
            </w:r>
            <w:r w:rsidR="00D305C9" w:rsidRPr="00B34368">
              <w:rPr>
                <w:rFonts w:eastAsiaTheme="minorEastAsia" w:hAnsiTheme="minorEastAsia"/>
                <w:color w:val="000000" w:themeColor="text1"/>
                <w:kern w:val="0"/>
                <w:sz w:val="24"/>
              </w:rPr>
              <w:t>份</w:t>
            </w:r>
          </w:p>
        </w:tc>
        <w:tc>
          <w:tcPr>
            <w:tcW w:w="2740" w:type="dxa"/>
            <w:vAlign w:val="center"/>
          </w:tcPr>
          <w:p w:rsidR="00950413" w:rsidRPr="00B34368" w:rsidRDefault="00FE7FBD" w:rsidP="00950413">
            <w:pPr>
              <w:jc w:val="left"/>
              <w:rPr>
                <w:rFonts w:eastAsiaTheme="minorEastAsia"/>
                <w:color w:val="000000" w:themeColor="text1"/>
                <w:sz w:val="24"/>
              </w:rPr>
            </w:pPr>
            <w:r w:rsidRPr="00B34368">
              <w:rPr>
                <w:rFonts w:eastAsiaTheme="minorEastAsia"/>
                <w:color w:val="000000" w:themeColor="text1"/>
                <w:sz w:val="24"/>
              </w:rPr>
              <w:t>1,022,423,126.45</w:t>
            </w:r>
            <w:r w:rsidR="00D305C9" w:rsidRPr="00B34368">
              <w:rPr>
                <w:rFonts w:eastAsiaTheme="minorEastAsia" w:hAnsiTheme="minorEastAsia"/>
                <w:color w:val="000000" w:themeColor="text1"/>
                <w:kern w:val="0"/>
                <w:sz w:val="24"/>
              </w:rPr>
              <w:t>份</w:t>
            </w:r>
          </w:p>
        </w:tc>
      </w:tr>
    </w:tbl>
    <w:p w:rsidR="002C32ED" w:rsidRPr="00B34368" w:rsidRDefault="00A6200E"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注：自</w:t>
      </w:r>
      <w:r w:rsidRPr="00B34368">
        <w:rPr>
          <w:rFonts w:eastAsiaTheme="minorEastAsia"/>
          <w:color w:val="000000" w:themeColor="text1"/>
          <w:sz w:val="24"/>
        </w:rPr>
        <w:t>2017</w:t>
      </w:r>
      <w:r w:rsidRPr="00B34368">
        <w:rPr>
          <w:rFonts w:eastAsiaTheme="minorEastAsia"/>
          <w:color w:val="000000" w:themeColor="text1"/>
          <w:sz w:val="24"/>
        </w:rPr>
        <w:t>年</w:t>
      </w:r>
      <w:r w:rsidRPr="00B34368">
        <w:rPr>
          <w:rFonts w:eastAsiaTheme="minorEastAsia"/>
          <w:color w:val="000000" w:themeColor="text1"/>
          <w:sz w:val="24"/>
        </w:rPr>
        <w:t>6</w:t>
      </w:r>
      <w:r w:rsidRPr="00B34368">
        <w:rPr>
          <w:rFonts w:eastAsiaTheme="minorEastAsia"/>
          <w:color w:val="000000" w:themeColor="text1"/>
          <w:sz w:val="24"/>
        </w:rPr>
        <w:t>月</w:t>
      </w:r>
      <w:r w:rsidRPr="00B34368">
        <w:rPr>
          <w:rFonts w:eastAsiaTheme="minorEastAsia"/>
          <w:color w:val="000000" w:themeColor="text1"/>
          <w:sz w:val="24"/>
        </w:rPr>
        <w:t>2</w:t>
      </w:r>
      <w:r w:rsidRPr="00B34368">
        <w:rPr>
          <w:rFonts w:eastAsiaTheme="minorEastAsia"/>
          <w:color w:val="000000" w:themeColor="text1"/>
          <w:sz w:val="24"/>
        </w:rPr>
        <w:t>日起，本基金增设</w:t>
      </w:r>
      <w:r w:rsidRPr="00B34368">
        <w:rPr>
          <w:rFonts w:eastAsiaTheme="minorEastAsia"/>
          <w:color w:val="000000" w:themeColor="text1"/>
          <w:sz w:val="24"/>
        </w:rPr>
        <w:t>C</w:t>
      </w:r>
      <w:r w:rsidRPr="00B34368">
        <w:rPr>
          <w:rFonts w:eastAsiaTheme="minorEastAsia"/>
          <w:color w:val="000000" w:themeColor="text1"/>
          <w:sz w:val="24"/>
        </w:rPr>
        <w:t>类份额类别，份额首次确认日为</w:t>
      </w:r>
      <w:r w:rsidRPr="00B34368">
        <w:rPr>
          <w:rFonts w:eastAsiaTheme="minorEastAsia"/>
          <w:color w:val="000000" w:themeColor="text1"/>
          <w:sz w:val="24"/>
        </w:rPr>
        <w:t>2017</w:t>
      </w:r>
      <w:r w:rsidRPr="00B34368">
        <w:rPr>
          <w:rFonts w:eastAsiaTheme="minorEastAsia"/>
          <w:color w:val="000000" w:themeColor="text1"/>
          <w:sz w:val="24"/>
        </w:rPr>
        <w:t>年</w:t>
      </w:r>
      <w:r w:rsidRPr="00B34368">
        <w:rPr>
          <w:rFonts w:eastAsiaTheme="minorEastAsia"/>
          <w:color w:val="000000" w:themeColor="text1"/>
          <w:sz w:val="24"/>
        </w:rPr>
        <w:t>6</w:t>
      </w:r>
      <w:r w:rsidRPr="00B34368">
        <w:rPr>
          <w:rFonts w:eastAsiaTheme="minorEastAsia"/>
          <w:color w:val="000000" w:themeColor="text1"/>
          <w:sz w:val="24"/>
        </w:rPr>
        <w:t>月</w:t>
      </w:r>
      <w:r w:rsidRPr="00B34368">
        <w:rPr>
          <w:rFonts w:eastAsiaTheme="minorEastAsia"/>
          <w:color w:val="000000" w:themeColor="text1"/>
          <w:sz w:val="24"/>
        </w:rPr>
        <w:t>5</w:t>
      </w:r>
      <w:r w:rsidRPr="00B34368">
        <w:rPr>
          <w:rFonts w:eastAsiaTheme="minorEastAsia"/>
          <w:color w:val="000000" w:themeColor="text1"/>
          <w:sz w:val="24"/>
        </w:rPr>
        <w:t>日。</w:t>
      </w:r>
    </w:p>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2.1.1</w:t>
      </w:r>
      <w:r w:rsidRPr="00B34368">
        <w:rPr>
          <w:rFonts w:ascii="Times New Roman" w:eastAsiaTheme="minorEastAsia" w:hAnsiTheme="minorEastAsia" w:cs="Times New Roman"/>
          <w:color w:val="000000" w:themeColor="text1"/>
          <w:szCs w:val="24"/>
        </w:rPr>
        <w:t>目标基金基本情况</w:t>
      </w:r>
    </w:p>
    <w:tbl>
      <w:tblPr>
        <w:tblW w:w="8460" w:type="dxa"/>
        <w:tblInd w:w="108" w:type="dxa"/>
        <w:tblLayout w:type="fixed"/>
        <w:tblLook w:val="0000" w:firstRow="0" w:lastRow="0" w:firstColumn="0" w:lastColumn="0" w:noHBand="0" w:noVBand="0"/>
      </w:tblPr>
      <w:tblGrid>
        <w:gridCol w:w="2724"/>
        <w:gridCol w:w="5736"/>
      </w:tblGrid>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易方达创业板交易型开放式指数证券投资基金</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基金主代码</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159915</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基金运作方式</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交易型开放式（</w:t>
            </w:r>
            <w:r w:rsidRPr="00B34368">
              <w:rPr>
                <w:rFonts w:eastAsiaTheme="minorEastAsia"/>
                <w:color w:val="000000" w:themeColor="text1"/>
                <w:sz w:val="24"/>
              </w:rPr>
              <w:t>ETF</w:t>
            </w:r>
            <w:r w:rsidRPr="00B34368">
              <w:rPr>
                <w:rFonts w:eastAsiaTheme="minorEastAsia"/>
                <w:color w:val="000000" w:themeColor="text1"/>
                <w:sz w:val="24"/>
              </w:rPr>
              <w:t>）</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基金合同生效日</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2011</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20</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lastRenderedPageBreak/>
              <w:t>基金份额上市的证券交易所</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深圳证券交易所</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上市日期</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2011</w:t>
            </w:r>
            <w:r w:rsidRPr="00B34368">
              <w:rPr>
                <w:rFonts w:eastAsiaTheme="minorEastAsia"/>
                <w:color w:val="000000" w:themeColor="text1"/>
                <w:sz w:val="24"/>
              </w:rPr>
              <w:t>年</w:t>
            </w:r>
            <w:r w:rsidRPr="00B34368">
              <w:rPr>
                <w:rFonts w:eastAsiaTheme="minorEastAsia"/>
                <w:color w:val="000000" w:themeColor="text1"/>
                <w:sz w:val="24"/>
              </w:rPr>
              <w:t>12</w:t>
            </w:r>
            <w:r w:rsidRPr="00B34368">
              <w:rPr>
                <w:rFonts w:eastAsiaTheme="minorEastAsia"/>
                <w:color w:val="000000" w:themeColor="text1"/>
                <w:sz w:val="24"/>
              </w:rPr>
              <w:t>月</w:t>
            </w:r>
            <w:r w:rsidRPr="00B34368">
              <w:rPr>
                <w:rFonts w:eastAsiaTheme="minorEastAsia"/>
                <w:color w:val="000000" w:themeColor="text1"/>
                <w:sz w:val="24"/>
              </w:rPr>
              <w:t>9</w:t>
            </w:r>
            <w:r w:rsidRPr="00B34368">
              <w:rPr>
                <w:rFonts w:eastAsiaTheme="minorEastAsia"/>
                <w:color w:val="000000" w:themeColor="text1"/>
                <w:sz w:val="24"/>
              </w:rPr>
              <w:t>日</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基金管理人名称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易方达基金管理有限公司</w:t>
            </w:r>
          </w:p>
        </w:tc>
      </w:tr>
      <w:tr w:rsidR="00D3639B" w:rsidRPr="00B34368" w:rsidTr="005472A0">
        <w:tc>
          <w:tcPr>
            <w:tcW w:w="2724"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基金托管人名称</w:t>
            </w:r>
          </w:p>
        </w:tc>
        <w:tc>
          <w:tcPr>
            <w:tcW w:w="5736"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中国工商银行股份有限公司</w:t>
            </w:r>
          </w:p>
        </w:tc>
      </w:tr>
    </w:tbl>
    <w:p w:rsidR="002C32ED" w:rsidRPr="00B34368" w:rsidRDefault="002C32ED" w:rsidP="00C544B8">
      <w:pPr>
        <w:pStyle w:val="2"/>
        <w:keepNext w:val="0"/>
        <w:keepLines w:val="0"/>
        <w:spacing w:beforeLines="100" w:before="312" w:after="0"/>
        <w:rPr>
          <w:rFonts w:ascii="Times New Roman" w:eastAsiaTheme="minorEastAsia" w:hAnsi="Times New Roman" w:cs="Times New Roman"/>
          <w:color w:val="000000" w:themeColor="text1"/>
          <w:szCs w:val="24"/>
        </w:rPr>
      </w:pPr>
      <w:r w:rsidRPr="00B34368">
        <w:rPr>
          <w:rFonts w:ascii="Times New Roman" w:eastAsiaTheme="minorEastAsia" w:hAnsi="Times New Roman" w:cs="Times New Roman"/>
          <w:color w:val="000000" w:themeColor="text1"/>
          <w:szCs w:val="24"/>
        </w:rPr>
        <w:t>2.1.2</w:t>
      </w:r>
      <w:r w:rsidRPr="00B34368">
        <w:rPr>
          <w:rFonts w:ascii="Times New Roman" w:eastAsiaTheme="minorEastAsia" w:hAnsiTheme="minorEastAsia" w:cs="Times New Roman"/>
          <w:color w:val="000000" w:themeColor="text1"/>
          <w:szCs w:val="24"/>
        </w:rPr>
        <w:t>目标基金产品说明</w:t>
      </w:r>
    </w:p>
    <w:tbl>
      <w:tblPr>
        <w:tblW w:w="8460" w:type="dxa"/>
        <w:tblInd w:w="108" w:type="dxa"/>
        <w:tblLook w:val="0000" w:firstRow="0" w:lastRow="0" w:firstColumn="0" w:lastColumn="0" w:noHBand="0" w:noVBand="0"/>
      </w:tblPr>
      <w:tblGrid>
        <w:gridCol w:w="2820"/>
        <w:gridCol w:w="5640"/>
      </w:tblGrid>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投资目标</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紧密跟踪标的指数，追求跟踪偏离度及跟踪误差的最小化。</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投资策略</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采取完全复制法进行投资，即按照创业板指数的成份股组成及权重构建股票投资组合。但是当指数编制方法变更、成份股发生变更、成份股权重由于自由流通量调整而发生变化、成份股派发现金股息、配股及增发、股票长期停牌、市场流动性不足等情况发生时，基金管理人将对投资组合进行优化，尽量降低跟踪误差。本基金力争将日均跟踪偏离度控制在</w:t>
            </w:r>
            <w:r w:rsidRPr="00B34368">
              <w:rPr>
                <w:rFonts w:eastAsiaTheme="minorEastAsia"/>
                <w:color w:val="000000" w:themeColor="text1"/>
                <w:sz w:val="24"/>
              </w:rPr>
              <w:t>0.2%</w:t>
            </w:r>
            <w:r w:rsidRPr="00B34368">
              <w:rPr>
                <w:rFonts w:eastAsiaTheme="minorEastAsia"/>
                <w:color w:val="000000" w:themeColor="text1"/>
                <w:sz w:val="24"/>
              </w:rPr>
              <w:t>以内，年化跟踪误差控制在</w:t>
            </w:r>
            <w:r w:rsidRPr="00B34368">
              <w:rPr>
                <w:rFonts w:eastAsiaTheme="minorEastAsia"/>
                <w:color w:val="000000" w:themeColor="text1"/>
                <w:sz w:val="24"/>
              </w:rPr>
              <w:t>2%</w:t>
            </w:r>
            <w:r w:rsidRPr="00B34368">
              <w:rPr>
                <w:rFonts w:eastAsiaTheme="minorEastAsia"/>
                <w:color w:val="000000" w:themeColor="text1"/>
                <w:sz w:val="24"/>
              </w:rPr>
              <w:t>以内。</w:t>
            </w:r>
            <w:r w:rsidRPr="00B34368">
              <w:rPr>
                <w:rFonts w:eastAsiaTheme="minorEastAsia"/>
                <w:color w:val="000000" w:themeColor="text1"/>
                <w:sz w:val="24"/>
              </w:rPr>
              <w:t xml:space="preserve"> </w:t>
            </w:r>
            <w:r w:rsidRPr="00B34368">
              <w:rPr>
                <w:rFonts w:eastAsiaTheme="minorEastAsia"/>
                <w:color w:val="000000" w:themeColor="text1"/>
                <w:sz w:val="24"/>
              </w:rPr>
              <w:t>本基金可以参与股指期货交易，但必须根据风险管理的原则，以套期保值为目的。</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业绩比较基准</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创业板指数</w:t>
            </w:r>
          </w:p>
        </w:tc>
      </w:tr>
      <w:tr w:rsidR="00D3639B" w:rsidRPr="00B34368" w:rsidTr="005472A0">
        <w:tc>
          <w:tcPr>
            <w:tcW w:w="282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风险收益特征</w:t>
            </w:r>
          </w:p>
        </w:tc>
        <w:tc>
          <w:tcPr>
            <w:tcW w:w="5640" w:type="dxa"/>
            <w:tcBorders>
              <w:top w:val="single" w:sz="8" w:space="0" w:color="000000"/>
              <w:left w:val="single" w:sz="8" w:space="0" w:color="000000"/>
              <w:bottom w:val="single" w:sz="8" w:space="0" w:color="000000"/>
              <w:right w:val="single" w:sz="8" w:space="0" w:color="000000"/>
            </w:tcBorders>
            <w:vAlign w:val="center"/>
          </w:tcPr>
          <w:p w:rsidR="002C32ED" w:rsidRPr="00B34368" w:rsidRDefault="002C32ED" w:rsidP="005472A0">
            <w:pPr>
              <w:jc w:val="left"/>
              <w:rPr>
                <w:rFonts w:eastAsiaTheme="minorEastAsia"/>
                <w:color w:val="000000" w:themeColor="text1"/>
                <w:sz w:val="24"/>
              </w:rPr>
            </w:pPr>
            <w:r w:rsidRPr="00B34368">
              <w:rPr>
                <w:rFonts w:eastAsiaTheme="minorEastAsia"/>
                <w:color w:val="000000" w:themeColor="text1"/>
                <w:sz w:val="24"/>
              </w:rPr>
              <w:t>本基金属股票型基金，预期风险与收益水平高于混合基金、债券基金与货币市场基金。本基金为指数型基金，采用完全复制法跟踪标的指数的表现，具有与标的指数相似的风险收益特征。</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§3  </w:t>
      </w:r>
      <w:r w:rsidRPr="00B34368">
        <w:rPr>
          <w:rFonts w:eastAsiaTheme="minorEastAsia" w:hAnsiTheme="minorEastAsia"/>
          <w:color w:val="000000" w:themeColor="text1"/>
          <w:kern w:val="0"/>
          <w:sz w:val="24"/>
          <w:szCs w:val="24"/>
        </w:rPr>
        <w:t>主要财务指标和基金净值表现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3.1 </w:t>
      </w:r>
      <w:r w:rsidRPr="00B34368">
        <w:rPr>
          <w:rFonts w:eastAsiaTheme="minorEastAsia" w:hAnsiTheme="minorEastAsia"/>
          <w:b/>
          <w:color w:val="000000" w:themeColor="text1"/>
          <w:kern w:val="0"/>
          <w:sz w:val="24"/>
        </w:rPr>
        <w:t>主要财务指标</w:t>
      </w:r>
    </w:p>
    <w:p w:rsidR="009238DB" w:rsidRPr="00B34368" w:rsidRDefault="009238DB" w:rsidP="00E27360">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D3639B" w:rsidRPr="00B34368" w:rsidTr="008B5312">
        <w:tc>
          <w:tcPr>
            <w:tcW w:w="3402" w:type="dxa"/>
            <w:vMerge w:val="restart"/>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主要财务指标</w:t>
            </w:r>
          </w:p>
        </w:tc>
        <w:tc>
          <w:tcPr>
            <w:tcW w:w="4962" w:type="dxa"/>
            <w:gridSpan w:val="2"/>
            <w:vAlign w:val="center"/>
          </w:tcPr>
          <w:p w:rsidR="002976E5"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报告期</w:t>
            </w:r>
          </w:p>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7</w:t>
            </w:r>
            <w:r w:rsidRPr="00B34368">
              <w:rPr>
                <w:rFonts w:eastAsiaTheme="minorEastAsia"/>
                <w:color w:val="000000" w:themeColor="text1"/>
                <w:sz w:val="24"/>
              </w:rPr>
              <w:t>月</w:t>
            </w:r>
            <w:r w:rsidRPr="00B34368">
              <w:rPr>
                <w:rFonts w:eastAsiaTheme="minorEastAsia"/>
                <w:color w:val="000000" w:themeColor="text1"/>
                <w:sz w:val="24"/>
              </w:rPr>
              <w:t>1</w:t>
            </w:r>
            <w:r w:rsidRPr="00B34368">
              <w:rPr>
                <w:rFonts w:eastAsiaTheme="minorEastAsia"/>
                <w:color w:val="000000" w:themeColor="text1"/>
                <w:sz w:val="24"/>
              </w:rPr>
              <w:t>日</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tc>
      </w:tr>
      <w:tr w:rsidR="00D3639B" w:rsidRPr="00B34368" w:rsidTr="008B5312">
        <w:tc>
          <w:tcPr>
            <w:tcW w:w="3402" w:type="dxa"/>
            <w:vMerge/>
            <w:vAlign w:val="center"/>
          </w:tcPr>
          <w:p w:rsidR="009E549D" w:rsidRPr="00B34368" w:rsidRDefault="009E549D" w:rsidP="00E205AA">
            <w:pPr>
              <w:adjustRightInd w:val="0"/>
              <w:spacing w:before="29" w:line="360" w:lineRule="auto"/>
              <w:ind w:left="17"/>
              <w:jc w:val="center"/>
              <w:rPr>
                <w:rFonts w:eastAsiaTheme="minorEastAsia"/>
                <w:color w:val="000000" w:themeColor="text1"/>
                <w:kern w:val="0"/>
                <w:sz w:val="24"/>
              </w:rPr>
            </w:pPr>
          </w:p>
        </w:tc>
        <w:tc>
          <w:tcPr>
            <w:tcW w:w="2481" w:type="dxa"/>
            <w:vAlign w:val="center"/>
          </w:tcPr>
          <w:p w:rsidR="009E549D" w:rsidRPr="00B34368" w:rsidRDefault="009E549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易方达创业板</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481" w:type="dxa"/>
            <w:vAlign w:val="center"/>
          </w:tcPr>
          <w:p w:rsidR="009E549D" w:rsidRPr="00B34368" w:rsidRDefault="00FE7FBD" w:rsidP="00E205AA">
            <w:pPr>
              <w:adjustRightInd w:val="0"/>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易方达创业板</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73B57">
        <w:tc>
          <w:tcPr>
            <w:tcW w:w="3402" w:type="dxa"/>
          </w:tcPr>
          <w:p w:rsidR="005F293E" w:rsidRPr="00B34368" w:rsidRDefault="005F293E" w:rsidP="00973B57">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1.</w:t>
            </w:r>
            <w:r w:rsidRPr="00B34368">
              <w:rPr>
                <w:rFonts w:eastAsiaTheme="minorEastAsia" w:hAnsiTheme="minorEastAsia"/>
                <w:color w:val="000000" w:themeColor="text1"/>
                <w:kern w:val="0"/>
                <w:sz w:val="24"/>
              </w:rPr>
              <w:t>本期已实现收益</w:t>
            </w:r>
          </w:p>
        </w:tc>
        <w:tc>
          <w:tcPr>
            <w:tcW w:w="2481" w:type="dxa"/>
            <w:vAlign w:val="bottom"/>
          </w:tcPr>
          <w:p w:rsidR="005F293E" w:rsidRPr="00B34368" w:rsidRDefault="005F293E" w:rsidP="00973B57">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54,754,330.50</w:t>
            </w:r>
          </w:p>
        </w:tc>
        <w:tc>
          <w:tcPr>
            <w:tcW w:w="2481" w:type="dxa"/>
            <w:vAlign w:val="bottom"/>
          </w:tcPr>
          <w:p w:rsidR="005F293E" w:rsidRPr="00B34368" w:rsidRDefault="00FE7FBD" w:rsidP="0037768B">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19,897,438.78</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2.</w:t>
            </w:r>
            <w:r w:rsidRPr="00B34368">
              <w:rPr>
                <w:rFonts w:eastAsiaTheme="minorEastAsia" w:hAnsiTheme="minorEastAsia"/>
                <w:color w:val="000000" w:themeColor="text1"/>
                <w:kern w:val="0"/>
                <w:sz w:val="24"/>
              </w:rPr>
              <w:t>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356,979,806.13</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116,653,472.97</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lastRenderedPageBreak/>
              <w:t>3.</w:t>
            </w:r>
            <w:r w:rsidRPr="00B34368">
              <w:rPr>
                <w:rFonts w:eastAsiaTheme="minorEastAsia" w:hAnsiTheme="minorEastAsia"/>
                <w:color w:val="000000" w:themeColor="text1"/>
                <w:kern w:val="0"/>
                <w:sz w:val="24"/>
              </w:rPr>
              <w:t>加权平均基金份额本期利润</w:t>
            </w:r>
          </w:p>
        </w:tc>
        <w:tc>
          <w:tcPr>
            <w:tcW w:w="2481" w:type="dxa"/>
            <w:vAlign w:val="bottom"/>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0.1228</w:t>
            </w:r>
          </w:p>
        </w:tc>
        <w:tc>
          <w:tcPr>
            <w:tcW w:w="2481" w:type="dxa"/>
            <w:vAlign w:val="bottom"/>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0.1152</w:t>
            </w:r>
          </w:p>
        </w:tc>
      </w:tr>
      <w:tr w:rsidR="00D3639B" w:rsidRPr="00B34368" w:rsidTr="009A5C1D">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4.</w:t>
            </w:r>
            <w:r w:rsidRPr="00B34368">
              <w:rPr>
                <w:rFonts w:eastAsiaTheme="minorEastAsia" w:hAnsiTheme="minorEastAsia"/>
                <w:color w:val="000000" w:themeColor="text1"/>
                <w:kern w:val="0"/>
                <w:sz w:val="24"/>
              </w:rPr>
              <w:t>期末基金资产净值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4,134,466,770.31</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1,718,149,459.25</w:t>
            </w:r>
          </w:p>
        </w:tc>
      </w:tr>
      <w:tr w:rsidR="00D3639B" w:rsidRPr="00B34368" w:rsidTr="009A5C1D">
        <w:trPr>
          <w:trHeight w:val="158"/>
        </w:trPr>
        <w:tc>
          <w:tcPr>
            <w:tcW w:w="3402" w:type="dxa"/>
          </w:tcPr>
          <w:p w:rsidR="005F293E" w:rsidRPr="00B34368" w:rsidRDefault="005F293E" w:rsidP="00E205AA">
            <w:pPr>
              <w:adjustRightInd w:val="0"/>
              <w:spacing w:before="29" w:line="360" w:lineRule="auto"/>
              <w:ind w:left="17"/>
              <w:rPr>
                <w:rFonts w:eastAsiaTheme="minorEastAsia"/>
                <w:color w:val="000000" w:themeColor="text1"/>
                <w:kern w:val="0"/>
                <w:sz w:val="24"/>
              </w:rPr>
            </w:pPr>
            <w:r w:rsidRPr="00B34368">
              <w:rPr>
                <w:rFonts w:eastAsiaTheme="minorEastAsia"/>
                <w:color w:val="000000" w:themeColor="text1"/>
                <w:kern w:val="0"/>
                <w:sz w:val="24"/>
              </w:rPr>
              <w:t>5.</w:t>
            </w:r>
            <w:r w:rsidRPr="00B34368">
              <w:rPr>
                <w:rFonts w:eastAsiaTheme="minorEastAsia" w:hAnsiTheme="minorEastAsia"/>
                <w:color w:val="000000" w:themeColor="text1"/>
                <w:kern w:val="0"/>
                <w:sz w:val="24"/>
              </w:rPr>
              <w:t>期末基金份额净值</w:t>
            </w:r>
          </w:p>
        </w:tc>
        <w:tc>
          <w:tcPr>
            <w:tcW w:w="2481" w:type="dxa"/>
          </w:tcPr>
          <w:p w:rsidR="005F293E" w:rsidRPr="00B34368" w:rsidRDefault="005F293E"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1.6890</w:t>
            </w:r>
          </w:p>
        </w:tc>
        <w:tc>
          <w:tcPr>
            <w:tcW w:w="2481" w:type="dxa"/>
          </w:tcPr>
          <w:p w:rsidR="005F293E" w:rsidRPr="00B34368" w:rsidRDefault="00FE7FBD" w:rsidP="004A67B0">
            <w:pPr>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1.6805</w:t>
            </w:r>
          </w:p>
        </w:tc>
      </w:tr>
    </w:tbl>
    <w:p w:rsidR="0044553C" w:rsidRDefault="00276810">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所述基金业绩指标不包括持有人认购或交易基金的各项费用，计入费用后实际收益水平要低于所列数字。</w:t>
      </w:r>
    </w:p>
    <w:p w:rsidR="009238DB" w:rsidRPr="00B34368" w:rsidRDefault="005E01A3"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本期已实现收益指基金本期利息收入、投资收益、其他收入（不含公允价值变动收益）扣除相关费用后的余额，本期利润为本期已实现收益加上本期公允价值变动收益。</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3.2 </w:t>
      </w:r>
      <w:r w:rsidRPr="00B34368">
        <w:rPr>
          <w:rFonts w:eastAsiaTheme="minorEastAsia" w:hAnsiTheme="minorEastAsia"/>
          <w:b/>
          <w:color w:val="000000" w:themeColor="text1"/>
          <w:kern w:val="0"/>
          <w:sz w:val="24"/>
        </w:rPr>
        <w:t>基金净值表现</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3.2.1</w:t>
      </w:r>
      <w:r w:rsidRPr="00B34368">
        <w:rPr>
          <w:rFonts w:eastAsiaTheme="minorEastAsia" w:hAnsiTheme="minorEastAsia"/>
          <w:b/>
          <w:color w:val="000000" w:themeColor="text1"/>
          <w:kern w:val="0"/>
          <w:sz w:val="24"/>
        </w:rPr>
        <w:t>本报告期基金份额净值增长率及其与同期业绩比较基准收益率的比较</w:t>
      </w:r>
    </w:p>
    <w:p w:rsidR="009238DB" w:rsidRPr="00B34368" w:rsidRDefault="00A5643A" w:rsidP="00FC13C8">
      <w:pPr>
        <w:spacing w:line="360" w:lineRule="auto"/>
        <w:rPr>
          <w:rFonts w:eastAsiaTheme="minorEastAsia"/>
          <w:b/>
          <w:color w:val="000000" w:themeColor="text1"/>
          <w:sz w:val="24"/>
        </w:rPr>
      </w:pPr>
      <w:r w:rsidRPr="00B34368">
        <w:rPr>
          <w:rFonts w:eastAsiaTheme="minorEastAsia"/>
          <w:b/>
          <w:color w:val="000000" w:themeColor="text1"/>
          <w:kern w:val="0"/>
          <w:sz w:val="24"/>
        </w:rPr>
        <w:t>易方达创业板</w:t>
      </w:r>
      <w:r w:rsidRPr="00B34368">
        <w:rPr>
          <w:rFonts w:eastAsiaTheme="minorEastAsia"/>
          <w:b/>
          <w:color w:val="000000" w:themeColor="text1"/>
          <w:kern w:val="0"/>
          <w:sz w:val="24"/>
        </w:rPr>
        <w:t>ETF</w:t>
      </w:r>
      <w:r w:rsidRPr="00B34368">
        <w:rPr>
          <w:rFonts w:eastAsiaTheme="minorEastAsia"/>
          <w:b/>
          <w:color w:val="000000" w:themeColor="text1"/>
          <w:kern w:val="0"/>
          <w:sz w:val="24"/>
        </w:rPr>
        <w:t>联接</w:t>
      </w:r>
      <w:r w:rsidRPr="00B34368">
        <w:rPr>
          <w:rFonts w:eastAsiaTheme="minorEastAsia"/>
          <w:b/>
          <w:color w:val="000000" w:themeColor="text1"/>
          <w:kern w:val="0"/>
          <w:sz w:val="24"/>
        </w:rPr>
        <w:t>A</w:t>
      </w:r>
      <w:r w:rsidR="009238DB" w:rsidRPr="00B34368">
        <w:rPr>
          <w:rFonts w:eastAsiaTheme="minorEastAsia" w:hAnsiTheme="minorEastAsia"/>
          <w:b/>
          <w:color w:val="000000" w:themeColor="text1"/>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44553C">
        <w:tc>
          <w:tcPr>
            <w:tcW w:w="1290" w:type="dxa"/>
            <w:vAlign w:val="center"/>
          </w:tcPr>
          <w:p w:rsidR="0044553C" w:rsidRDefault="00276810">
            <w:pPr>
              <w:jc w:val="left"/>
            </w:pPr>
            <w:r>
              <w:rPr>
                <w:rFonts w:eastAsiaTheme="minorEastAsia"/>
                <w:color w:val="000000" w:themeColor="text1"/>
                <w:sz w:val="24"/>
              </w:rPr>
              <w:t>过去三个月</w:t>
            </w:r>
          </w:p>
        </w:tc>
        <w:tc>
          <w:tcPr>
            <w:tcW w:w="1291" w:type="dxa"/>
            <w:vAlign w:val="center"/>
          </w:tcPr>
          <w:p w:rsidR="0044553C" w:rsidRDefault="00276810">
            <w:pPr>
              <w:jc w:val="right"/>
            </w:pPr>
            <w:r>
              <w:rPr>
                <w:rFonts w:eastAsiaTheme="minorEastAsia"/>
                <w:color w:val="000000" w:themeColor="text1"/>
                <w:sz w:val="24"/>
              </w:rPr>
              <w:t>7.29%</w:t>
            </w:r>
          </w:p>
        </w:tc>
        <w:tc>
          <w:tcPr>
            <w:tcW w:w="1291" w:type="dxa"/>
            <w:vAlign w:val="center"/>
          </w:tcPr>
          <w:p w:rsidR="0044553C" w:rsidRDefault="00276810">
            <w:pPr>
              <w:jc w:val="right"/>
            </w:pPr>
            <w:r>
              <w:rPr>
                <w:rFonts w:eastAsiaTheme="minorEastAsia"/>
                <w:color w:val="000000" w:themeColor="text1"/>
                <w:sz w:val="24"/>
              </w:rPr>
              <w:t>1.27%</w:t>
            </w:r>
          </w:p>
        </w:tc>
        <w:tc>
          <w:tcPr>
            <w:tcW w:w="1291" w:type="dxa"/>
            <w:vAlign w:val="center"/>
          </w:tcPr>
          <w:p w:rsidR="0044553C" w:rsidRDefault="00276810">
            <w:pPr>
              <w:jc w:val="right"/>
            </w:pPr>
            <w:r>
              <w:rPr>
                <w:rFonts w:eastAsiaTheme="minorEastAsia"/>
                <w:color w:val="000000" w:themeColor="text1"/>
                <w:sz w:val="24"/>
              </w:rPr>
              <w:t>7.31%</w:t>
            </w:r>
          </w:p>
        </w:tc>
        <w:tc>
          <w:tcPr>
            <w:tcW w:w="1291" w:type="dxa"/>
            <w:vAlign w:val="center"/>
          </w:tcPr>
          <w:p w:rsidR="0044553C" w:rsidRDefault="00276810">
            <w:pPr>
              <w:jc w:val="right"/>
            </w:pPr>
            <w:r>
              <w:rPr>
                <w:rFonts w:eastAsiaTheme="minorEastAsia"/>
                <w:color w:val="000000" w:themeColor="text1"/>
                <w:sz w:val="24"/>
              </w:rPr>
              <w:t>1.28%</w:t>
            </w:r>
          </w:p>
        </w:tc>
        <w:tc>
          <w:tcPr>
            <w:tcW w:w="1291" w:type="dxa"/>
            <w:vAlign w:val="center"/>
          </w:tcPr>
          <w:p w:rsidR="0044553C" w:rsidRDefault="00276810">
            <w:pPr>
              <w:jc w:val="right"/>
            </w:pPr>
            <w:r>
              <w:rPr>
                <w:rFonts w:eastAsiaTheme="minorEastAsia"/>
                <w:color w:val="000000" w:themeColor="text1"/>
                <w:sz w:val="24"/>
              </w:rPr>
              <w:t>-0.02%</w:t>
            </w:r>
          </w:p>
        </w:tc>
        <w:tc>
          <w:tcPr>
            <w:tcW w:w="1291" w:type="dxa"/>
            <w:vAlign w:val="center"/>
          </w:tcPr>
          <w:p w:rsidR="0044553C" w:rsidRDefault="00276810">
            <w:pPr>
              <w:jc w:val="right"/>
            </w:pPr>
            <w:r>
              <w:rPr>
                <w:rFonts w:eastAsiaTheme="minorEastAsia"/>
                <w:color w:val="000000" w:themeColor="text1"/>
                <w:sz w:val="24"/>
              </w:rPr>
              <w:t>-0.01%</w:t>
            </w:r>
          </w:p>
        </w:tc>
      </w:tr>
    </w:tbl>
    <w:p w:rsidR="009238DB" w:rsidRPr="00B34368" w:rsidRDefault="00FE7FBD" w:rsidP="00C544B8">
      <w:pPr>
        <w:adjustRightInd w:val="0"/>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易方达创业板</w:t>
      </w:r>
      <w:r w:rsidRPr="00B34368">
        <w:rPr>
          <w:rFonts w:eastAsiaTheme="minorEastAsia"/>
          <w:b/>
          <w:color w:val="000000" w:themeColor="text1"/>
          <w:kern w:val="0"/>
          <w:sz w:val="24"/>
        </w:rPr>
        <w:t>ETF</w:t>
      </w:r>
      <w:r w:rsidRPr="00B34368">
        <w:rPr>
          <w:rFonts w:eastAsiaTheme="minorEastAsia"/>
          <w:b/>
          <w:color w:val="000000" w:themeColor="text1"/>
          <w:kern w:val="0"/>
          <w:sz w:val="24"/>
        </w:rPr>
        <w:t>联接</w:t>
      </w:r>
      <w:r w:rsidRPr="00B34368">
        <w:rPr>
          <w:rFonts w:eastAsiaTheme="minorEastAsia"/>
          <w:b/>
          <w:color w:val="000000" w:themeColor="text1"/>
          <w:kern w:val="0"/>
          <w:sz w:val="24"/>
        </w:rPr>
        <w:t>C</w:t>
      </w:r>
      <w:r w:rsidR="009238DB" w:rsidRPr="00B34368">
        <w:rPr>
          <w:rFonts w:eastAsiaTheme="minorEastAsia" w:hAnsiTheme="minorEastAsia"/>
          <w:b/>
          <w:color w:val="000000" w:themeColor="text1"/>
          <w:kern w:val="0"/>
          <w:sz w:val="24"/>
        </w:rPr>
        <w:t>：</w:t>
      </w:r>
    </w:p>
    <w:tbl>
      <w:tblPr>
        <w:tblStyle w:val="af2"/>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D3639B" w:rsidRPr="00B34368" w:rsidTr="00975D18">
        <w:tc>
          <w:tcPr>
            <w:tcW w:w="1290"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阶段</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净值增长率①</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highlight w:val="green"/>
              </w:rPr>
            </w:pPr>
            <w:r w:rsidRPr="00B34368">
              <w:rPr>
                <w:rFonts w:eastAsiaTheme="minorEastAsia" w:hAnsiTheme="minorEastAsia"/>
                <w:color w:val="000000" w:themeColor="text1"/>
                <w:sz w:val="24"/>
              </w:rPr>
              <w:t>净值增长率标准差②</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业绩比较基准收益率标准差④</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①－③</w:t>
            </w:r>
          </w:p>
        </w:tc>
        <w:tc>
          <w:tcPr>
            <w:tcW w:w="1291" w:type="dxa"/>
            <w:vAlign w:val="center"/>
          </w:tcPr>
          <w:p w:rsidR="00685FFC" w:rsidRPr="00B34368" w:rsidRDefault="00685FFC" w:rsidP="009A045B">
            <w:pPr>
              <w:snapToGrid w:val="0"/>
              <w:spacing w:line="288" w:lineRule="auto"/>
              <w:jc w:val="center"/>
              <w:rPr>
                <w:rFonts w:eastAsiaTheme="minorEastAsia"/>
                <w:color w:val="000000" w:themeColor="text1"/>
                <w:sz w:val="24"/>
              </w:rPr>
            </w:pPr>
            <w:r w:rsidRPr="00B34368">
              <w:rPr>
                <w:rFonts w:eastAsiaTheme="minorEastAsia" w:hAnsiTheme="minorEastAsia"/>
                <w:color w:val="000000" w:themeColor="text1"/>
                <w:sz w:val="24"/>
              </w:rPr>
              <w:t>②－④</w:t>
            </w:r>
          </w:p>
        </w:tc>
      </w:tr>
      <w:tr w:rsidR="0044553C">
        <w:tc>
          <w:tcPr>
            <w:tcW w:w="1290" w:type="dxa"/>
            <w:vAlign w:val="center"/>
          </w:tcPr>
          <w:p w:rsidR="0044553C" w:rsidRDefault="00276810">
            <w:pPr>
              <w:jc w:val="left"/>
            </w:pPr>
            <w:r>
              <w:rPr>
                <w:rFonts w:eastAsiaTheme="minorEastAsia"/>
                <w:color w:val="000000" w:themeColor="text1"/>
                <w:sz w:val="24"/>
              </w:rPr>
              <w:t>过去三个月</w:t>
            </w:r>
          </w:p>
        </w:tc>
        <w:tc>
          <w:tcPr>
            <w:tcW w:w="1291" w:type="dxa"/>
            <w:vAlign w:val="center"/>
          </w:tcPr>
          <w:p w:rsidR="0044553C" w:rsidRDefault="00276810">
            <w:pPr>
              <w:jc w:val="right"/>
            </w:pPr>
            <w:r>
              <w:rPr>
                <w:rFonts w:eastAsiaTheme="minorEastAsia"/>
                <w:color w:val="000000" w:themeColor="text1"/>
                <w:sz w:val="24"/>
              </w:rPr>
              <w:t>7.17%</w:t>
            </w:r>
          </w:p>
        </w:tc>
        <w:tc>
          <w:tcPr>
            <w:tcW w:w="1291" w:type="dxa"/>
            <w:vAlign w:val="center"/>
          </w:tcPr>
          <w:p w:rsidR="0044553C" w:rsidRDefault="00276810">
            <w:pPr>
              <w:jc w:val="right"/>
            </w:pPr>
            <w:r>
              <w:rPr>
                <w:rFonts w:eastAsiaTheme="minorEastAsia"/>
                <w:color w:val="000000" w:themeColor="text1"/>
                <w:sz w:val="24"/>
              </w:rPr>
              <w:t>1.27%</w:t>
            </w:r>
          </w:p>
        </w:tc>
        <w:tc>
          <w:tcPr>
            <w:tcW w:w="1291" w:type="dxa"/>
            <w:vAlign w:val="center"/>
          </w:tcPr>
          <w:p w:rsidR="0044553C" w:rsidRDefault="00276810">
            <w:pPr>
              <w:jc w:val="right"/>
            </w:pPr>
            <w:r>
              <w:rPr>
                <w:rFonts w:eastAsiaTheme="minorEastAsia"/>
                <w:color w:val="000000" w:themeColor="text1"/>
                <w:sz w:val="24"/>
              </w:rPr>
              <w:t>7.31%</w:t>
            </w:r>
          </w:p>
        </w:tc>
        <w:tc>
          <w:tcPr>
            <w:tcW w:w="1291" w:type="dxa"/>
            <w:vAlign w:val="center"/>
          </w:tcPr>
          <w:p w:rsidR="0044553C" w:rsidRDefault="00276810">
            <w:pPr>
              <w:jc w:val="right"/>
            </w:pPr>
            <w:r>
              <w:rPr>
                <w:rFonts w:eastAsiaTheme="minorEastAsia"/>
                <w:color w:val="000000" w:themeColor="text1"/>
                <w:sz w:val="24"/>
              </w:rPr>
              <w:t>1.28%</w:t>
            </w:r>
          </w:p>
        </w:tc>
        <w:tc>
          <w:tcPr>
            <w:tcW w:w="1291" w:type="dxa"/>
            <w:vAlign w:val="center"/>
          </w:tcPr>
          <w:p w:rsidR="0044553C" w:rsidRDefault="00276810">
            <w:pPr>
              <w:jc w:val="right"/>
            </w:pPr>
            <w:r>
              <w:rPr>
                <w:rFonts w:eastAsiaTheme="minorEastAsia"/>
                <w:color w:val="000000" w:themeColor="text1"/>
                <w:sz w:val="24"/>
              </w:rPr>
              <w:t>-0.14%</w:t>
            </w:r>
          </w:p>
        </w:tc>
        <w:tc>
          <w:tcPr>
            <w:tcW w:w="1291" w:type="dxa"/>
            <w:vAlign w:val="center"/>
          </w:tcPr>
          <w:p w:rsidR="0044553C" w:rsidRDefault="00276810">
            <w:pPr>
              <w:jc w:val="right"/>
            </w:pPr>
            <w:r>
              <w:rPr>
                <w:rFonts w:eastAsiaTheme="minorEastAsia"/>
                <w:color w:val="000000" w:themeColor="text1"/>
                <w:sz w:val="24"/>
              </w:rPr>
              <w:t>-0.01%</w:t>
            </w:r>
          </w:p>
        </w:tc>
      </w:tr>
    </w:tbl>
    <w:p w:rsidR="009238DB" w:rsidRPr="00B34368" w:rsidRDefault="009238DB" w:rsidP="00C544B8">
      <w:pPr>
        <w:spacing w:beforeLines="100" w:before="312" w:line="360" w:lineRule="auto"/>
        <w:rPr>
          <w:rFonts w:eastAsiaTheme="minorEastAsia"/>
          <w:b/>
          <w:color w:val="000000" w:themeColor="text1"/>
          <w:kern w:val="0"/>
          <w:sz w:val="24"/>
        </w:rPr>
      </w:pPr>
      <w:r w:rsidRPr="00B34368">
        <w:rPr>
          <w:rFonts w:eastAsiaTheme="minorEastAsia"/>
          <w:b/>
          <w:color w:val="000000" w:themeColor="text1"/>
          <w:kern w:val="0"/>
          <w:sz w:val="24"/>
        </w:rPr>
        <w:t>3.2.2</w:t>
      </w:r>
      <w:r w:rsidRPr="00B34368">
        <w:rPr>
          <w:rFonts w:eastAsiaTheme="minorEastAsia" w:hAnsiTheme="minorEastAsia"/>
          <w:b/>
          <w:color w:val="000000" w:themeColor="text1"/>
          <w:kern w:val="0"/>
          <w:sz w:val="24"/>
        </w:rPr>
        <w:t xml:space="preserve">　</w:t>
      </w:r>
      <w:r w:rsidR="00052972" w:rsidRPr="00052972">
        <w:rPr>
          <w:rFonts w:eastAsiaTheme="minorEastAsia" w:hAnsiTheme="minorEastAsia" w:hint="eastAsia"/>
          <w:b/>
          <w:color w:val="000000" w:themeColor="text1"/>
          <w:sz w:val="24"/>
        </w:rPr>
        <w:t>自基金合同生效以来</w:t>
      </w:r>
      <w:r w:rsidR="00BF57BE" w:rsidRPr="00B34368">
        <w:rPr>
          <w:rFonts w:eastAsiaTheme="minorEastAsia" w:hAnsiTheme="minorEastAsia"/>
          <w:b/>
          <w:color w:val="000000" w:themeColor="text1"/>
          <w:sz w:val="24"/>
        </w:rPr>
        <w:t>基金累计净值增长率变动及其与同期业绩比较基准收益率变动的比较</w:t>
      </w:r>
    </w:p>
    <w:p w:rsidR="009A045B" w:rsidRPr="00B34368" w:rsidRDefault="009A045B" w:rsidP="00FC13C8">
      <w:pPr>
        <w:spacing w:line="360" w:lineRule="auto"/>
        <w:jc w:val="center"/>
        <w:rPr>
          <w:rFonts w:eastAsiaTheme="minorEastAsia"/>
          <w:color w:val="000000" w:themeColor="text1"/>
          <w:sz w:val="24"/>
        </w:rPr>
      </w:pPr>
      <w:r w:rsidRPr="00B34368">
        <w:rPr>
          <w:rFonts w:eastAsiaTheme="minorEastAsia"/>
          <w:color w:val="000000" w:themeColor="text1"/>
          <w:sz w:val="24"/>
        </w:rPr>
        <w:t>易方达创业板交易型开放式指数证券投资基金联接基金</w:t>
      </w:r>
    </w:p>
    <w:p w:rsidR="00022396" w:rsidRPr="00B34368" w:rsidRDefault="00022396" w:rsidP="00FC13C8">
      <w:pPr>
        <w:pStyle w:val="a5"/>
        <w:snapToGrid w:val="0"/>
        <w:spacing w:line="360" w:lineRule="auto"/>
        <w:jc w:val="center"/>
        <w:rPr>
          <w:rFonts w:ascii="Times New Roman" w:eastAsiaTheme="minorEastAsia" w:hAnsi="Times New Roman"/>
          <w:color w:val="000000" w:themeColor="text1"/>
          <w:sz w:val="24"/>
          <w:szCs w:val="24"/>
        </w:rPr>
      </w:pPr>
      <w:r w:rsidRPr="00B34368">
        <w:rPr>
          <w:rFonts w:ascii="Times New Roman" w:eastAsiaTheme="minorEastAsia" w:hAnsiTheme="minorEastAsia"/>
          <w:color w:val="000000" w:themeColor="text1"/>
          <w:sz w:val="24"/>
          <w:szCs w:val="24"/>
        </w:rPr>
        <w:t>累计净值增长率与业绩比较基准收益率的历史走势对比图</w:t>
      </w:r>
    </w:p>
    <w:p w:rsidR="003C67C6" w:rsidRDefault="0042785F" w:rsidP="00FC13C8">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易方达创业板</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r w:rsidR="009238DB" w:rsidRPr="00B34368">
        <w:rPr>
          <w:rFonts w:eastAsiaTheme="minorEastAsia" w:hAnsiTheme="minorEastAsia"/>
          <w:color w:val="000000" w:themeColor="text1"/>
          <w:sz w:val="24"/>
        </w:rPr>
        <w:t>：</w:t>
      </w:r>
    </w:p>
    <w:p w:rsidR="009238DB" w:rsidRPr="00B34368" w:rsidRDefault="003C67C6" w:rsidP="003C67C6">
      <w:pPr>
        <w:snapToGrid w:val="0"/>
        <w:spacing w:line="360" w:lineRule="auto"/>
        <w:jc w:val="center"/>
        <w:rPr>
          <w:rFonts w:eastAsiaTheme="minorEastAsia"/>
          <w:color w:val="000000" w:themeColor="text1"/>
          <w:sz w:val="24"/>
        </w:rPr>
      </w:pPr>
      <w:r w:rsidRPr="00B34368">
        <w:rPr>
          <w:rFonts w:eastAsiaTheme="minorEastAsia"/>
          <w:color w:val="000000" w:themeColor="text1"/>
          <w:sz w:val="24"/>
        </w:rPr>
        <w:t>(2011</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20</w:t>
      </w:r>
      <w:r w:rsidRPr="00B34368">
        <w:rPr>
          <w:rFonts w:eastAsiaTheme="minorEastAsia"/>
          <w:color w:val="000000" w:themeColor="text1"/>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6F5B4C"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lastRenderedPageBreak/>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3C67C6" w:rsidRDefault="00FE7FBD" w:rsidP="003C67C6">
      <w:pPr>
        <w:snapToGrid w:val="0"/>
        <w:spacing w:line="360" w:lineRule="auto"/>
        <w:rPr>
          <w:rFonts w:eastAsiaTheme="minorEastAsia" w:hAnsiTheme="minorEastAsia"/>
          <w:color w:val="000000" w:themeColor="text1"/>
          <w:sz w:val="24"/>
        </w:rPr>
      </w:pPr>
      <w:r w:rsidRPr="00B34368">
        <w:rPr>
          <w:rFonts w:eastAsiaTheme="minorEastAsia"/>
          <w:color w:val="000000" w:themeColor="text1"/>
          <w:sz w:val="24"/>
        </w:rPr>
        <w:t>易方达创业板</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r w:rsidR="0042785F" w:rsidRPr="00B34368">
        <w:rPr>
          <w:rFonts w:eastAsiaTheme="minorEastAsia" w:hAnsiTheme="minorEastAsia"/>
          <w:color w:val="000000" w:themeColor="text1"/>
          <w:sz w:val="24"/>
        </w:rPr>
        <w:t>：</w:t>
      </w:r>
    </w:p>
    <w:p w:rsidR="009238DB" w:rsidRPr="00B34368" w:rsidRDefault="003C67C6" w:rsidP="003C67C6">
      <w:pPr>
        <w:snapToGrid w:val="0"/>
        <w:spacing w:beforeLines="100" w:before="312" w:line="360" w:lineRule="auto"/>
        <w:jc w:val="center"/>
        <w:rPr>
          <w:rFonts w:eastAsiaTheme="minorEastAsia"/>
          <w:color w:val="000000" w:themeColor="text1"/>
          <w:sz w:val="24"/>
        </w:rPr>
      </w:pPr>
      <w:r w:rsidRPr="00B34368">
        <w:rPr>
          <w:rFonts w:eastAsiaTheme="minorEastAsia"/>
          <w:color w:val="000000" w:themeColor="text1"/>
          <w:sz w:val="24"/>
        </w:rPr>
        <w:t>(</w:t>
      </w:r>
      <w:r>
        <w:rPr>
          <w:rFonts w:eastAsiaTheme="minorEastAsia" w:hint="eastAsia"/>
          <w:color w:val="000000" w:themeColor="text1"/>
          <w:sz w:val="24"/>
        </w:rPr>
        <w:t>2017</w:t>
      </w:r>
      <w:r>
        <w:rPr>
          <w:rFonts w:eastAsiaTheme="minorEastAsia" w:hint="eastAsia"/>
          <w:color w:val="000000" w:themeColor="text1"/>
          <w:sz w:val="24"/>
        </w:rPr>
        <w:t>年</w:t>
      </w:r>
      <w:r>
        <w:rPr>
          <w:rFonts w:eastAsiaTheme="minorEastAsia" w:hint="eastAsia"/>
          <w:color w:val="000000" w:themeColor="text1"/>
          <w:sz w:val="24"/>
        </w:rPr>
        <w:t>6</w:t>
      </w:r>
      <w:r>
        <w:rPr>
          <w:rFonts w:eastAsiaTheme="minorEastAsia" w:hint="eastAsia"/>
          <w:color w:val="000000" w:themeColor="text1"/>
          <w:sz w:val="24"/>
        </w:rPr>
        <w:t>月</w:t>
      </w:r>
      <w:r>
        <w:rPr>
          <w:rFonts w:eastAsiaTheme="minorEastAsia" w:hint="eastAsia"/>
          <w:color w:val="000000" w:themeColor="text1"/>
          <w:sz w:val="24"/>
        </w:rPr>
        <w:t>5</w:t>
      </w:r>
      <w:r>
        <w:rPr>
          <w:rFonts w:eastAsiaTheme="minorEastAsia" w:hint="eastAsia"/>
          <w:color w:val="000000" w:themeColor="text1"/>
          <w:sz w:val="24"/>
        </w:rPr>
        <w:t>日</w:t>
      </w:r>
      <w:r w:rsidRPr="00B34368">
        <w:rPr>
          <w:rFonts w:eastAsiaTheme="minorEastAsia" w:hAnsiTheme="minorEastAsia"/>
          <w:color w:val="000000" w:themeColor="text1"/>
          <w:sz w:val="24"/>
        </w:rPr>
        <w:t>至</w:t>
      </w:r>
      <w:r w:rsidRPr="00B34368">
        <w:rPr>
          <w:rFonts w:eastAsiaTheme="minorEastAsia"/>
          <w:color w:val="000000" w:themeColor="text1"/>
          <w:sz w:val="24"/>
        </w:rPr>
        <w:t>2019</w:t>
      </w:r>
      <w:r w:rsidRPr="00B34368">
        <w:rPr>
          <w:rFonts w:eastAsiaTheme="minorEastAsia"/>
          <w:color w:val="000000" w:themeColor="text1"/>
          <w:sz w:val="24"/>
        </w:rPr>
        <w:t>年</w:t>
      </w:r>
      <w:r w:rsidRPr="00B34368">
        <w:rPr>
          <w:rFonts w:eastAsiaTheme="minorEastAsia"/>
          <w:color w:val="000000" w:themeColor="text1"/>
          <w:sz w:val="24"/>
        </w:rPr>
        <w:t>9</w:t>
      </w:r>
      <w:r w:rsidRPr="00B34368">
        <w:rPr>
          <w:rFonts w:eastAsiaTheme="minorEastAsia"/>
          <w:color w:val="000000" w:themeColor="text1"/>
          <w:sz w:val="24"/>
        </w:rPr>
        <w:t>月</w:t>
      </w:r>
      <w:r w:rsidRPr="00B34368">
        <w:rPr>
          <w:rFonts w:eastAsiaTheme="minorEastAsia"/>
          <w:color w:val="000000" w:themeColor="text1"/>
          <w:sz w:val="24"/>
        </w:rPr>
        <w:t>30</w:t>
      </w:r>
      <w:r w:rsidRPr="00B34368">
        <w:rPr>
          <w:rFonts w:eastAsiaTheme="minorEastAsia"/>
          <w:color w:val="000000" w:themeColor="text1"/>
          <w:sz w:val="24"/>
        </w:rPr>
        <w:t>日</w:t>
      </w:r>
      <w:r w:rsidRPr="00B34368">
        <w:rPr>
          <w:rFonts w:eastAsiaTheme="minorEastAsia"/>
          <w:color w:val="000000" w:themeColor="text1"/>
          <w:sz w:val="24"/>
        </w:rPr>
        <w:t>)</w:t>
      </w:r>
    </w:p>
    <w:p w:rsidR="00FC7F43" w:rsidRPr="00B34368" w:rsidRDefault="00B70229" w:rsidP="00FC7F43">
      <w:pPr>
        <w:pStyle w:val="20"/>
        <w:spacing w:line="288" w:lineRule="auto"/>
        <w:ind w:firstLineChars="0" w:firstLine="0"/>
        <w:jc w:val="center"/>
        <w:rPr>
          <w:rFonts w:ascii="Times New Roman" w:eastAsiaTheme="minorEastAsia" w:hAnsi="Times New Roman"/>
          <w:color w:val="000000" w:themeColor="text1"/>
        </w:rPr>
      </w:pPr>
      <w:r w:rsidRPr="00B34368">
        <w:rPr>
          <w:rFonts w:ascii="Times New Roman" w:eastAsiaTheme="minorEastAsia"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自</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w:t>
      </w:r>
      <w:r>
        <w:rPr>
          <w:rFonts w:eastAsiaTheme="minorEastAsia"/>
          <w:color w:val="000000" w:themeColor="text1"/>
          <w:sz w:val="24"/>
        </w:rPr>
        <w:t>2</w:t>
      </w:r>
      <w:r>
        <w:rPr>
          <w:rFonts w:eastAsiaTheme="minorEastAsia"/>
          <w:color w:val="000000" w:themeColor="text1"/>
          <w:sz w:val="24"/>
        </w:rPr>
        <w:t>日起，本基金增设</w:t>
      </w:r>
      <w:r>
        <w:rPr>
          <w:rFonts w:eastAsiaTheme="minorEastAsia"/>
          <w:color w:val="000000" w:themeColor="text1"/>
          <w:sz w:val="24"/>
        </w:rPr>
        <w:t>C</w:t>
      </w:r>
      <w:r>
        <w:rPr>
          <w:rFonts w:eastAsiaTheme="minorEastAsia"/>
          <w:color w:val="000000" w:themeColor="text1"/>
          <w:sz w:val="24"/>
        </w:rPr>
        <w:t>类份额类别，份额首次确认日为</w:t>
      </w:r>
      <w:r>
        <w:rPr>
          <w:rFonts w:eastAsiaTheme="minorEastAsia"/>
          <w:color w:val="000000" w:themeColor="text1"/>
          <w:sz w:val="24"/>
        </w:rPr>
        <w:t>2017</w:t>
      </w:r>
      <w:r>
        <w:rPr>
          <w:rFonts w:eastAsiaTheme="minorEastAsia"/>
          <w:color w:val="000000" w:themeColor="text1"/>
          <w:sz w:val="24"/>
        </w:rPr>
        <w:t>年</w:t>
      </w:r>
      <w:r>
        <w:rPr>
          <w:rFonts w:eastAsiaTheme="minorEastAsia"/>
          <w:color w:val="000000" w:themeColor="text1"/>
          <w:sz w:val="24"/>
        </w:rPr>
        <w:t>6</w:t>
      </w:r>
      <w:r>
        <w:rPr>
          <w:rFonts w:eastAsiaTheme="minorEastAsia"/>
          <w:color w:val="000000" w:themeColor="text1"/>
          <w:sz w:val="24"/>
        </w:rPr>
        <w:t>月</w:t>
      </w:r>
      <w:r>
        <w:rPr>
          <w:rFonts w:eastAsiaTheme="minorEastAsia"/>
          <w:color w:val="000000" w:themeColor="text1"/>
          <w:sz w:val="24"/>
        </w:rPr>
        <w:t>5</w:t>
      </w:r>
      <w:r>
        <w:rPr>
          <w:rFonts w:eastAsiaTheme="minorEastAsia"/>
          <w:color w:val="000000" w:themeColor="text1"/>
          <w:sz w:val="24"/>
        </w:rPr>
        <w:t>日，增设当期的相关数据和指标按实际存续期计算。</w:t>
      </w:r>
    </w:p>
    <w:p w:rsidR="00973B57" w:rsidRPr="00B34368" w:rsidRDefault="00757FD7"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2.</w:t>
      </w:r>
      <w:r w:rsidRPr="00B34368">
        <w:rPr>
          <w:rFonts w:eastAsiaTheme="minorEastAsia"/>
          <w:color w:val="000000" w:themeColor="text1"/>
          <w:sz w:val="24"/>
        </w:rPr>
        <w:t>自基金合同生效至报告期末，</w:t>
      </w:r>
      <w:r w:rsidRPr="00B34368">
        <w:rPr>
          <w:rFonts w:eastAsiaTheme="minorEastAsia"/>
          <w:color w:val="000000" w:themeColor="text1"/>
          <w:sz w:val="24"/>
        </w:rPr>
        <w:t>A</w:t>
      </w:r>
      <w:r w:rsidRPr="00B34368">
        <w:rPr>
          <w:rFonts w:eastAsiaTheme="minorEastAsia"/>
          <w:color w:val="000000" w:themeColor="text1"/>
          <w:sz w:val="24"/>
        </w:rPr>
        <w:t>类基金份额净值增长率为</w:t>
      </w:r>
      <w:r w:rsidRPr="00B34368">
        <w:rPr>
          <w:rFonts w:eastAsiaTheme="minorEastAsia"/>
          <w:color w:val="000000" w:themeColor="text1"/>
          <w:sz w:val="24"/>
        </w:rPr>
        <w:t>68.90%</w:t>
      </w:r>
      <w:r w:rsidRPr="00B34368">
        <w:rPr>
          <w:rFonts w:eastAsiaTheme="minorEastAsia"/>
          <w:color w:val="000000" w:themeColor="text1"/>
          <w:sz w:val="24"/>
        </w:rPr>
        <w:t>，同期业绩比较基准收益率为</w:t>
      </w:r>
      <w:r w:rsidRPr="00B34368">
        <w:rPr>
          <w:rFonts w:eastAsiaTheme="minorEastAsia"/>
          <w:color w:val="000000" w:themeColor="text1"/>
          <w:sz w:val="24"/>
        </w:rPr>
        <w:t>88.17%</w:t>
      </w:r>
      <w:r w:rsidRPr="00B34368">
        <w:rPr>
          <w:rFonts w:eastAsiaTheme="minorEastAsia"/>
          <w:color w:val="000000" w:themeColor="text1"/>
          <w:sz w:val="24"/>
        </w:rPr>
        <w:t>。</w:t>
      </w:r>
      <w:r w:rsidRPr="00B34368">
        <w:rPr>
          <w:rFonts w:eastAsiaTheme="minorEastAsia"/>
          <w:color w:val="000000" w:themeColor="text1"/>
          <w:sz w:val="24"/>
        </w:rPr>
        <w:t>C</w:t>
      </w:r>
      <w:r w:rsidRPr="00B34368">
        <w:rPr>
          <w:rFonts w:eastAsiaTheme="minorEastAsia"/>
          <w:color w:val="000000" w:themeColor="text1"/>
          <w:sz w:val="24"/>
        </w:rPr>
        <w:t>类基金份额净值增长率为</w:t>
      </w:r>
      <w:r w:rsidRPr="00B34368">
        <w:rPr>
          <w:rFonts w:eastAsiaTheme="minorEastAsia"/>
          <w:color w:val="000000" w:themeColor="text1"/>
          <w:sz w:val="24"/>
        </w:rPr>
        <w:t>-7.12%</w:t>
      </w:r>
      <w:r w:rsidRPr="00B34368">
        <w:rPr>
          <w:rFonts w:eastAsiaTheme="minorEastAsia"/>
          <w:color w:val="000000" w:themeColor="text1"/>
          <w:sz w:val="24"/>
        </w:rPr>
        <w:t>，同期业绩比较基准收益</w:t>
      </w:r>
      <w:r w:rsidRPr="00B34368">
        <w:rPr>
          <w:rFonts w:eastAsiaTheme="minorEastAsia"/>
          <w:color w:val="000000" w:themeColor="text1"/>
          <w:sz w:val="24"/>
        </w:rPr>
        <w:lastRenderedPageBreak/>
        <w:t>率为</w:t>
      </w:r>
      <w:r w:rsidRPr="00B34368">
        <w:rPr>
          <w:rFonts w:eastAsiaTheme="minorEastAsia"/>
          <w:color w:val="000000" w:themeColor="text1"/>
          <w:sz w:val="24"/>
        </w:rPr>
        <w:t>-6.08%</w:t>
      </w:r>
      <w:r w:rsidRPr="00B34368">
        <w:rPr>
          <w:rFonts w:eastAsiaTheme="minorEastAsia"/>
          <w:color w:val="000000" w:themeColor="text1"/>
          <w:sz w:val="24"/>
        </w:rPr>
        <w:t>。</w:t>
      </w:r>
    </w:p>
    <w:p w:rsidR="00E561F9" w:rsidRPr="00B34368" w:rsidRDefault="00E561F9" w:rsidP="00E561F9">
      <w:pPr>
        <w:tabs>
          <w:tab w:val="left" w:pos="1800"/>
        </w:tabs>
        <w:spacing w:line="288" w:lineRule="auto"/>
        <w:rPr>
          <w:rFonts w:eastAsiaTheme="minorEastAsia"/>
          <w:color w:val="000000" w:themeColor="text1"/>
          <w:sz w:val="24"/>
        </w:rPr>
      </w:pP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§4  </w:t>
      </w:r>
      <w:r w:rsidRPr="00B34368">
        <w:rPr>
          <w:rFonts w:eastAsiaTheme="minorEastAsia" w:hAnsiTheme="minorEastAsia"/>
          <w:color w:val="000000" w:themeColor="text1"/>
          <w:kern w:val="0"/>
          <w:sz w:val="24"/>
          <w:szCs w:val="24"/>
        </w:rPr>
        <w:t>管理人报告</w:t>
      </w:r>
    </w:p>
    <w:p w:rsidR="00C544B8" w:rsidRDefault="009238DB" w:rsidP="00C544B8">
      <w:pPr>
        <w:autoSpaceDE w:val="0"/>
        <w:autoSpaceDN w:val="0"/>
        <w:adjustRightInd w:val="0"/>
        <w:spacing w:line="360" w:lineRule="auto"/>
        <w:jc w:val="left"/>
        <w:rPr>
          <w:rFonts w:ascii="宋体" w:cs="Arial"/>
          <w:b/>
          <w:color w:val="000000"/>
          <w:kern w:val="0"/>
          <w:sz w:val="24"/>
        </w:rPr>
      </w:pPr>
      <w:r w:rsidRPr="00B34368">
        <w:rPr>
          <w:rFonts w:eastAsiaTheme="minorEastAsia"/>
          <w:b/>
          <w:color w:val="000000" w:themeColor="text1"/>
          <w:kern w:val="0"/>
          <w:sz w:val="24"/>
        </w:rPr>
        <w:t xml:space="preserve">4.1 </w:t>
      </w:r>
      <w:r w:rsidRPr="00B34368">
        <w:rPr>
          <w:rFonts w:eastAsiaTheme="minorEastAsia" w:hAnsiTheme="minorEastAsia"/>
          <w:b/>
          <w:color w:val="000000" w:themeColor="text1"/>
          <w:kern w:val="0"/>
          <w:sz w:val="24"/>
        </w:rPr>
        <w:t>基金经理（或基金经理小组）简介</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832"/>
        <w:gridCol w:w="851"/>
        <w:gridCol w:w="850"/>
        <w:gridCol w:w="851"/>
        <w:gridCol w:w="2975"/>
      </w:tblGrid>
      <w:tr w:rsidR="00C544B8" w:rsidTr="00C544B8">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姓名</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职务</w:t>
            </w:r>
          </w:p>
        </w:tc>
        <w:tc>
          <w:tcPr>
            <w:tcW w:w="1701" w:type="dxa"/>
            <w:gridSpan w:val="2"/>
            <w:tcBorders>
              <w:top w:val="single" w:sz="4" w:space="0" w:color="auto"/>
              <w:left w:val="single" w:sz="4" w:space="0" w:color="auto"/>
              <w:bottom w:val="single" w:sz="4" w:space="0" w:color="auto"/>
              <w:right w:val="single" w:sz="4" w:space="0" w:color="auto"/>
            </w:tcBorders>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任本基金的基金经理期限</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证券从业年限</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说明</w:t>
            </w:r>
          </w:p>
        </w:tc>
      </w:tr>
      <w:tr w:rsidR="00C544B8" w:rsidTr="00C544B8">
        <w:trPr>
          <w:cantSplit/>
        </w:trPr>
        <w:tc>
          <w:tcPr>
            <w:tcW w:w="893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任职日期</w:t>
            </w:r>
          </w:p>
        </w:tc>
        <w:tc>
          <w:tcPr>
            <w:tcW w:w="850" w:type="dxa"/>
            <w:tcBorders>
              <w:top w:val="single" w:sz="4" w:space="0" w:color="auto"/>
              <w:left w:val="single" w:sz="4" w:space="0" w:color="auto"/>
              <w:bottom w:val="single" w:sz="4" w:space="0" w:color="auto"/>
              <w:right w:val="single" w:sz="4" w:space="0" w:color="auto"/>
            </w:tcBorders>
            <w:vAlign w:val="center"/>
            <w:hideMark/>
          </w:tcPr>
          <w:p w:rsidR="00C544B8" w:rsidRDefault="00C544B8">
            <w:pPr>
              <w:autoSpaceDE w:val="0"/>
              <w:autoSpaceDN w:val="0"/>
              <w:adjustRightInd w:val="0"/>
              <w:spacing w:before="29" w:line="288" w:lineRule="auto"/>
              <w:ind w:left="15"/>
              <w:jc w:val="center"/>
              <w:rPr>
                <w:color w:val="000000"/>
                <w:kern w:val="0"/>
                <w:sz w:val="24"/>
              </w:rPr>
            </w:pPr>
            <w:r>
              <w:rPr>
                <w:rFonts w:hint="eastAsia"/>
                <w:color w:val="000000"/>
                <w:kern w:val="0"/>
                <w:sz w:val="24"/>
              </w:rPr>
              <w:t>离任日期</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C544B8" w:rsidRDefault="00C544B8">
            <w:pPr>
              <w:widowControl/>
              <w:jc w:val="left"/>
              <w:rPr>
                <w:color w:val="000000"/>
                <w:kern w:val="0"/>
                <w:sz w:val="24"/>
              </w:rPr>
            </w:pPr>
          </w:p>
        </w:tc>
      </w:tr>
      <w:tr w:rsidR="0044553C">
        <w:tc>
          <w:tcPr>
            <w:tcW w:w="566" w:type="dxa"/>
            <w:vAlign w:val="center"/>
          </w:tcPr>
          <w:p w:rsidR="0044553C" w:rsidRDefault="00276810">
            <w:pPr>
              <w:jc w:val="center"/>
            </w:pPr>
            <w:r>
              <w:rPr>
                <w:color w:val="000000"/>
                <w:sz w:val="24"/>
              </w:rPr>
              <w:t>成曦</w:t>
            </w:r>
          </w:p>
        </w:tc>
        <w:tc>
          <w:tcPr>
            <w:tcW w:w="2832" w:type="dxa"/>
            <w:vAlign w:val="center"/>
          </w:tcPr>
          <w:p w:rsidR="0044553C" w:rsidRDefault="00276810">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（原易方达中小板指数分级证券投资基金）的基金经理、易方达原油证券投资基金</w:t>
            </w:r>
            <w:r>
              <w:rPr>
                <w:color w:val="000000"/>
                <w:sz w:val="24"/>
              </w:rPr>
              <w:t>(QDII)</w:t>
            </w:r>
            <w:r>
              <w:rPr>
                <w:color w:val="000000"/>
                <w:sz w:val="24"/>
              </w:rPr>
              <w:t>的基金经理、易方达银行指数分级证券投资基金的基金经理、易方达生物科技指数分级证券投资基金的基金经理、易方达深证成指交易型开放式指数证券投资基金联接基金的基金经理（自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05</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04</w:t>
            </w:r>
            <w:r>
              <w:rPr>
                <w:color w:val="000000"/>
                <w:sz w:val="24"/>
              </w:rPr>
              <w:t>月</w:t>
            </w:r>
            <w:r>
              <w:rPr>
                <w:color w:val="000000"/>
                <w:sz w:val="24"/>
              </w:rPr>
              <w:t>27</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交易型开放式指数证券投资基金联接基金</w:t>
            </w:r>
            <w:r>
              <w:rPr>
                <w:color w:val="000000"/>
                <w:sz w:val="24"/>
              </w:rPr>
              <w:t>的基金经理、易方达深证</w:t>
            </w:r>
            <w:r>
              <w:rPr>
                <w:color w:val="000000"/>
                <w:sz w:val="24"/>
              </w:rPr>
              <w:t>100</w:t>
            </w:r>
            <w:r>
              <w:rPr>
                <w:color w:val="000000"/>
                <w:sz w:val="24"/>
              </w:rPr>
              <w:t>交易型开放式指数基金的基金经理、易方达上证</w:t>
            </w:r>
            <w:r>
              <w:rPr>
                <w:color w:val="000000"/>
                <w:sz w:val="24"/>
              </w:rPr>
              <w:t>50</w:t>
            </w:r>
            <w:r>
              <w:rPr>
                <w:color w:val="000000"/>
                <w:sz w:val="24"/>
              </w:rPr>
              <w:t>交易型开放式指数证券投资基金发起式联接基金的基金经理、易方达上证</w:t>
            </w:r>
            <w:r>
              <w:rPr>
                <w:color w:val="000000"/>
                <w:sz w:val="24"/>
              </w:rPr>
              <w:t>50</w:t>
            </w:r>
            <w:r>
              <w:rPr>
                <w:color w:val="000000"/>
                <w:sz w:val="24"/>
              </w:rPr>
              <w:t>交易型开放式指数证券投资基金的基</w:t>
            </w:r>
            <w:r>
              <w:rPr>
                <w:color w:val="000000"/>
                <w:sz w:val="24"/>
              </w:rPr>
              <w:lastRenderedPageBreak/>
              <w:t>金经理、易方达纳斯达克</w:t>
            </w:r>
            <w:r>
              <w:rPr>
                <w:color w:val="000000"/>
                <w:sz w:val="24"/>
              </w:rPr>
              <w:t>100</w:t>
            </w:r>
            <w:r>
              <w:rPr>
                <w:color w:val="000000"/>
                <w:sz w:val="24"/>
              </w:rPr>
              <w:t>指数证券投资基金</w:t>
            </w:r>
            <w:r>
              <w:rPr>
                <w:color w:val="000000"/>
                <w:sz w:val="24"/>
              </w:rPr>
              <w:t>(LOF)</w:t>
            </w:r>
            <w:r>
              <w:rPr>
                <w:color w:val="000000"/>
                <w:sz w:val="24"/>
              </w:rPr>
              <w:t>的基金经理、易方达恒生中国企业交易型开放式指数证券投资基金联接基金的基金经理、易方达恒生中国企业交易型开放式指数证券投资基金的基金经理、易方达创业板交易型开放式指数证券投资基金的基金经理、易方达并购重组指数分级证券投资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w:t>
            </w:r>
            <w:r>
              <w:rPr>
                <w:color w:val="000000"/>
                <w:sz w:val="24"/>
              </w:rPr>
              <w:t>资基金发起式联接基金的基金经理、易方达</w:t>
            </w:r>
            <w:r>
              <w:rPr>
                <w:color w:val="000000"/>
                <w:sz w:val="24"/>
              </w:rPr>
              <w:t>MSCI</w:t>
            </w:r>
            <w:r>
              <w:rPr>
                <w:color w:val="000000"/>
                <w:sz w:val="24"/>
              </w:rPr>
              <w:t>中国</w:t>
            </w:r>
            <w:r>
              <w:rPr>
                <w:color w:val="000000"/>
                <w:sz w:val="24"/>
              </w:rPr>
              <w:t>A</w:t>
            </w:r>
            <w:r>
              <w:rPr>
                <w:color w:val="000000"/>
                <w:sz w:val="24"/>
              </w:rPr>
              <w:t>股国际通交易型开放式指数证券投资基金的基金经理</w:t>
            </w:r>
          </w:p>
        </w:tc>
        <w:tc>
          <w:tcPr>
            <w:tcW w:w="851" w:type="dxa"/>
            <w:vAlign w:val="center"/>
          </w:tcPr>
          <w:p w:rsidR="0044553C" w:rsidRDefault="00276810">
            <w:pPr>
              <w:jc w:val="center"/>
            </w:pPr>
            <w:r>
              <w:rPr>
                <w:color w:val="000000"/>
                <w:sz w:val="24"/>
              </w:rPr>
              <w:lastRenderedPageBreak/>
              <w:t>2016-05-07</w:t>
            </w:r>
          </w:p>
        </w:tc>
        <w:tc>
          <w:tcPr>
            <w:tcW w:w="850" w:type="dxa"/>
            <w:vAlign w:val="center"/>
          </w:tcPr>
          <w:p w:rsidR="0044553C" w:rsidRDefault="00276810">
            <w:pPr>
              <w:jc w:val="center"/>
            </w:pPr>
            <w:r>
              <w:rPr>
                <w:color w:val="000000"/>
                <w:sz w:val="24"/>
              </w:rPr>
              <w:t>-</w:t>
            </w:r>
          </w:p>
        </w:tc>
        <w:tc>
          <w:tcPr>
            <w:tcW w:w="851" w:type="dxa"/>
            <w:vAlign w:val="center"/>
          </w:tcPr>
          <w:p w:rsidR="0044553C" w:rsidRDefault="00276810">
            <w:pPr>
              <w:jc w:val="center"/>
            </w:pPr>
            <w:r>
              <w:rPr>
                <w:color w:val="000000"/>
                <w:sz w:val="24"/>
              </w:rPr>
              <w:t>11</w:t>
            </w:r>
            <w:r>
              <w:rPr>
                <w:color w:val="000000"/>
                <w:sz w:val="24"/>
              </w:rPr>
              <w:t>年</w:t>
            </w:r>
          </w:p>
        </w:tc>
        <w:tc>
          <w:tcPr>
            <w:tcW w:w="2975" w:type="dxa"/>
            <w:vAlign w:val="center"/>
          </w:tcPr>
          <w:p w:rsidR="0044553C" w:rsidRDefault="00276810">
            <w:r>
              <w:rPr>
                <w:color w:val="000000"/>
                <w:sz w:val="24"/>
              </w:rPr>
              <w:t>硕士研究生，曾任华泰联合证券资产管理部研究员，易方达基金管理有限公司集中交易室交易员、指数与量化投资部指数基金运作专员、基金经理助理。</w:t>
            </w:r>
          </w:p>
        </w:tc>
      </w:tr>
      <w:tr w:rsidR="0044553C">
        <w:tc>
          <w:tcPr>
            <w:tcW w:w="566" w:type="dxa"/>
            <w:vAlign w:val="center"/>
          </w:tcPr>
          <w:p w:rsidR="0044553C" w:rsidRDefault="00276810">
            <w:pPr>
              <w:jc w:val="center"/>
            </w:pPr>
            <w:r>
              <w:rPr>
                <w:color w:val="000000"/>
                <w:sz w:val="24"/>
              </w:rPr>
              <w:t>刘树荣</w:t>
            </w:r>
          </w:p>
        </w:tc>
        <w:tc>
          <w:tcPr>
            <w:tcW w:w="2832" w:type="dxa"/>
            <w:vAlign w:val="center"/>
          </w:tcPr>
          <w:p w:rsidR="0044553C" w:rsidRDefault="00276810">
            <w:pPr>
              <w:jc w:val="center"/>
            </w:pPr>
            <w:r>
              <w:rPr>
                <w:color w:val="000000"/>
                <w:sz w:val="24"/>
              </w:rPr>
              <w:t>本基金的基金经理、易方达中小板指数证券投资基金</w:t>
            </w:r>
            <w:r>
              <w:rPr>
                <w:color w:val="000000"/>
                <w:sz w:val="24"/>
              </w:rPr>
              <w:t>(LOF)</w:t>
            </w:r>
            <w:r>
              <w:rPr>
                <w:color w:val="000000"/>
                <w:sz w:val="24"/>
              </w:rPr>
              <w:t>（原易方达中小板指数分级证券投资基金）的基金经理、易方达银行指数分级证券投资基金的基金经理、易方达香港恒生综合小型股指数证券投资基金</w:t>
            </w:r>
            <w:r>
              <w:rPr>
                <w:color w:val="000000"/>
                <w:sz w:val="24"/>
              </w:rPr>
              <w:t>(LOF)</w:t>
            </w:r>
            <w:r>
              <w:rPr>
                <w:color w:val="000000"/>
                <w:sz w:val="24"/>
              </w:rPr>
              <w:t>的基金经理、易方达生物科技指数分级证券投资基金的基金经理、易方达深证成指交易型开放式指数证券投资基金联接基金的基金经理（自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日）、易方达深证成指交易型开放式指数证券投资基金的基金经理（自</w:t>
            </w:r>
            <w:r>
              <w:rPr>
                <w:color w:val="000000"/>
                <w:sz w:val="24"/>
              </w:rPr>
              <w:t>2017</w:t>
            </w:r>
            <w:r>
              <w:rPr>
                <w:color w:val="000000"/>
                <w:sz w:val="24"/>
              </w:rPr>
              <w:t>年</w:t>
            </w:r>
            <w:r>
              <w:rPr>
                <w:color w:val="000000"/>
                <w:sz w:val="24"/>
              </w:rPr>
              <w:t>07</w:t>
            </w:r>
            <w:r>
              <w:rPr>
                <w:color w:val="000000"/>
                <w:sz w:val="24"/>
              </w:rPr>
              <w:t>月</w:t>
            </w:r>
            <w:r>
              <w:rPr>
                <w:color w:val="000000"/>
                <w:sz w:val="24"/>
              </w:rPr>
              <w:t>18</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15</w:t>
            </w:r>
            <w:r>
              <w:rPr>
                <w:color w:val="000000"/>
                <w:sz w:val="24"/>
              </w:rPr>
              <w:t>日）、易方达深证</w:t>
            </w:r>
            <w:r>
              <w:rPr>
                <w:color w:val="000000"/>
                <w:sz w:val="24"/>
              </w:rPr>
              <w:t>100</w:t>
            </w:r>
            <w:r>
              <w:rPr>
                <w:color w:val="000000"/>
                <w:sz w:val="24"/>
              </w:rPr>
              <w:t>交易型开放式指数证券</w:t>
            </w:r>
            <w:r>
              <w:rPr>
                <w:color w:val="000000"/>
                <w:sz w:val="24"/>
              </w:rPr>
              <w:t>投资基金</w:t>
            </w:r>
            <w:r>
              <w:rPr>
                <w:color w:val="000000"/>
                <w:sz w:val="24"/>
              </w:rPr>
              <w:lastRenderedPageBreak/>
              <w:t>联接基金的基金经理、易方达深证</w:t>
            </w:r>
            <w:r>
              <w:rPr>
                <w:color w:val="000000"/>
                <w:sz w:val="24"/>
              </w:rPr>
              <w:t>100</w:t>
            </w:r>
            <w:r>
              <w:rPr>
                <w:color w:val="000000"/>
                <w:sz w:val="24"/>
              </w:rPr>
              <w:t>交易型开放式指数基金的基金经理、易方达上证中盘交易型开放式指数证券投资基金联接基金的基金经理、易方达上证中盘交易型开放式指数证券投资基金的基金经理、易方达创业板交易型开放式指数证券投资基金的基金经理、易方达并购重组指数分级证券投资基金的基金经理、易方达标普医疗保健指数证券投资基金</w:t>
            </w:r>
            <w:r>
              <w:rPr>
                <w:color w:val="000000"/>
                <w:sz w:val="24"/>
              </w:rPr>
              <w:t>(LOF)</w:t>
            </w:r>
            <w:r>
              <w:rPr>
                <w:color w:val="000000"/>
                <w:sz w:val="24"/>
              </w:rPr>
              <w:t>的基金经理、易方达标普信息科技指数证券投资基金</w:t>
            </w:r>
            <w:r>
              <w:rPr>
                <w:color w:val="000000"/>
                <w:sz w:val="24"/>
              </w:rPr>
              <w:t>(LOF)</w:t>
            </w:r>
            <w:r>
              <w:rPr>
                <w:color w:val="000000"/>
                <w:sz w:val="24"/>
              </w:rPr>
              <w:t>的基金经理、易方达标普生物科技指数证券投资基金</w:t>
            </w:r>
            <w:r>
              <w:rPr>
                <w:color w:val="000000"/>
                <w:sz w:val="24"/>
              </w:rPr>
              <w:t>(LOF)</w:t>
            </w:r>
            <w:r>
              <w:rPr>
                <w:color w:val="000000"/>
                <w:sz w:val="24"/>
              </w:rPr>
              <w:t>的基金经理、易方达标普</w:t>
            </w:r>
            <w:r>
              <w:rPr>
                <w:color w:val="000000"/>
                <w:sz w:val="24"/>
              </w:rPr>
              <w:t>500</w:t>
            </w:r>
            <w:r>
              <w:rPr>
                <w:color w:val="000000"/>
                <w:sz w:val="24"/>
              </w:rPr>
              <w:t>指数证券投资基金</w:t>
            </w:r>
            <w:r>
              <w:rPr>
                <w:color w:val="000000"/>
                <w:sz w:val="24"/>
              </w:rPr>
              <w:t>(LOF)</w:t>
            </w:r>
            <w:r>
              <w:rPr>
                <w:color w:val="000000"/>
                <w:sz w:val="24"/>
              </w:rPr>
              <w:t>的基金经理</w:t>
            </w:r>
          </w:p>
        </w:tc>
        <w:tc>
          <w:tcPr>
            <w:tcW w:w="851" w:type="dxa"/>
            <w:vAlign w:val="center"/>
          </w:tcPr>
          <w:p w:rsidR="0044553C" w:rsidRDefault="00276810">
            <w:pPr>
              <w:jc w:val="center"/>
            </w:pPr>
            <w:r>
              <w:rPr>
                <w:color w:val="000000"/>
                <w:sz w:val="24"/>
              </w:rPr>
              <w:lastRenderedPageBreak/>
              <w:t>2017-07-18</w:t>
            </w:r>
          </w:p>
        </w:tc>
        <w:tc>
          <w:tcPr>
            <w:tcW w:w="850" w:type="dxa"/>
            <w:vAlign w:val="center"/>
          </w:tcPr>
          <w:p w:rsidR="0044553C" w:rsidRDefault="00276810">
            <w:pPr>
              <w:jc w:val="center"/>
            </w:pPr>
            <w:r>
              <w:rPr>
                <w:color w:val="000000"/>
                <w:sz w:val="24"/>
              </w:rPr>
              <w:t>-</w:t>
            </w:r>
          </w:p>
        </w:tc>
        <w:tc>
          <w:tcPr>
            <w:tcW w:w="851" w:type="dxa"/>
            <w:vAlign w:val="center"/>
          </w:tcPr>
          <w:p w:rsidR="0044553C" w:rsidRDefault="00276810">
            <w:pPr>
              <w:jc w:val="center"/>
            </w:pPr>
            <w:r>
              <w:rPr>
                <w:color w:val="000000"/>
                <w:sz w:val="24"/>
              </w:rPr>
              <w:t>12</w:t>
            </w:r>
            <w:r>
              <w:rPr>
                <w:color w:val="000000"/>
                <w:sz w:val="24"/>
              </w:rPr>
              <w:t>年</w:t>
            </w:r>
          </w:p>
        </w:tc>
        <w:tc>
          <w:tcPr>
            <w:tcW w:w="2975" w:type="dxa"/>
            <w:vAlign w:val="center"/>
          </w:tcPr>
          <w:p w:rsidR="0044553C" w:rsidRDefault="00276810">
            <w:r>
              <w:rPr>
                <w:color w:val="000000"/>
                <w:sz w:val="24"/>
              </w:rPr>
              <w:t>硕士研究生，曾任招商银行资产托管部基金会计，易方达基金管理有限公司核算部基金核算专员、指数与量化投资部运作支持专员、基金经理助理。</w:t>
            </w:r>
          </w:p>
        </w:tc>
      </w:tr>
    </w:tbl>
    <w:p w:rsidR="0044553C" w:rsidRDefault="00276810">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5C7D00" w:rsidRPr="00B34368" w:rsidRDefault="00C544B8" w:rsidP="00547A9A">
      <w:pPr>
        <w:autoSpaceDE w:val="0"/>
        <w:autoSpaceDN w:val="0"/>
        <w:adjustRightInd w:val="0"/>
        <w:spacing w:line="360" w:lineRule="auto"/>
        <w:ind w:firstLineChars="200" w:firstLine="480"/>
        <w:jc w:val="left"/>
        <w:rPr>
          <w:rFonts w:eastAsiaTheme="minorEastAsia"/>
          <w:color w:val="000000" w:themeColor="text1"/>
          <w:sz w:val="24"/>
        </w:rPr>
      </w:pPr>
      <w:r>
        <w:rPr>
          <w:color w:val="000000"/>
          <w:sz w:val="24"/>
        </w:rPr>
        <w:t>2.</w:t>
      </w:r>
      <w:r>
        <w:rPr>
          <w:color w:val="000000"/>
          <w:sz w:val="24"/>
        </w:rPr>
        <w:t>证券从业的含义遵从《证券业从业人员资格管理办法》的相关规定。</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4.2</w:t>
      </w:r>
      <w:r w:rsidR="00B34368" w:rsidRPr="00B34368">
        <w:rPr>
          <w:rFonts w:eastAsiaTheme="minorEastAsia" w:hAnsiTheme="minorEastAsia"/>
          <w:b/>
          <w:color w:val="000000" w:themeColor="text1"/>
          <w:kern w:val="0"/>
          <w:sz w:val="24"/>
        </w:rPr>
        <w:t>管理人对</w:t>
      </w:r>
      <w:r w:rsidRPr="00B34368">
        <w:rPr>
          <w:rFonts w:eastAsiaTheme="minorEastAsia" w:hAnsiTheme="minorEastAsia"/>
          <w:b/>
          <w:color w:val="000000" w:themeColor="text1"/>
          <w:kern w:val="0"/>
          <w:sz w:val="24"/>
        </w:rPr>
        <w:t>报告期内本基金运作遵规守信情况</w:t>
      </w:r>
      <w:r w:rsidR="002F7889" w:rsidRPr="002F7889">
        <w:rPr>
          <w:rFonts w:eastAsiaTheme="minorEastAsia" w:hAnsiTheme="minorEastAsia"/>
          <w:b/>
          <w:color w:val="000000" w:themeColor="text1"/>
          <w:kern w:val="0"/>
          <w:sz w:val="24"/>
        </w:rPr>
        <w:t>的</w:t>
      </w:r>
      <w:r w:rsidRPr="00B34368">
        <w:rPr>
          <w:rFonts w:eastAsiaTheme="minorEastAsia" w:hAnsiTheme="minorEastAsia"/>
          <w:b/>
          <w:color w:val="000000" w:themeColor="text1"/>
          <w:kern w:val="0"/>
          <w:sz w:val="24"/>
        </w:rPr>
        <w:t>说明</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4.3 </w:t>
      </w:r>
      <w:r w:rsidRPr="00B34368">
        <w:rPr>
          <w:rFonts w:eastAsiaTheme="minorEastAsia" w:hAnsiTheme="minorEastAsia"/>
          <w:b/>
          <w:color w:val="000000" w:themeColor="text1"/>
          <w:kern w:val="0"/>
          <w:sz w:val="24"/>
        </w:rPr>
        <w:t>公平交易专项说明</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 xml:space="preserve">4.3.1 </w:t>
      </w:r>
      <w:r w:rsidRPr="00B34368">
        <w:rPr>
          <w:rFonts w:eastAsiaTheme="minorEastAsia" w:hAnsiTheme="minorEastAsia"/>
          <w:color w:val="000000" w:themeColor="text1"/>
          <w:sz w:val="24"/>
        </w:rPr>
        <w:t>公平交易制度的执行情况</w:t>
      </w:r>
    </w:p>
    <w:p w:rsidR="00D15733"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本基金管理人主要通过建立有纪律、规范化的投资研究和决策流程、交易流程，</w:t>
      </w:r>
      <w:r w:rsidRPr="00B34368">
        <w:rPr>
          <w:rFonts w:eastAsiaTheme="minorEastAsia"/>
          <w:color w:val="000000" w:themeColor="text1"/>
          <w:sz w:val="24"/>
        </w:rPr>
        <w:lastRenderedPageBreak/>
        <w:t>以及强化事后监控分析来确保公平对待不同投资组合，切实防范利益输送。本基金管理人制定了严格的投资权限管理制度、投资备选库管理制度和集中交易制度等，并重视交易执行环节的公平交易措施，以</w:t>
      </w:r>
      <w:r w:rsidRPr="00B34368">
        <w:rPr>
          <w:rFonts w:eastAsiaTheme="minorEastAsia"/>
          <w:color w:val="000000" w:themeColor="text1"/>
          <w:sz w:val="24"/>
        </w:rPr>
        <w:t>“</w:t>
      </w:r>
      <w:r w:rsidRPr="00B34368">
        <w:rPr>
          <w:rFonts w:eastAsiaTheme="minorEastAsia"/>
          <w:color w:val="000000" w:themeColor="text1"/>
          <w:sz w:val="24"/>
        </w:rPr>
        <w:t>时间优先、价格优先</w:t>
      </w:r>
      <w:r w:rsidRPr="00B34368">
        <w:rPr>
          <w:rFonts w:eastAsiaTheme="minorEastAsia"/>
          <w:color w:val="000000" w:themeColor="text1"/>
          <w:sz w:val="24"/>
        </w:rPr>
        <w:t>”</w:t>
      </w:r>
      <w:r w:rsidRPr="00B34368">
        <w:rPr>
          <w:rFonts w:eastAsiaTheme="minorEastAsia"/>
          <w:color w:val="000000" w:themeColor="text1"/>
          <w:sz w:val="24"/>
        </w:rPr>
        <w:t>作为执行指令的基本原则，通过投资交易系统中的公平交易模块，以尽可能确保公平对待各投资组合。本报告期内，公平交易制度总体执行情况良好。</w:t>
      </w:r>
    </w:p>
    <w:p w:rsidR="00D15733" w:rsidRPr="00B34368" w:rsidRDefault="00D15733" w:rsidP="00FC13C8">
      <w:pPr>
        <w:spacing w:line="360" w:lineRule="auto"/>
        <w:rPr>
          <w:rFonts w:eastAsiaTheme="minorEastAsia"/>
          <w:color w:val="000000" w:themeColor="text1"/>
          <w:sz w:val="24"/>
        </w:rPr>
      </w:pPr>
      <w:r w:rsidRPr="00B34368">
        <w:rPr>
          <w:rFonts w:eastAsiaTheme="minorEastAsia"/>
          <w:color w:val="000000" w:themeColor="text1"/>
          <w:sz w:val="24"/>
        </w:rPr>
        <w:t>4.3.</w:t>
      </w:r>
      <w:r w:rsidR="005B6047" w:rsidRPr="00B34368">
        <w:rPr>
          <w:rFonts w:eastAsiaTheme="minorEastAsia"/>
          <w:color w:val="000000" w:themeColor="text1"/>
          <w:sz w:val="24"/>
        </w:rPr>
        <w:t>2</w:t>
      </w:r>
      <w:r w:rsidRPr="00B34368">
        <w:rPr>
          <w:rFonts w:eastAsiaTheme="minorEastAsia"/>
          <w:color w:val="000000" w:themeColor="text1"/>
          <w:sz w:val="24"/>
        </w:rPr>
        <w:t xml:space="preserve"> </w:t>
      </w:r>
      <w:r w:rsidRPr="00B34368">
        <w:rPr>
          <w:rFonts w:eastAsiaTheme="minorEastAsia" w:hAnsiTheme="minorEastAsia"/>
          <w:color w:val="000000" w:themeColor="text1"/>
          <w:sz w:val="24"/>
        </w:rPr>
        <w:t>异常交易行为的专项说明</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本报告期内，公司旗下所有投资组合参与的交易所公开竞价交易中，同日反向交</w:t>
      </w:r>
      <w:r>
        <w:rPr>
          <w:rFonts w:eastAsiaTheme="minorEastAsia"/>
          <w:color w:val="000000" w:themeColor="text1"/>
          <w:sz w:val="24"/>
        </w:rPr>
        <w:t>易成交较少的单边交易量超过该证券当日成交量的</w:t>
      </w:r>
      <w:r>
        <w:rPr>
          <w:rFonts w:eastAsiaTheme="minorEastAsia"/>
          <w:color w:val="000000" w:themeColor="text1"/>
          <w:sz w:val="24"/>
        </w:rPr>
        <w:t>5%</w:t>
      </w:r>
      <w:r>
        <w:rPr>
          <w:rFonts w:eastAsiaTheme="minorEastAsia"/>
          <w:color w:val="000000" w:themeColor="text1"/>
          <w:sz w:val="24"/>
        </w:rPr>
        <w:t>的交易共</w:t>
      </w:r>
      <w:r>
        <w:rPr>
          <w:rFonts w:eastAsiaTheme="minorEastAsia"/>
          <w:color w:val="000000" w:themeColor="text1"/>
          <w:sz w:val="24"/>
        </w:rPr>
        <w:t>26</w:t>
      </w:r>
      <w:r>
        <w:rPr>
          <w:rFonts w:eastAsiaTheme="minorEastAsia"/>
          <w:color w:val="000000" w:themeColor="text1"/>
          <w:sz w:val="24"/>
        </w:rPr>
        <w:t>次，均为指数量化投资组合因投资策略需要和其他组合发生的反向交易。</w:t>
      </w:r>
    </w:p>
    <w:p w:rsidR="009238DB"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本报告期内，未发现本基金有可能导致不公平交易和利益输送的异常交易。</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4.4 </w:t>
      </w:r>
      <w:r w:rsidRPr="00B34368">
        <w:rPr>
          <w:rFonts w:eastAsiaTheme="minorEastAsia" w:hAnsiTheme="minorEastAsia"/>
          <w:b/>
          <w:color w:val="000000" w:themeColor="text1"/>
          <w:kern w:val="0"/>
          <w:sz w:val="24"/>
        </w:rPr>
        <w:t>报告期内基金的投资策略和业绩表现说明</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4.4.1</w:t>
      </w:r>
      <w:r w:rsidRPr="00B34368">
        <w:rPr>
          <w:rFonts w:eastAsiaTheme="minorEastAsia" w:hAnsiTheme="minorEastAsia"/>
          <w:color w:val="000000" w:themeColor="text1"/>
          <w:sz w:val="24"/>
        </w:rPr>
        <w:t>报告期内基金投资策略和运作分析</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本基金跟踪的标的指数为创业板指，创业板指由深圳创业板块中市值大、流动性好、最具代表性的</w:t>
      </w:r>
      <w:r>
        <w:rPr>
          <w:rFonts w:eastAsiaTheme="minorEastAsia"/>
          <w:color w:val="000000" w:themeColor="text1"/>
          <w:sz w:val="24"/>
        </w:rPr>
        <w:t>100</w:t>
      </w:r>
      <w:r>
        <w:rPr>
          <w:rFonts w:eastAsiaTheme="minorEastAsia"/>
          <w:color w:val="000000" w:themeColor="text1"/>
          <w:sz w:val="24"/>
        </w:rPr>
        <w:t>只股票组成。综合反映创业板中最具影响力龙头企业的整体状况，集中体现了业绩高成长，新产业集中的创业板特征。本基金主要采取完全复制法，即完全按</w:t>
      </w:r>
      <w:r>
        <w:rPr>
          <w:rFonts w:eastAsiaTheme="minorEastAsia"/>
          <w:color w:val="000000" w:themeColor="text1"/>
          <w:sz w:val="24"/>
        </w:rPr>
        <w:t>照标的指数的成份股组成及其权重构建基金股票投资组合，并根据标的指数成份股及其权重的变动而进行相应调整。</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年第三季度，科创板推出提升了市场对高新技术产业的风险偏好，虽然中美贸易摩擦多有反复，但资金对此已有充分预期。受益于以</w:t>
      </w:r>
      <w:r>
        <w:rPr>
          <w:rFonts w:eastAsiaTheme="minorEastAsia"/>
          <w:color w:val="000000" w:themeColor="text1"/>
          <w:sz w:val="24"/>
        </w:rPr>
        <w:t>5G</w:t>
      </w:r>
      <w:r>
        <w:rPr>
          <w:rFonts w:eastAsiaTheme="minorEastAsia"/>
          <w:color w:val="000000" w:themeColor="text1"/>
          <w:sz w:val="24"/>
        </w:rPr>
        <w:t>为代表的科技产业的发展，科技行业成为市场热点。尽管在</w:t>
      </w:r>
      <w:r>
        <w:rPr>
          <w:rFonts w:eastAsiaTheme="minorEastAsia"/>
          <w:color w:val="000000" w:themeColor="text1"/>
          <w:sz w:val="24"/>
        </w:rPr>
        <w:t>9</w:t>
      </w:r>
      <w:r>
        <w:rPr>
          <w:rFonts w:eastAsiaTheme="minorEastAsia"/>
          <w:color w:val="000000" w:themeColor="text1"/>
          <w:sz w:val="24"/>
        </w:rPr>
        <w:t>月后半月，出现了资金获利了结的现象，但市场整体依然在国庆节前表现平稳。</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报告期内，国内经济数据表现一般，以汽车为代表的消费类产业走低。在资金面上，央行启动了利率</w:t>
      </w:r>
      <w:r>
        <w:rPr>
          <w:rFonts w:eastAsiaTheme="minorEastAsia"/>
          <w:color w:val="000000" w:themeColor="text1"/>
          <w:sz w:val="24"/>
        </w:rPr>
        <w:t>LPR</w:t>
      </w:r>
      <w:r>
        <w:rPr>
          <w:rFonts w:eastAsiaTheme="minorEastAsia"/>
          <w:color w:val="000000" w:themeColor="text1"/>
          <w:sz w:val="24"/>
        </w:rPr>
        <w:t>改革，推进利率市场化，降低实体经济利率水平，资金在政策引导下</w:t>
      </w:r>
      <w:r>
        <w:rPr>
          <w:rFonts w:eastAsiaTheme="minorEastAsia"/>
          <w:color w:val="000000" w:themeColor="text1"/>
          <w:sz w:val="24"/>
        </w:rPr>
        <w:t>，逐渐向实体转移。</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在经济逐步减速的背景下，企业盈利增长越来越成为驱动股票表现核心因素，估值波动的驱动力相对减弱。投资者要注意挑选具备核心竞争力和充足现金流的公司，这类企业更能扛住经济波动，从行业竞争格局的改变中获利。</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创业板指数是典型的成长指数，目前成分股平均市值回升至</w:t>
      </w:r>
      <w:r>
        <w:rPr>
          <w:rFonts w:eastAsiaTheme="minorEastAsia"/>
          <w:color w:val="000000" w:themeColor="text1"/>
          <w:sz w:val="24"/>
        </w:rPr>
        <w:t>250</w:t>
      </w:r>
      <w:r>
        <w:rPr>
          <w:rFonts w:eastAsiaTheme="minorEastAsia"/>
          <w:color w:val="000000" w:themeColor="text1"/>
          <w:sz w:val="24"/>
        </w:rPr>
        <w:t>亿元上下，远高于创业板块平均市值</w:t>
      </w:r>
      <w:r>
        <w:rPr>
          <w:rFonts w:eastAsiaTheme="minorEastAsia"/>
          <w:color w:val="000000" w:themeColor="text1"/>
          <w:sz w:val="24"/>
        </w:rPr>
        <w:t>70</w:t>
      </w:r>
      <w:r>
        <w:rPr>
          <w:rFonts w:eastAsiaTheme="minorEastAsia"/>
          <w:color w:val="000000" w:themeColor="text1"/>
          <w:sz w:val="24"/>
        </w:rPr>
        <w:t>亿，可视作创业板块中的优质蓝筹组合。其权重前</w:t>
      </w:r>
      <w:r>
        <w:rPr>
          <w:rFonts w:eastAsiaTheme="minorEastAsia"/>
          <w:color w:val="000000" w:themeColor="text1"/>
          <w:sz w:val="24"/>
        </w:rPr>
        <w:t>4</w:t>
      </w:r>
      <w:r>
        <w:rPr>
          <w:rFonts w:eastAsiaTheme="minorEastAsia"/>
          <w:color w:val="000000" w:themeColor="text1"/>
          <w:sz w:val="24"/>
        </w:rPr>
        <w:t>个行业</w:t>
      </w:r>
      <w:r>
        <w:rPr>
          <w:rFonts w:eastAsiaTheme="minorEastAsia"/>
          <w:color w:val="000000" w:themeColor="text1"/>
          <w:sz w:val="24"/>
        </w:rPr>
        <w:lastRenderedPageBreak/>
        <w:t>分别为电子、传媒、医药生物、计算机，合计超过</w:t>
      </w:r>
      <w:r>
        <w:rPr>
          <w:rFonts w:eastAsiaTheme="minorEastAsia"/>
          <w:color w:val="000000" w:themeColor="text1"/>
          <w:sz w:val="24"/>
        </w:rPr>
        <w:t>60%</w:t>
      </w:r>
      <w:r>
        <w:rPr>
          <w:rFonts w:eastAsiaTheme="minorEastAsia"/>
          <w:color w:val="000000" w:themeColor="text1"/>
          <w:sz w:val="24"/>
        </w:rPr>
        <w:t>。</w:t>
      </w:r>
    </w:p>
    <w:p w:rsidR="00952A72" w:rsidRPr="00B34368" w:rsidRDefault="00323F25"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基金运作层面，报告期内，本基金严守基金合同认真对待投资者申购、赎回以及成分股调整事项，保障基金的正常运作，基金跟踪误差以及日均偏离度等指标控制在合同规定范围之内。</w:t>
      </w:r>
    </w:p>
    <w:p w:rsidR="00952A72" w:rsidRPr="00B34368" w:rsidRDefault="00952A72" w:rsidP="00FC13C8">
      <w:pPr>
        <w:spacing w:line="360" w:lineRule="auto"/>
        <w:rPr>
          <w:rFonts w:eastAsiaTheme="minorEastAsia"/>
          <w:color w:val="000000" w:themeColor="text1"/>
          <w:sz w:val="24"/>
        </w:rPr>
      </w:pPr>
      <w:r w:rsidRPr="00B34368">
        <w:rPr>
          <w:rFonts w:eastAsiaTheme="minorEastAsia"/>
          <w:color w:val="000000" w:themeColor="text1"/>
          <w:sz w:val="24"/>
        </w:rPr>
        <w:t>4.4.2</w:t>
      </w:r>
      <w:r w:rsidRPr="00B34368">
        <w:rPr>
          <w:rFonts w:eastAsiaTheme="minorEastAsia" w:hAnsiTheme="minorEastAsia"/>
          <w:color w:val="000000" w:themeColor="text1"/>
          <w:sz w:val="24"/>
        </w:rPr>
        <w:t>报告期内基金的业绩表现</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截至报告期末，本基金</w:t>
      </w:r>
      <w:r>
        <w:rPr>
          <w:rFonts w:eastAsiaTheme="minorEastAsia"/>
          <w:color w:val="000000" w:themeColor="text1"/>
          <w:sz w:val="24"/>
        </w:rPr>
        <w:t>A</w:t>
      </w:r>
      <w:r>
        <w:rPr>
          <w:rFonts w:eastAsiaTheme="minorEastAsia"/>
          <w:color w:val="000000" w:themeColor="text1"/>
          <w:sz w:val="24"/>
        </w:rPr>
        <w:t>类基金份额净值为</w:t>
      </w:r>
      <w:r>
        <w:rPr>
          <w:rFonts w:eastAsiaTheme="minorEastAsia"/>
          <w:color w:val="000000" w:themeColor="text1"/>
          <w:sz w:val="24"/>
        </w:rPr>
        <w:t>1.6890</w:t>
      </w:r>
      <w:r>
        <w:rPr>
          <w:rFonts w:eastAsiaTheme="minorEastAsia"/>
          <w:color w:val="000000" w:themeColor="text1"/>
          <w:sz w:val="24"/>
        </w:rPr>
        <w:t>元，本报告期份额净值增长率为</w:t>
      </w:r>
      <w:r>
        <w:rPr>
          <w:rFonts w:eastAsiaTheme="minorEastAsia"/>
          <w:color w:val="000000" w:themeColor="text1"/>
          <w:sz w:val="24"/>
        </w:rPr>
        <w:t>7.29%</w:t>
      </w:r>
      <w:r>
        <w:rPr>
          <w:rFonts w:eastAsiaTheme="minorEastAsia"/>
          <w:color w:val="000000" w:themeColor="text1"/>
          <w:sz w:val="24"/>
        </w:rPr>
        <w:t>；</w:t>
      </w:r>
      <w:r>
        <w:rPr>
          <w:rFonts w:eastAsiaTheme="minorEastAsia"/>
          <w:color w:val="000000" w:themeColor="text1"/>
          <w:sz w:val="24"/>
        </w:rPr>
        <w:t>C</w:t>
      </w:r>
      <w:r>
        <w:rPr>
          <w:rFonts w:eastAsiaTheme="minorEastAsia"/>
          <w:color w:val="000000" w:themeColor="text1"/>
          <w:sz w:val="24"/>
        </w:rPr>
        <w:t>类基金份额净值为</w:t>
      </w:r>
      <w:r>
        <w:rPr>
          <w:rFonts w:eastAsiaTheme="minorEastAsia"/>
          <w:color w:val="000000" w:themeColor="text1"/>
          <w:sz w:val="24"/>
        </w:rPr>
        <w:t>1.6805</w:t>
      </w:r>
      <w:r>
        <w:rPr>
          <w:rFonts w:eastAsiaTheme="minorEastAsia"/>
          <w:color w:val="000000" w:themeColor="text1"/>
          <w:sz w:val="24"/>
        </w:rPr>
        <w:t>元，本报告期份额净值增长率为</w:t>
      </w:r>
      <w:r>
        <w:rPr>
          <w:rFonts w:eastAsiaTheme="minorEastAsia"/>
          <w:color w:val="000000" w:themeColor="text1"/>
          <w:sz w:val="24"/>
        </w:rPr>
        <w:t>7.17%</w:t>
      </w:r>
      <w:r>
        <w:rPr>
          <w:rFonts w:eastAsiaTheme="minorEastAsia"/>
          <w:color w:val="000000" w:themeColor="text1"/>
          <w:sz w:val="24"/>
        </w:rPr>
        <w:t>；同期业绩比较基准收益率为</w:t>
      </w:r>
      <w:r>
        <w:rPr>
          <w:rFonts w:eastAsiaTheme="minorEastAsia"/>
          <w:color w:val="000000" w:themeColor="text1"/>
          <w:sz w:val="24"/>
        </w:rPr>
        <w:t>7.31%</w:t>
      </w:r>
      <w:r>
        <w:rPr>
          <w:rFonts w:eastAsiaTheme="minorEastAsia"/>
          <w:color w:val="000000" w:themeColor="text1"/>
          <w:sz w:val="24"/>
        </w:rPr>
        <w:t>。</w:t>
      </w:r>
    </w:p>
    <w:p w:rsidR="008129C0" w:rsidRPr="00F405D4" w:rsidRDefault="00323F25" w:rsidP="00F405D4">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本报告期，本基金日跟踪偏离度的均值为</w:t>
      </w:r>
      <w:r w:rsidRPr="00B34368">
        <w:rPr>
          <w:rFonts w:eastAsiaTheme="minorEastAsia"/>
          <w:color w:val="000000" w:themeColor="text1"/>
          <w:sz w:val="24"/>
        </w:rPr>
        <w:t>0.01%</w:t>
      </w:r>
      <w:r w:rsidRPr="00B34368">
        <w:rPr>
          <w:rFonts w:eastAsiaTheme="minorEastAsia"/>
          <w:color w:val="000000" w:themeColor="text1"/>
          <w:sz w:val="24"/>
        </w:rPr>
        <w:t>，年化跟踪误差</w:t>
      </w:r>
      <w:r w:rsidRPr="00B34368">
        <w:rPr>
          <w:rFonts w:eastAsiaTheme="minorEastAsia"/>
          <w:color w:val="000000" w:themeColor="text1"/>
          <w:sz w:val="24"/>
        </w:rPr>
        <w:t>0.18%</w:t>
      </w:r>
      <w:r w:rsidRPr="00B34368">
        <w:rPr>
          <w:rFonts w:eastAsiaTheme="minorEastAsia"/>
          <w:color w:val="000000" w:themeColor="text1"/>
          <w:sz w:val="24"/>
        </w:rPr>
        <w:t>，在合同规定的控制范围之内。</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 xml:space="preserve">§5  </w:t>
      </w:r>
      <w:r w:rsidRPr="00B34368">
        <w:rPr>
          <w:rFonts w:eastAsiaTheme="minorEastAsia" w:hAnsiTheme="minorEastAsia"/>
          <w:color w:val="000000" w:themeColor="text1"/>
          <w:kern w:val="0"/>
          <w:sz w:val="24"/>
          <w:szCs w:val="24"/>
        </w:rPr>
        <w:t>投资组合报告</w:t>
      </w:r>
    </w:p>
    <w:p w:rsidR="009238DB" w:rsidRPr="00B34368" w:rsidRDefault="009238DB" w:rsidP="00FC13C8">
      <w:pPr>
        <w:autoSpaceDE w:val="0"/>
        <w:autoSpaceDN w:val="0"/>
        <w:adjustRightInd w:val="0"/>
        <w:spacing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5.1 </w:t>
      </w:r>
      <w:r w:rsidRPr="00B34368">
        <w:rPr>
          <w:rFonts w:eastAsiaTheme="minorEastAsia" w:hAnsiTheme="minorEastAsia"/>
          <w:b/>
          <w:color w:val="000000" w:themeColor="text1"/>
          <w:kern w:val="0"/>
          <w:sz w:val="24"/>
        </w:rPr>
        <w:t>报告期末基金资产组合情况</w:t>
      </w:r>
    </w:p>
    <w:tbl>
      <w:tblPr>
        <w:tblStyle w:val="af2"/>
        <w:tblW w:w="0" w:type="auto"/>
        <w:tblInd w:w="108" w:type="dxa"/>
        <w:tblLayout w:type="fixed"/>
        <w:tblLook w:val="04A0" w:firstRow="1" w:lastRow="0" w:firstColumn="1" w:lastColumn="0" w:noHBand="0" w:noVBand="1"/>
      </w:tblPr>
      <w:tblGrid>
        <w:gridCol w:w="720"/>
        <w:gridCol w:w="3357"/>
        <w:gridCol w:w="2694"/>
        <w:gridCol w:w="1757"/>
      </w:tblGrid>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33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项目</w:t>
            </w:r>
          </w:p>
        </w:tc>
        <w:tc>
          <w:tcPr>
            <w:tcW w:w="2694"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金额</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占基金总资产的比例</w:t>
            </w: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1</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权益投资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61,487,398.79</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1.05</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其中：股票</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61,487,398.79</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1.05</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2</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基金投资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5,447,444,417.96</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92.63</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3</w:t>
            </w: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固定收益投资</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其中：债券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20F47" w:rsidRPr="00B34368" w:rsidRDefault="00B20F47" w:rsidP="00A3193E">
            <w:pPr>
              <w:spacing w:before="29" w:line="360" w:lineRule="auto"/>
              <w:ind w:left="17"/>
              <w:jc w:val="center"/>
              <w:rPr>
                <w:rFonts w:eastAsiaTheme="minorEastAsia"/>
                <w:color w:val="000000" w:themeColor="text1"/>
                <w:sz w:val="24"/>
              </w:rPr>
            </w:pPr>
          </w:p>
        </w:tc>
        <w:tc>
          <w:tcPr>
            <w:tcW w:w="3357" w:type="dxa"/>
            <w:vAlign w:val="center"/>
          </w:tcPr>
          <w:p w:rsidR="00B20F47" w:rsidRPr="00B34368" w:rsidRDefault="00B20F47" w:rsidP="00B34368">
            <w:pPr>
              <w:autoSpaceDE w:val="0"/>
              <w:autoSpaceDN w:val="0"/>
              <w:adjustRightInd w:val="0"/>
              <w:spacing w:before="29" w:line="360" w:lineRule="auto"/>
              <w:ind w:left="17" w:firstLineChars="300" w:firstLine="720"/>
              <w:jc w:val="left"/>
              <w:rPr>
                <w:rFonts w:eastAsiaTheme="minorEastAsia"/>
                <w:color w:val="000000" w:themeColor="text1"/>
                <w:sz w:val="24"/>
              </w:rPr>
            </w:pPr>
            <w:r w:rsidRPr="00B34368">
              <w:rPr>
                <w:rFonts w:eastAsiaTheme="minorEastAsia" w:hAnsiTheme="minorEastAsia"/>
                <w:color w:val="000000" w:themeColor="text1"/>
                <w:sz w:val="24"/>
              </w:rPr>
              <w:t>资产支持证券</w:t>
            </w:r>
          </w:p>
        </w:tc>
        <w:tc>
          <w:tcPr>
            <w:tcW w:w="2694"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20F47" w:rsidRPr="00B34368" w:rsidRDefault="00B20F47"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tcPr>
          <w:p w:rsidR="00B007B6" w:rsidRPr="00B34368" w:rsidRDefault="00B007B6" w:rsidP="00DD272F">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4</w:t>
            </w:r>
          </w:p>
        </w:tc>
        <w:tc>
          <w:tcPr>
            <w:tcW w:w="3357" w:type="dxa"/>
          </w:tcPr>
          <w:p w:rsidR="00B007B6" w:rsidRPr="00B34368" w:rsidRDefault="00B007B6" w:rsidP="00DD272F">
            <w:pPr>
              <w:spacing w:before="29" w:line="360" w:lineRule="auto"/>
              <w:ind w:leftChars="50" w:left="105"/>
              <w:rPr>
                <w:rFonts w:eastAsiaTheme="minorEastAsia"/>
                <w:color w:val="000000" w:themeColor="text1"/>
                <w:sz w:val="24"/>
              </w:rPr>
            </w:pPr>
            <w:r w:rsidRPr="00B34368">
              <w:rPr>
                <w:rFonts w:eastAsiaTheme="minorEastAsia" w:hAnsiTheme="minorEastAsia"/>
                <w:color w:val="000000" w:themeColor="text1"/>
                <w:sz w:val="24"/>
              </w:rPr>
              <w:t>贵金属投资</w:t>
            </w:r>
          </w:p>
        </w:tc>
        <w:tc>
          <w:tcPr>
            <w:tcW w:w="2694"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DD272F">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5</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金融衍生品投资</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6</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其中：买断式回购的买入返售金融资产</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720" w:type="dxa"/>
            <w:vAlign w:val="center"/>
          </w:tcPr>
          <w:p w:rsidR="00B007B6" w:rsidRPr="00B34368" w:rsidRDefault="00B007B6" w:rsidP="00A3193E">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7</w:t>
            </w:r>
          </w:p>
        </w:tc>
        <w:tc>
          <w:tcPr>
            <w:tcW w:w="3357" w:type="dxa"/>
            <w:vAlign w:val="center"/>
          </w:tcPr>
          <w:p w:rsidR="00B007B6" w:rsidRPr="00B34368" w:rsidRDefault="00B007B6" w:rsidP="00A3193E">
            <w:pPr>
              <w:spacing w:before="29" w:line="360" w:lineRule="auto"/>
              <w:ind w:left="17"/>
              <w:jc w:val="left"/>
              <w:rPr>
                <w:rFonts w:eastAsiaTheme="minorEastAsia"/>
                <w:color w:val="000000" w:themeColor="text1"/>
                <w:sz w:val="24"/>
              </w:rPr>
            </w:pPr>
            <w:r w:rsidRPr="00B34368">
              <w:rPr>
                <w:rFonts w:eastAsiaTheme="minorEastAsia" w:hAnsiTheme="minorEastAsia"/>
                <w:color w:val="000000" w:themeColor="text1"/>
                <w:sz w:val="24"/>
              </w:rPr>
              <w:t>银行存款和结算备付金合计</w:t>
            </w:r>
          </w:p>
        </w:tc>
        <w:tc>
          <w:tcPr>
            <w:tcW w:w="2694"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344,313,302.55</w:t>
            </w:r>
          </w:p>
        </w:tc>
        <w:tc>
          <w:tcPr>
            <w:tcW w:w="1757" w:type="dxa"/>
            <w:vAlign w:val="center"/>
          </w:tcPr>
          <w:p w:rsidR="00B007B6" w:rsidRPr="00B34368" w:rsidRDefault="00B007B6" w:rsidP="00A3193E">
            <w:pPr>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5.85</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t>8</w:t>
            </w:r>
          </w:p>
        </w:tc>
        <w:tc>
          <w:tcPr>
            <w:tcW w:w="3357" w:type="dxa"/>
            <w:vAlign w:val="center"/>
          </w:tcPr>
          <w:p w:rsidR="00B007B6" w:rsidRPr="00B34368" w:rsidRDefault="00E57CD3" w:rsidP="00A3193E">
            <w:pPr>
              <w:jc w:val="left"/>
              <w:rPr>
                <w:rFonts w:eastAsiaTheme="minorEastAsia"/>
                <w:color w:val="000000" w:themeColor="text1"/>
                <w:sz w:val="24"/>
              </w:rPr>
            </w:pPr>
            <w:r>
              <w:rPr>
                <w:rFonts w:eastAsiaTheme="minorEastAsia" w:hAnsiTheme="minorEastAsia"/>
                <w:color w:val="000000" w:themeColor="text1"/>
                <w:sz w:val="24"/>
              </w:rPr>
              <w:t>其他</w:t>
            </w:r>
            <w:r w:rsidR="00B007B6" w:rsidRPr="00B34368">
              <w:rPr>
                <w:rFonts w:eastAsiaTheme="minorEastAsia" w:hAnsiTheme="minorEastAsia"/>
                <w:color w:val="000000" w:themeColor="text1"/>
                <w:sz w:val="24"/>
              </w:rPr>
              <w:t>资产</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27,885,825.22</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0.47</w:t>
            </w:r>
          </w:p>
        </w:tc>
      </w:tr>
      <w:tr w:rsidR="00D3639B" w:rsidRPr="00B34368" w:rsidTr="00975D18">
        <w:tc>
          <w:tcPr>
            <w:tcW w:w="720" w:type="dxa"/>
            <w:vAlign w:val="center"/>
          </w:tcPr>
          <w:p w:rsidR="00B007B6" w:rsidRPr="00B34368" w:rsidRDefault="00B007B6" w:rsidP="00B007B6">
            <w:pPr>
              <w:spacing w:before="29" w:line="360" w:lineRule="auto"/>
              <w:ind w:left="17"/>
              <w:jc w:val="center"/>
              <w:rPr>
                <w:rFonts w:eastAsiaTheme="minorEastAsia"/>
                <w:color w:val="000000" w:themeColor="text1"/>
                <w:sz w:val="24"/>
              </w:rPr>
            </w:pPr>
            <w:r w:rsidRPr="00B34368">
              <w:rPr>
                <w:rFonts w:eastAsiaTheme="minorEastAsia"/>
                <w:color w:val="000000" w:themeColor="text1"/>
                <w:sz w:val="24"/>
              </w:rPr>
              <w:lastRenderedPageBreak/>
              <w:t>9</w:t>
            </w:r>
          </w:p>
        </w:tc>
        <w:tc>
          <w:tcPr>
            <w:tcW w:w="3357" w:type="dxa"/>
            <w:vAlign w:val="center"/>
          </w:tcPr>
          <w:p w:rsidR="00B007B6" w:rsidRPr="00B34368" w:rsidRDefault="00B007B6" w:rsidP="00A3193E">
            <w:pPr>
              <w:jc w:val="left"/>
              <w:rPr>
                <w:rFonts w:eastAsiaTheme="minorEastAsia"/>
                <w:color w:val="000000" w:themeColor="text1"/>
                <w:sz w:val="24"/>
              </w:rPr>
            </w:pPr>
            <w:r w:rsidRPr="00B34368">
              <w:rPr>
                <w:rFonts w:eastAsiaTheme="minorEastAsia" w:hAnsiTheme="minorEastAsia"/>
                <w:color w:val="000000" w:themeColor="text1"/>
                <w:sz w:val="24"/>
              </w:rPr>
              <w:t>合计</w:t>
            </w:r>
          </w:p>
        </w:tc>
        <w:tc>
          <w:tcPr>
            <w:tcW w:w="2694"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5,881,130,944.52</w:t>
            </w:r>
          </w:p>
        </w:tc>
        <w:tc>
          <w:tcPr>
            <w:tcW w:w="1757" w:type="dxa"/>
            <w:vAlign w:val="center"/>
          </w:tcPr>
          <w:p w:rsidR="00B007B6" w:rsidRPr="00B34368" w:rsidRDefault="00B007B6" w:rsidP="00A3193E">
            <w:pPr>
              <w:jc w:val="right"/>
              <w:rPr>
                <w:rFonts w:eastAsiaTheme="minorEastAsia"/>
                <w:color w:val="000000" w:themeColor="text1"/>
                <w:sz w:val="24"/>
              </w:rPr>
            </w:pPr>
            <w:r w:rsidRPr="00B34368">
              <w:rPr>
                <w:rFonts w:eastAsiaTheme="minorEastAsia"/>
                <w:color w:val="000000" w:themeColor="text1"/>
                <w:sz w:val="24"/>
              </w:rPr>
              <w:t>100.00</w:t>
            </w:r>
          </w:p>
        </w:tc>
      </w:tr>
    </w:tbl>
    <w:p w:rsidR="0040218E" w:rsidRPr="00B34368" w:rsidRDefault="0040218E"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5.2</w:t>
      </w:r>
      <w:r w:rsidRPr="00B34368">
        <w:rPr>
          <w:rFonts w:eastAsiaTheme="minorEastAsia" w:hAnsiTheme="minorEastAsia"/>
          <w:b/>
          <w:color w:val="000000" w:themeColor="text1"/>
          <w:kern w:val="0"/>
          <w:sz w:val="24"/>
        </w:rPr>
        <w:t>期末投资目标基金明细</w:t>
      </w:r>
    </w:p>
    <w:tbl>
      <w:tblPr>
        <w:tblStyle w:val="af2"/>
        <w:tblW w:w="0" w:type="auto"/>
        <w:tblInd w:w="108" w:type="dxa"/>
        <w:tblLook w:val="04A0" w:firstRow="1" w:lastRow="0" w:firstColumn="1" w:lastColumn="0" w:noHBand="0" w:noVBand="1"/>
      </w:tblPr>
      <w:tblGrid>
        <w:gridCol w:w="699"/>
        <w:gridCol w:w="1863"/>
        <w:gridCol w:w="699"/>
        <w:gridCol w:w="1564"/>
        <w:gridCol w:w="1202"/>
        <w:gridCol w:w="1896"/>
        <w:gridCol w:w="1005"/>
      </w:tblGrid>
      <w:tr w:rsidR="00D3639B" w:rsidRPr="00B34368" w:rsidTr="00975D18">
        <w:tc>
          <w:tcPr>
            <w:tcW w:w="1215"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基金名称</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基金类型</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运作方式</w:t>
            </w:r>
          </w:p>
        </w:tc>
        <w:tc>
          <w:tcPr>
            <w:tcW w:w="1216"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管理人</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公允价值</w:t>
            </w:r>
          </w:p>
        </w:tc>
        <w:tc>
          <w:tcPr>
            <w:tcW w:w="1217" w:type="dxa"/>
            <w:vAlign w:val="center"/>
          </w:tcPr>
          <w:p w:rsidR="0040218E" w:rsidRPr="00B34368" w:rsidRDefault="0040218E" w:rsidP="00782E9C">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hAnsiTheme="minorEastAsia"/>
                <w:color w:val="000000" w:themeColor="text1"/>
                <w:kern w:val="0"/>
                <w:sz w:val="24"/>
              </w:rPr>
              <w:t>占基金资产净值比例（</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w:t>
            </w:r>
          </w:p>
        </w:tc>
      </w:tr>
      <w:tr w:rsidR="0044553C">
        <w:tc>
          <w:tcPr>
            <w:tcW w:w="0" w:type="auto"/>
            <w:vAlign w:val="center"/>
          </w:tcPr>
          <w:p w:rsidR="0044553C" w:rsidRDefault="00276810">
            <w:pPr>
              <w:jc w:val="center"/>
            </w:pPr>
            <w:r>
              <w:rPr>
                <w:rFonts w:eastAsiaTheme="minorEastAsia"/>
                <w:color w:val="000000" w:themeColor="text1"/>
                <w:sz w:val="24"/>
              </w:rPr>
              <w:t>1</w:t>
            </w:r>
          </w:p>
        </w:tc>
        <w:tc>
          <w:tcPr>
            <w:tcW w:w="0" w:type="auto"/>
            <w:vAlign w:val="center"/>
          </w:tcPr>
          <w:p w:rsidR="0044553C" w:rsidRDefault="00276810">
            <w:pPr>
              <w:jc w:val="center"/>
            </w:pPr>
            <w:r>
              <w:rPr>
                <w:rFonts w:eastAsiaTheme="minorEastAsia"/>
                <w:color w:val="000000" w:themeColor="text1"/>
                <w:sz w:val="24"/>
              </w:rPr>
              <w:t>易方达创业板交易型开放式指数证券投资基金</w:t>
            </w:r>
          </w:p>
        </w:tc>
        <w:tc>
          <w:tcPr>
            <w:tcW w:w="0" w:type="auto"/>
            <w:vAlign w:val="center"/>
          </w:tcPr>
          <w:p w:rsidR="0044553C" w:rsidRDefault="00276810">
            <w:pPr>
              <w:jc w:val="center"/>
            </w:pPr>
            <w:r>
              <w:rPr>
                <w:rFonts w:eastAsiaTheme="minorEastAsia"/>
                <w:color w:val="000000" w:themeColor="text1"/>
                <w:sz w:val="24"/>
              </w:rPr>
              <w:t>股票型</w:t>
            </w:r>
          </w:p>
        </w:tc>
        <w:tc>
          <w:tcPr>
            <w:tcW w:w="0" w:type="auto"/>
            <w:vAlign w:val="center"/>
          </w:tcPr>
          <w:p w:rsidR="0044553C" w:rsidRDefault="00276810">
            <w:pPr>
              <w:jc w:val="center"/>
            </w:pPr>
            <w:r>
              <w:rPr>
                <w:rFonts w:eastAsiaTheme="minorEastAsia"/>
                <w:color w:val="000000" w:themeColor="text1"/>
                <w:sz w:val="24"/>
              </w:rPr>
              <w:t>交易型开放式（</w:t>
            </w:r>
            <w:r>
              <w:rPr>
                <w:rFonts w:eastAsiaTheme="minorEastAsia"/>
                <w:color w:val="000000" w:themeColor="text1"/>
                <w:sz w:val="24"/>
              </w:rPr>
              <w:t>ETF</w:t>
            </w:r>
            <w:r>
              <w:rPr>
                <w:rFonts w:eastAsiaTheme="minorEastAsia"/>
                <w:color w:val="000000" w:themeColor="text1"/>
                <w:sz w:val="24"/>
              </w:rPr>
              <w:t>）</w:t>
            </w:r>
          </w:p>
        </w:tc>
        <w:tc>
          <w:tcPr>
            <w:tcW w:w="0" w:type="auto"/>
            <w:vAlign w:val="center"/>
          </w:tcPr>
          <w:p w:rsidR="0044553C" w:rsidRDefault="00276810">
            <w:pPr>
              <w:jc w:val="center"/>
            </w:pPr>
            <w:r>
              <w:rPr>
                <w:rFonts w:eastAsiaTheme="minorEastAsia"/>
                <w:color w:val="000000" w:themeColor="text1"/>
                <w:sz w:val="24"/>
              </w:rPr>
              <w:t>易方达基金管理有限公司</w:t>
            </w:r>
          </w:p>
        </w:tc>
        <w:tc>
          <w:tcPr>
            <w:tcW w:w="0" w:type="auto"/>
            <w:vAlign w:val="center"/>
          </w:tcPr>
          <w:p w:rsidR="0044553C" w:rsidRDefault="00276810">
            <w:pPr>
              <w:jc w:val="right"/>
            </w:pPr>
            <w:r>
              <w:rPr>
                <w:rFonts w:eastAsiaTheme="minorEastAsia"/>
                <w:color w:val="000000" w:themeColor="text1"/>
                <w:sz w:val="24"/>
              </w:rPr>
              <w:t>5,447,444,417.96</w:t>
            </w:r>
          </w:p>
        </w:tc>
        <w:tc>
          <w:tcPr>
            <w:tcW w:w="0" w:type="auto"/>
            <w:vAlign w:val="center"/>
          </w:tcPr>
          <w:p w:rsidR="0044553C" w:rsidRDefault="00276810">
            <w:pPr>
              <w:jc w:val="right"/>
            </w:pPr>
            <w:r>
              <w:rPr>
                <w:rFonts w:eastAsiaTheme="minorEastAsia"/>
                <w:color w:val="000000" w:themeColor="text1"/>
                <w:sz w:val="24"/>
              </w:rPr>
              <w:t>93.08</w:t>
            </w:r>
          </w:p>
        </w:tc>
      </w:tr>
    </w:tbl>
    <w:p w:rsidR="0054389B" w:rsidRPr="00B34368" w:rsidRDefault="0054389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 xml:space="preserve">5.3 </w:t>
      </w:r>
      <w:r w:rsidRPr="00B34368">
        <w:rPr>
          <w:rFonts w:eastAsiaTheme="minorEastAsia" w:hAnsiTheme="minorEastAsia"/>
          <w:b/>
          <w:color w:val="000000" w:themeColor="text1"/>
          <w:kern w:val="0"/>
          <w:sz w:val="24"/>
        </w:rPr>
        <w:t>报告期末按行业分类的股票投资组合</w:t>
      </w:r>
    </w:p>
    <w:p w:rsidR="0054389B" w:rsidRPr="00B34368" w:rsidRDefault="0054389B" w:rsidP="0054389B">
      <w:pPr>
        <w:rPr>
          <w:rFonts w:eastAsiaTheme="minorEastAsia"/>
          <w:b/>
          <w:sz w:val="24"/>
        </w:rPr>
      </w:pPr>
      <w:r w:rsidRPr="00B34368">
        <w:rPr>
          <w:rFonts w:eastAsiaTheme="minorEastAsia"/>
          <w:b/>
          <w:color w:val="000000" w:themeColor="text1"/>
          <w:kern w:val="0"/>
          <w:sz w:val="24"/>
        </w:rPr>
        <w:t>5.3.1</w:t>
      </w:r>
      <w:r w:rsidRPr="00B34368">
        <w:rPr>
          <w:rFonts w:eastAsiaTheme="minorEastAsia" w:hAnsi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3135"/>
        <w:gridCol w:w="1365"/>
      </w:tblGrid>
      <w:tr w:rsidR="00D3639B" w:rsidRPr="00B34368" w:rsidTr="00975D18">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行业类别</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公允价值（元）</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农、林、牧、渔业</w:t>
            </w:r>
          </w:p>
        </w:tc>
        <w:tc>
          <w:tcPr>
            <w:tcW w:w="3135" w:type="dxa"/>
            <w:tcBorders>
              <w:top w:val="single" w:sz="4" w:space="0" w:color="000000"/>
              <w:left w:val="single" w:sz="4" w:space="0" w:color="auto"/>
              <w:bottom w:val="single" w:sz="4" w:space="0" w:color="000000"/>
              <w:right w:val="single" w:sz="4" w:space="0" w:color="000000"/>
            </w:tcBorders>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6,974,968.00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F458B" w:rsidRPr="00B34368" w:rsidRDefault="005F458B" w:rsidP="00724F6D">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0.12</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采矿业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p w:rsidR="005F458B" w:rsidRPr="00B34368" w:rsidRDefault="005F458B" w:rsidP="00724F6D">
            <w:pPr>
              <w:jc w:val="right"/>
              <w:rPr>
                <w:rFonts w:eastAsiaTheme="minorEastAsia"/>
                <w:color w:val="000000" w:themeColor="text1"/>
                <w:sz w:val="24"/>
              </w:rPr>
            </w:pP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p w:rsidR="005F458B" w:rsidRPr="00B34368" w:rsidRDefault="005F458B" w:rsidP="00724F6D">
            <w:pPr>
              <w:jc w:val="right"/>
              <w:rPr>
                <w:rFonts w:eastAsiaTheme="minorEastAsia"/>
                <w:color w:val="000000" w:themeColor="text1"/>
                <w:sz w:val="24"/>
              </w:rPr>
            </w:pP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制造业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29,965,788.49</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0.51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电力、热力、燃气及水生产和供应业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2,139,240.40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0.04</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建筑业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批发和零售业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交通运输、仓储和邮政业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住宿和餐饮业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信息传输、软件和信息技术服务业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13,552,413.80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0.23</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金融业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38,266.20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0.00</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房地产业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租赁和商务服务业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466,691.00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724F6D">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科学研究和技术服务业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1,182,432.00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0.02</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水利、环境和公共设施管理业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713,940.00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0.01</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居民服务、修理和其他服务业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lastRenderedPageBreak/>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教育</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卫生和社会工作</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3,797,445.90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0.06</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文化、体育和娱乐业</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2,656,213.00</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0.05</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r w:rsidRPr="00B34368">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综合</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5F458B" w:rsidRPr="00B34368" w:rsidRDefault="005F458B" w:rsidP="00724F6D">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tcPr>
          <w:p w:rsidR="005F458B" w:rsidRPr="00B34368" w:rsidRDefault="005F458B" w:rsidP="00975D18">
            <w:pPr>
              <w:adjustRightInd w:val="0"/>
              <w:snapToGrid w:val="0"/>
              <w:spacing w:line="400" w:lineRule="exact"/>
              <w:rPr>
                <w:rFonts w:eastAsiaTheme="minorEastAsia"/>
                <w:color w:val="000000" w:themeColor="text1"/>
                <w:sz w:val="24"/>
              </w:rPr>
            </w:pPr>
            <w:r w:rsidRPr="00B34368">
              <w:rPr>
                <w:rFonts w:eastAsiaTheme="minorEastAsia" w:hAnsiTheme="minorEastAsia"/>
                <w:color w:val="000000" w:themeColor="text1"/>
                <w:sz w:val="24"/>
              </w:rPr>
              <w:t>合计</w:t>
            </w:r>
          </w:p>
        </w:tc>
        <w:tc>
          <w:tcPr>
            <w:tcW w:w="3135" w:type="dxa"/>
            <w:tcBorders>
              <w:top w:val="single" w:sz="4" w:space="0" w:color="000000"/>
              <w:left w:val="single" w:sz="4" w:space="0" w:color="auto"/>
              <w:bottom w:val="single" w:sz="4" w:space="0" w:color="000000"/>
              <w:right w:val="single" w:sz="4" w:space="0" w:color="000000"/>
            </w:tcBorders>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61,487,398.79</w:t>
            </w:r>
          </w:p>
        </w:tc>
        <w:tc>
          <w:tcPr>
            <w:tcW w:w="136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rsidR="005F458B" w:rsidRPr="00B34368" w:rsidRDefault="005F458B" w:rsidP="00724F6D">
            <w:pPr>
              <w:jc w:val="right"/>
              <w:rPr>
                <w:rFonts w:eastAsiaTheme="minorEastAsia"/>
                <w:color w:val="000000" w:themeColor="text1"/>
                <w:sz w:val="24"/>
              </w:rPr>
            </w:pPr>
            <w:r w:rsidRPr="00B34368">
              <w:rPr>
                <w:rFonts w:eastAsiaTheme="minorEastAsia"/>
                <w:color w:val="000000" w:themeColor="text1"/>
                <w:sz w:val="24"/>
              </w:rPr>
              <w:t>1.05</w:t>
            </w:r>
          </w:p>
        </w:tc>
      </w:tr>
    </w:tbl>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4</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报告期末按公允价值占基金资产净值比例大小排序的前十名股票投资明细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701"/>
        <w:gridCol w:w="1276"/>
        <w:gridCol w:w="1842"/>
        <w:gridCol w:w="1616"/>
      </w:tblGrid>
      <w:tr w:rsidR="00D3639B" w:rsidRPr="00B34368" w:rsidTr="00975D18">
        <w:tc>
          <w:tcPr>
            <w:tcW w:w="817"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股票代码</w:t>
            </w:r>
          </w:p>
        </w:tc>
        <w:tc>
          <w:tcPr>
            <w:tcW w:w="1701"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股票名称</w:t>
            </w:r>
          </w:p>
        </w:tc>
        <w:tc>
          <w:tcPr>
            <w:tcW w:w="127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数量</w:t>
            </w:r>
            <w:r w:rsidRPr="00B34368">
              <w:rPr>
                <w:rFonts w:eastAsiaTheme="minorEastAsia"/>
                <w:color w:val="000000" w:themeColor="text1"/>
                <w:sz w:val="24"/>
              </w:rPr>
              <w:t>(</w:t>
            </w:r>
            <w:r w:rsidRPr="00B34368">
              <w:rPr>
                <w:rFonts w:eastAsiaTheme="minorEastAsia" w:hAnsiTheme="minorEastAsia"/>
                <w:color w:val="000000" w:themeColor="text1"/>
                <w:sz w:val="24"/>
              </w:rPr>
              <w:t>股</w:t>
            </w:r>
            <w:r w:rsidRPr="00B34368">
              <w:rPr>
                <w:rFonts w:eastAsiaTheme="minorEastAsia"/>
                <w:color w:val="000000" w:themeColor="text1"/>
                <w:sz w:val="24"/>
              </w:rPr>
              <w:t>)</w:t>
            </w:r>
          </w:p>
        </w:tc>
        <w:tc>
          <w:tcPr>
            <w:tcW w:w="1842" w:type="dxa"/>
            <w:vAlign w:val="center"/>
          </w:tcPr>
          <w:p w:rsidR="000871DB" w:rsidRPr="00B34368" w:rsidRDefault="000871DB" w:rsidP="000871DB">
            <w:pPr>
              <w:autoSpaceDE w:val="0"/>
              <w:autoSpaceDN w:val="0"/>
              <w:adjustRightInd w:val="0"/>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616" w:type="dxa"/>
            <w:vAlign w:val="center"/>
          </w:tcPr>
          <w:p w:rsidR="000871DB" w:rsidRPr="00B34368" w:rsidRDefault="000871DB" w:rsidP="000871DB">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r w:rsidRPr="00B34368">
              <w:rPr>
                <w:rFonts w:eastAsiaTheme="minorEastAsia" w:hAnsiTheme="minorEastAsia"/>
                <w:color w:val="000000" w:themeColor="text1"/>
                <w:sz w:val="24"/>
              </w:rPr>
              <w:t>％</w:t>
            </w:r>
            <w:r w:rsidRPr="00B34368">
              <w:rPr>
                <w:rFonts w:eastAsiaTheme="minorEastAsia"/>
                <w:color w:val="000000" w:themeColor="text1"/>
                <w:sz w:val="24"/>
              </w:rPr>
              <w:t>)</w:t>
            </w:r>
          </w:p>
        </w:tc>
      </w:tr>
      <w:tr w:rsidR="0044553C">
        <w:tc>
          <w:tcPr>
            <w:tcW w:w="817" w:type="dxa"/>
            <w:vAlign w:val="center"/>
          </w:tcPr>
          <w:p w:rsidR="0044553C" w:rsidRDefault="00276810">
            <w:pPr>
              <w:jc w:val="center"/>
            </w:pPr>
            <w:r>
              <w:rPr>
                <w:rFonts w:eastAsiaTheme="minorEastAsia"/>
                <w:color w:val="000000" w:themeColor="text1"/>
                <w:sz w:val="24"/>
              </w:rPr>
              <w:t>1</w:t>
            </w:r>
          </w:p>
        </w:tc>
        <w:tc>
          <w:tcPr>
            <w:tcW w:w="1276" w:type="dxa"/>
            <w:vAlign w:val="center"/>
          </w:tcPr>
          <w:p w:rsidR="0044553C" w:rsidRDefault="00276810">
            <w:pPr>
              <w:jc w:val="center"/>
            </w:pPr>
            <w:r>
              <w:rPr>
                <w:rFonts w:eastAsiaTheme="minorEastAsia"/>
                <w:color w:val="000000" w:themeColor="text1"/>
                <w:sz w:val="24"/>
              </w:rPr>
              <w:t>300498</w:t>
            </w:r>
          </w:p>
        </w:tc>
        <w:tc>
          <w:tcPr>
            <w:tcW w:w="1701" w:type="dxa"/>
            <w:vAlign w:val="center"/>
          </w:tcPr>
          <w:p w:rsidR="0044553C" w:rsidRDefault="00276810">
            <w:pPr>
              <w:jc w:val="center"/>
            </w:pPr>
            <w:r>
              <w:rPr>
                <w:rFonts w:eastAsiaTheme="minorEastAsia"/>
                <w:color w:val="000000" w:themeColor="text1"/>
                <w:sz w:val="24"/>
              </w:rPr>
              <w:t>温氏股份</w:t>
            </w:r>
          </w:p>
        </w:tc>
        <w:tc>
          <w:tcPr>
            <w:tcW w:w="1276" w:type="dxa"/>
            <w:vAlign w:val="center"/>
          </w:tcPr>
          <w:p w:rsidR="0044553C" w:rsidRDefault="00276810">
            <w:pPr>
              <w:jc w:val="right"/>
            </w:pPr>
            <w:r>
              <w:rPr>
                <w:rFonts w:eastAsiaTheme="minorEastAsia"/>
                <w:color w:val="000000" w:themeColor="text1"/>
                <w:sz w:val="24"/>
              </w:rPr>
              <w:t>187,600</w:t>
            </w:r>
          </w:p>
        </w:tc>
        <w:tc>
          <w:tcPr>
            <w:tcW w:w="1842" w:type="dxa"/>
            <w:vAlign w:val="center"/>
          </w:tcPr>
          <w:p w:rsidR="0044553C" w:rsidRDefault="00276810">
            <w:pPr>
              <w:jc w:val="right"/>
            </w:pPr>
            <w:r>
              <w:rPr>
                <w:rFonts w:eastAsiaTheme="minorEastAsia"/>
                <w:color w:val="000000" w:themeColor="text1"/>
                <w:sz w:val="24"/>
              </w:rPr>
              <w:t>6,974,968.00</w:t>
            </w:r>
          </w:p>
        </w:tc>
        <w:tc>
          <w:tcPr>
            <w:tcW w:w="1616" w:type="dxa"/>
            <w:vAlign w:val="center"/>
          </w:tcPr>
          <w:p w:rsidR="0044553C" w:rsidRDefault="00276810">
            <w:pPr>
              <w:jc w:val="right"/>
            </w:pPr>
            <w:r>
              <w:rPr>
                <w:rFonts w:eastAsiaTheme="minorEastAsia"/>
                <w:color w:val="000000" w:themeColor="text1"/>
                <w:sz w:val="24"/>
              </w:rPr>
              <w:t>0.12</w:t>
            </w:r>
          </w:p>
        </w:tc>
      </w:tr>
      <w:tr w:rsidR="0044553C">
        <w:tc>
          <w:tcPr>
            <w:tcW w:w="817" w:type="dxa"/>
            <w:vAlign w:val="center"/>
          </w:tcPr>
          <w:p w:rsidR="0044553C" w:rsidRDefault="00276810">
            <w:pPr>
              <w:jc w:val="center"/>
            </w:pPr>
            <w:r>
              <w:rPr>
                <w:rFonts w:eastAsiaTheme="minorEastAsia"/>
                <w:color w:val="000000" w:themeColor="text1"/>
                <w:sz w:val="24"/>
              </w:rPr>
              <w:t>2</w:t>
            </w:r>
          </w:p>
        </w:tc>
        <w:tc>
          <w:tcPr>
            <w:tcW w:w="1276" w:type="dxa"/>
            <w:vAlign w:val="center"/>
          </w:tcPr>
          <w:p w:rsidR="0044553C" w:rsidRDefault="00276810">
            <w:pPr>
              <w:jc w:val="center"/>
            </w:pPr>
            <w:r>
              <w:rPr>
                <w:rFonts w:eastAsiaTheme="minorEastAsia"/>
                <w:color w:val="000000" w:themeColor="text1"/>
                <w:sz w:val="24"/>
              </w:rPr>
              <w:t>300059</w:t>
            </w:r>
          </w:p>
        </w:tc>
        <w:tc>
          <w:tcPr>
            <w:tcW w:w="1701" w:type="dxa"/>
            <w:vAlign w:val="center"/>
          </w:tcPr>
          <w:p w:rsidR="0044553C" w:rsidRDefault="00276810">
            <w:pPr>
              <w:jc w:val="center"/>
            </w:pPr>
            <w:r>
              <w:rPr>
                <w:rFonts w:eastAsiaTheme="minorEastAsia"/>
                <w:color w:val="000000" w:themeColor="text1"/>
                <w:sz w:val="24"/>
              </w:rPr>
              <w:t>东方财富</w:t>
            </w:r>
          </w:p>
        </w:tc>
        <w:tc>
          <w:tcPr>
            <w:tcW w:w="1276" w:type="dxa"/>
            <w:vAlign w:val="center"/>
          </w:tcPr>
          <w:p w:rsidR="0044553C" w:rsidRDefault="00276810">
            <w:pPr>
              <w:jc w:val="right"/>
            </w:pPr>
            <w:r>
              <w:rPr>
                <w:rFonts w:eastAsiaTheme="minorEastAsia"/>
                <w:color w:val="000000" w:themeColor="text1"/>
                <w:sz w:val="24"/>
              </w:rPr>
              <w:t>222,500</w:t>
            </w:r>
          </w:p>
        </w:tc>
        <w:tc>
          <w:tcPr>
            <w:tcW w:w="1842" w:type="dxa"/>
            <w:vAlign w:val="center"/>
          </w:tcPr>
          <w:p w:rsidR="0044553C" w:rsidRDefault="00276810">
            <w:pPr>
              <w:jc w:val="right"/>
            </w:pPr>
            <w:r>
              <w:rPr>
                <w:rFonts w:eastAsiaTheme="minorEastAsia"/>
                <w:color w:val="000000" w:themeColor="text1"/>
                <w:sz w:val="24"/>
              </w:rPr>
              <w:t>3,288,550.00</w:t>
            </w:r>
          </w:p>
        </w:tc>
        <w:tc>
          <w:tcPr>
            <w:tcW w:w="1616" w:type="dxa"/>
            <w:vAlign w:val="center"/>
          </w:tcPr>
          <w:p w:rsidR="0044553C" w:rsidRDefault="00276810">
            <w:pPr>
              <w:jc w:val="right"/>
            </w:pPr>
            <w:r>
              <w:rPr>
                <w:rFonts w:eastAsiaTheme="minorEastAsia"/>
                <w:color w:val="000000" w:themeColor="text1"/>
                <w:sz w:val="24"/>
              </w:rPr>
              <w:t>0.06</w:t>
            </w:r>
          </w:p>
        </w:tc>
      </w:tr>
      <w:tr w:rsidR="0044553C">
        <w:tc>
          <w:tcPr>
            <w:tcW w:w="817" w:type="dxa"/>
            <w:vAlign w:val="center"/>
          </w:tcPr>
          <w:p w:rsidR="0044553C" w:rsidRDefault="00276810">
            <w:pPr>
              <w:jc w:val="center"/>
            </w:pPr>
            <w:r>
              <w:rPr>
                <w:rFonts w:eastAsiaTheme="minorEastAsia"/>
                <w:color w:val="000000" w:themeColor="text1"/>
                <w:sz w:val="24"/>
              </w:rPr>
              <w:t>3</w:t>
            </w:r>
          </w:p>
        </w:tc>
        <w:tc>
          <w:tcPr>
            <w:tcW w:w="1276" w:type="dxa"/>
            <w:vAlign w:val="center"/>
          </w:tcPr>
          <w:p w:rsidR="0044553C" w:rsidRDefault="00276810">
            <w:pPr>
              <w:jc w:val="center"/>
            </w:pPr>
            <w:r>
              <w:rPr>
                <w:rFonts w:eastAsiaTheme="minorEastAsia"/>
                <w:color w:val="000000" w:themeColor="text1"/>
                <w:sz w:val="24"/>
              </w:rPr>
              <w:t>300750</w:t>
            </w:r>
          </w:p>
        </w:tc>
        <w:tc>
          <w:tcPr>
            <w:tcW w:w="1701" w:type="dxa"/>
            <w:vAlign w:val="center"/>
          </w:tcPr>
          <w:p w:rsidR="0044553C" w:rsidRDefault="00276810">
            <w:pPr>
              <w:jc w:val="center"/>
            </w:pPr>
            <w:r>
              <w:rPr>
                <w:rFonts w:eastAsiaTheme="minorEastAsia"/>
                <w:color w:val="000000" w:themeColor="text1"/>
                <w:sz w:val="24"/>
              </w:rPr>
              <w:t>宁德时代</w:t>
            </w:r>
          </w:p>
        </w:tc>
        <w:tc>
          <w:tcPr>
            <w:tcW w:w="1276" w:type="dxa"/>
            <w:vAlign w:val="center"/>
          </w:tcPr>
          <w:p w:rsidR="0044553C" w:rsidRDefault="00276810">
            <w:pPr>
              <w:jc w:val="right"/>
            </w:pPr>
            <w:r>
              <w:rPr>
                <w:rFonts w:eastAsiaTheme="minorEastAsia"/>
                <w:color w:val="000000" w:themeColor="text1"/>
                <w:sz w:val="24"/>
              </w:rPr>
              <w:t>32,400</w:t>
            </w:r>
          </w:p>
        </w:tc>
        <w:tc>
          <w:tcPr>
            <w:tcW w:w="1842" w:type="dxa"/>
            <w:vAlign w:val="center"/>
          </w:tcPr>
          <w:p w:rsidR="0044553C" w:rsidRDefault="00276810">
            <w:pPr>
              <w:jc w:val="right"/>
            </w:pPr>
            <w:r>
              <w:rPr>
                <w:rFonts w:eastAsiaTheme="minorEastAsia"/>
                <w:color w:val="000000" w:themeColor="text1"/>
                <w:sz w:val="24"/>
              </w:rPr>
              <w:t>2,316,600.00</w:t>
            </w:r>
          </w:p>
        </w:tc>
        <w:tc>
          <w:tcPr>
            <w:tcW w:w="1616" w:type="dxa"/>
            <w:vAlign w:val="center"/>
          </w:tcPr>
          <w:p w:rsidR="0044553C" w:rsidRDefault="00276810">
            <w:pPr>
              <w:jc w:val="right"/>
            </w:pPr>
            <w:r>
              <w:rPr>
                <w:rFonts w:eastAsiaTheme="minorEastAsia"/>
                <w:color w:val="000000" w:themeColor="text1"/>
                <w:sz w:val="24"/>
              </w:rPr>
              <w:t>0.04</w:t>
            </w:r>
          </w:p>
        </w:tc>
      </w:tr>
      <w:tr w:rsidR="0044553C">
        <w:tc>
          <w:tcPr>
            <w:tcW w:w="817" w:type="dxa"/>
            <w:vAlign w:val="center"/>
          </w:tcPr>
          <w:p w:rsidR="0044553C" w:rsidRDefault="00276810">
            <w:pPr>
              <w:jc w:val="center"/>
            </w:pPr>
            <w:r>
              <w:rPr>
                <w:rFonts w:eastAsiaTheme="minorEastAsia"/>
                <w:color w:val="000000" w:themeColor="text1"/>
                <w:sz w:val="24"/>
              </w:rPr>
              <w:t>4</w:t>
            </w:r>
          </w:p>
        </w:tc>
        <w:tc>
          <w:tcPr>
            <w:tcW w:w="1276" w:type="dxa"/>
            <w:vAlign w:val="center"/>
          </w:tcPr>
          <w:p w:rsidR="0044553C" w:rsidRDefault="00276810">
            <w:pPr>
              <w:jc w:val="center"/>
            </w:pPr>
            <w:r>
              <w:rPr>
                <w:rFonts w:eastAsiaTheme="minorEastAsia"/>
                <w:color w:val="000000" w:themeColor="text1"/>
                <w:sz w:val="24"/>
              </w:rPr>
              <w:t>003816</w:t>
            </w:r>
          </w:p>
        </w:tc>
        <w:tc>
          <w:tcPr>
            <w:tcW w:w="1701" w:type="dxa"/>
            <w:vAlign w:val="center"/>
          </w:tcPr>
          <w:p w:rsidR="0044553C" w:rsidRDefault="00276810">
            <w:pPr>
              <w:jc w:val="center"/>
            </w:pPr>
            <w:r>
              <w:rPr>
                <w:rFonts w:eastAsiaTheme="minorEastAsia"/>
                <w:color w:val="000000" w:themeColor="text1"/>
                <w:sz w:val="24"/>
              </w:rPr>
              <w:t>中国广核</w:t>
            </w:r>
          </w:p>
        </w:tc>
        <w:tc>
          <w:tcPr>
            <w:tcW w:w="1276" w:type="dxa"/>
            <w:vAlign w:val="center"/>
          </w:tcPr>
          <w:p w:rsidR="0044553C" w:rsidRDefault="00276810">
            <w:pPr>
              <w:jc w:val="right"/>
            </w:pPr>
            <w:r>
              <w:rPr>
                <w:rFonts w:eastAsiaTheme="minorEastAsia"/>
                <w:color w:val="000000" w:themeColor="text1"/>
                <w:sz w:val="24"/>
              </w:rPr>
              <w:t>562,958</w:t>
            </w:r>
          </w:p>
        </w:tc>
        <w:tc>
          <w:tcPr>
            <w:tcW w:w="1842" w:type="dxa"/>
            <w:vAlign w:val="center"/>
          </w:tcPr>
          <w:p w:rsidR="0044553C" w:rsidRDefault="00276810">
            <w:pPr>
              <w:jc w:val="right"/>
            </w:pPr>
            <w:r>
              <w:rPr>
                <w:rFonts w:eastAsiaTheme="minorEastAsia"/>
                <w:color w:val="000000" w:themeColor="text1"/>
                <w:sz w:val="24"/>
              </w:rPr>
              <w:t>2,139,240.40</w:t>
            </w:r>
          </w:p>
        </w:tc>
        <w:tc>
          <w:tcPr>
            <w:tcW w:w="1616" w:type="dxa"/>
            <w:vAlign w:val="center"/>
          </w:tcPr>
          <w:p w:rsidR="0044553C" w:rsidRDefault="00276810">
            <w:pPr>
              <w:jc w:val="right"/>
            </w:pPr>
            <w:r>
              <w:rPr>
                <w:rFonts w:eastAsiaTheme="minorEastAsia"/>
                <w:color w:val="000000" w:themeColor="text1"/>
                <w:sz w:val="24"/>
              </w:rPr>
              <w:t>0.04</w:t>
            </w:r>
          </w:p>
        </w:tc>
      </w:tr>
      <w:tr w:rsidR="0044553C">
        <w:tc>
          <w:tcPr>
            <w:tcW w:w="817" w:type="dxa"/>
            <w:vAlign w:val="center"/>
          </w:tcPr>
          <w:p w:rsidR="0044553C" w:rsidRDefault="00276810">
            <w:pPr>
              <w:jc w:val="center"/>
            </w:pPr>
            <w:r>
              <w:rPr>
                <w:rFonts w:eastAsiaTheme="minorEastAsia"/>
                <w:color w:val="000000" w:themeColor="text1"/>
                <w:sz w:val="24"/>
              </w:rPr>
              <w:t>5</w:t>
            </w:r>
          </w:p>
        </w:tc>
        <w:tc>
          <w:tcPr>
            <w:tcW w:w="1276" w:type="dxa"/>
            <w:vAlign w:val="center"/>
          </w:tcPr>
          <w:p w:rsidR="0044553C" w:rsidRDefault="00276810">
            <w:pPr>
              <w:jc w:val="center"/>
            </w:pPr>
            <w:r>
              <w:rPr>
                <w:rFonts w:eastAsiaTheme="minorEastAsia"/>
                <w:color w:val="000000" w:themeColor="text1"/>
                <w:sz w:val="24"/>
              </w:rPr>
              <w:t>300015</w:t>
            </w:r>
          </w:p>
        </w:tc>
        <w:tc>
          <w:tcPr>
            <w:tcW w:w="1701" w:type="dxa"/>
            <w:vAlign w:val="center"/>
          </w:tcPr>
          <w:p w:rsidR="0044553C" w:rsidRDefault="00276810">
            <w:pPr>
              <w:jc w:val="center"/>
            </w:pPr>
            <w:r>
              <w:rPr>
                <w:rFonts w:eastAsiaTheme="minorEastAsia"/>
                <w:color w:val="000000" w:themeColor="text1"/>
                <w:sz w:val="24"/>
              </w:rPr>
              <w:t>爱尔眼科</w:t>
            </w:r>
          </w:p>
        </w:tc>
        <w:tc>
          <w:tcPr>
            <w:tcW w:w="1276" w:type="dxa"/>
            <w:vAlign w:val="center"/>
          </w:tcPr>
          <w:p w:rsidR="0044553C" w:rsidRDefault="00276810">
            <w:pPr>
              <w:jc w:val="right"/>
            </w:pPr>
            <w:r>
              <w:rPr>
                <w:rFonts w:eastAsiaTheme="minorEastAsia"/>
                <w:color w:val="000000" w:themeColor="text1"/>
                <w:sz w:val="24"/>
              </w:rPr>
              <w:t>53,370</w:t>
            </w:r>
          </w:p>
        </w:tc>
        <w:tc>
          <w:tcPr>
            <w:tcW w:w="1842" w:type="dxa"/>
            <w:vAlign w:val="center"/>
          </w:tcPr>
          <w:p w:rsidR="0044553C" w:rsidRDefault="00276810">
            <w:pPr>
              <w:jc w:val="right"/>
            </w:pPr>
            <w:r>
              <w:rPr>
                <w:rFonts w:eastAsiaTheme="minorEastAsia"/>
                <w:color w:val="000000" w:themeColor="text1"/>
                <w:sz w:val="24"/>
              </w:rPr>
              <w:t>1,893,033.90</w:t>
            </w:r>
          </w:p>
        </w:tc>
        <w:tc>
          <w:tcPr>
            <w:tcW w:w="1616" w:type="dxa"/>
            <w:vAlign w:val="center"/>
          </w:tcPr>
          <w:p w:rsidR="0044553C" w:rsidRDefault="00276810">
            <w:pPr>
              <w:jc w:val="right"/>
            </w:pPr>
            <w:r>
              <w:rPr>
                <w:rFonts w:eastAsiaTheme="minorEastAsia"/>
                <w:color w:val="000000" w:themeColor="text1"/>
                <w:sz w:val="24"/>
              </w:rPr>
              <w:t>0.03</w:t>
            </w:r>
          </w:p>
        </w:tc>
      </w:tr>
      <w:tr w:rsidR="0044553C">
        <w:tc>
          <w:tcPr>
            <w:tcW w:w="817" w:type="dxa"/>
            <w:vAlign w:val="center"/>
          </w:tcPr>
          <w:p w:rsidR="0044553C" w:rsidRDefault="00276810">
            <w:pPr>
              <w:jc w:val="center"/>
            </w:pPr>
            <w:r>
              <w:rPr>
                <w:rFonts w:eastAsiaTheme="minorEastAsia"/>
                <w:color w:val="000000" w:themeColor="text1"/>
                <w:sz w:val="24"/>
              </w:rPr>
              <w:t>6</w:t>
            </w:r>
          </w:p>
        </w:tc>
        <w:tc>
          <w:tcPr>
            <w:tcW w:w="1276" w:type="dxa"/>
            <w:vAlign w:val="center"/>
          </w:tcPr>
          <w:p w:rsidR="0044553C" w:rsidRDefault="00276810">
            <w:pPr>
              <w:jc w:val="center"/>
            </w:pPr>
            <w:r>
              <w:rPr>
                <w:rFonts w:eastAsiaTheme="minorEastAsia"/>
                <w:color w:val="000000" w:themeColor="text1"/>
                <w:sz w:val="24"/>
              </w:rPr>
              <w:t>300760</w:t>
            </w:r>
          </w:p>
        </w:tc>
        <w:tc>
          <w:tcPr>
            <w:tcW w:w="1701" w:type="dxa"/>
            <w:vAlign w:val="center"/>
          </w:tcPr>
          <w:p w:rsidR="0044553C" w:rsidRDefault="00276810">
            <w:pPr>
              <w:jc w:val="center"/>
            </w:pPr>
            <w:r>
              <w:rPr>
                <w:rFonts w:eastAsiaTheme="minorEastAsia"/>
                <w:color w:val="000000" w:themeColor="text1"/>
                <w:sz w:val="24"/>
              </w:rPr>
              <w:t>迈瑞医疗</w:t>
            </w:r>
          </w:p>
        </w:tc>
        <w:tc>
          <w:tcPr>
            <w:tcW w:w="1276" w:type="dxa"/>
            <w:vAlign w:val="center"/>
          </w:tcPr>
          <w:p w:rsidR="0044553C" w:rsidRDefault="00276810">
            <w:pPr>
              <w:jc w:val="right"/>
            </w:pPr>
            <w:r>
              <w:rPr>
                <w:rFonts w:eastAsiaTheme="minorEastAsia"/>
                <w:color w:val="000000" w:themeColor="text1"/>
                <w:sz w:val="24"/>
              </w:rPr>
              <w:t>8,000</w:t>
            </w:r>
          </w:p>
        </w:tc>
        <w:tc>
          <w:tcPr>
            <w:tcW w:w="1842" w:type="dxa"/>
            <w:vAlign w:val="center"/>
          </w:tcPr>
          <w:p w:rsidR="0044553C" w:rsidRDefault="00276810">
            <w:pPr>
              <w:jc w:val="right"/>
            </w:pPr>
            <w:r>
              <w:rPr>
                <w:rFonts w:eastAsiaTheme="minorEastAsia"/>
                <w:color w:val="000000" w:themeColor="text1"/>
                <w:sz w:val="24"/>
              </w:rPr>
              <w:t>1,475,680.00</w:t>
            </w:r>
          </w:p>
        </w:tc>
        <w:tc>
          <w:tcPr>
            <w:tcW w:w="1616" w:type="dxa"/>
            <w:vAlign w:val="center"/>
          </w:tcPr>
          <w:p w:rsidR="0044553C" w:rsidRDefault="00276810">
            <w:pPr>
              <w:jc w:val="right"/>
            </w:pPr>
            <w:r>
              <w:rPr>
                <w:rFonts w:eastAsiaTheme="minorEastAsia"/>
                <w:color w:val="000000" w:themeColor="text1"/>
                <w:sz w:val="24"/>
              </w:rPr>
              <w:t>0.03</w:t>
            </w:r>
          </w:p>
        </w:tc>
      </w:tr>
      <w:tr w:rsidR="0044553C">
        <w:tc>
          <w:tcPr>
            <w:tcW w:w="817" w:type="dxa"/>
            <w:vAlign w:val="center"/>
          </w:tcPr>
          <w:p w:rsidR="0044553C" w:rsidRDefault="00276810">
            <w:pPr>
              <w:jc w:val="center"/>
            </w:pPr>
            <w:r>
              <w:rPr>
                <w:rFonts w:eastAsiaTheme="minorEastAsia"/>
                <w:color w:val="000000" w:themeColor="text1"/>
                <w:sz w:val="24"/>
              </w:rPr>
              <w:t>7</w:t>
            </w:r>
          </w:p>
        </w:tc>
        <w:tc>
          <w:tcPr>
            <w:tcW w:w="1276" w:type="dxa"/>
            <w:vAlign w:val="center"/>
          </w:tcPr>
          <w:p w:rsidR="0044553C" w:rsidRDefault="00276810">
            <w:pPr>
              <w:jc w:val="center"/>
            </w:pPr>
            <w:r>
              <w:rPr>
                <w:rFonts w:eastAsiaTheme="minorEastAsia"/>
                <w:color w:val="000000" w:themeColor="text1"/>
                <w:sz w:val="24"/>
              </w:rPr>
              <w:t>300347</w:t>
            </w:r>
          </w:p>
        </w:tc>
        <w:tc>
          <w:tcPr>
            <w:tcW w:w="1701" w:type="dxa"/>
            <w:vAlign w:val="center"/>
          </w:tcPr>
          <w:p w:rsidR="0044553C" w:rsidRDefault="00276810">
            <w:pPr>
              <w:jc w:val="center"/>
            </w:pPr>
            <w:r>
              <w:rPr>
                <w:rFonts w:eastAsiaTheme="minorEastAsia"/>
                <w:color w:val="000000" w:themeColor="text1"/>
                <w:sz w:val="24"/>
              </w:rPr>
              <w:t>泰格医药</w:t>
            </w:r>
          </w:p>
        </w:tc>
        <w:tc>
          <w:tcPr>
            <w:tcW w:w="1276" w:type="dxa"/>
            <w:vAlign w:val="center"/>
          </w:tcPr>
          <w:p w:rsidR="0044553C" w:rsidRDefault="00276810">
            <w:pPr>
              <w:jc w:val="right"/>
            </w:pPr>
            <w:r>
              <w:rPr>
                <w:rFonts w:eastAsiaTheme="minorEastAsia"/>
                <w:color w:val="000000" w:themeColor="text1"/>
                <w:sz w:val="24"/>
              </w:rPr>
              <w:t>23,700</w:t>
            </w:r>
          </w:p>
        </w:tc>
        <w:tc>
          <w:tcPr>
            <w:tcW w:w="1842" w:type="dxa"/>
            <w:vAlign w:val="center"/>
          </w:tcPr>
          <w:p w:rsidR="0044553C" w:rsidRDefault="00276810">
            <w:pPr>
              <w:jc w:val="right"/>
            </w:pPr>
            <w:r>
              <w:rPr>
                <w:rFonts w:eastAsiaTheme="minorEastAsia"/>
                <w:color w:val="000000" w:themeColor="text1"/>
                <w:sz w:val="24"/>
              </w:rPr>
              <w:t>1,470,585.00</w:t>
            </w:r>
          </w:p>
        </w:tc>
        <w:tc>
          <w:tcPr>
            <w:tcW w:w="1616" w:type="dxa"/>
            <w:vAlign w:val="center"/>
          </w:tcPr>
          <w:p w:rsidR="0044553C" w:rsidRDefault="00276810">
            <w:pPr>
              <w:jc w:val="right"/>
            </w:pPr>
            <w:r>
              <w:rPr>
                <w:rFonts w:eastAsiaTheme="minorEastAsia"/>
                <w:color w:val="000000" w:themeColor="text1"/>
                <w:sz w:val="24"/>
              </w:rPr>
              <w:t>0.03</w:t>
            </w:r>
          </w:p>
        </w:tc>
      </w:tr>
      <w:tr w:rsidR="0044553C">
        <w:tc>
          <w:tcPr>
            <w:tcW w:w="817" w:type="dxa"/>
            <w:vAlign w:val="center"/>
          </w:tcPr>
          <w:p w:rsidR="0044553C" w:rsidRDefault="00276810">
            <w:pPr>
              <w:jc w:val="center"/>
            </w:pPr>
            <w:r>
              <w:rPr>
                <w:rFonts w:eastAsiaTheme="minorEastAsia"/>
                <w:color w:val="000000" w:themeColor="text1"/>
                <w:sz w:val="24"/>
              </w:rPr>
              <w:t>8</w:t>
            </w:r>
          </w:p>
        </w:tc>
        <w:tc>
          <w:tcPr>
            <w:tcW w:w="1276" w:type="dxa"/>
            <w:vAlign w:val="center"/>
          </w:tcPr>
          <w:p w:rsidR="0044553C" w:rsidRDefault="00276810">
            <w:pPr>
              <w:jc w:val="center"/>
            </w:pPr>
            <w:r>
              <w:rPr>
                <w:rFonts w:eastAsiaTheme="minorEastAsia"/>
                <w:color w:val="000000" w:themeColor="text1"/>
                <w:sz w:val="24"/>
              </w:rPr>
              <w:t>300142</w:t>
            </w:r>
          </w:p>
        </w:tc>
        <w:tc>
          <w:tcPr>
            <w:tcW w:w="1701" w:type="dxa"/>
            <w:vAlign w:val="center"/>
          </w:tcPr>
          <w:p w:rsidR="0044553C" w:rsidRDefault="00276810">
            <w:pPr>
              <w:jc w:val="center"/>
            </w:pPr>
            <w:r>
              <w:rPr>
                <w:rFonts w:eastAsiaTheme="minorEastAsia"/>
                <w:color w:val="000000" w:themeColor="text1"/>
                <w:sz w:val="24"/>
              </w:rPr>
              <w:t>沃森生物</w:t>
            </w:r>
          </w:p>
        </w:tc>
        <w:tc>
          <w:tcPr>
            <w:tcW w:w="1276" w:type="dxa"/>
            <w:vAlign w:val="center"/>
          </w:tcPr>
          <w:p w:rsidR="0044553C" w:rsidRDefault="00276810">
            <w:pPr>
              <w:jc w:val="right"/>
            </w:pPr>
            <w:r>
              <w:rPr>
                <w:rFonts w:eastAsiaTheme="minorEastAsia"/>
                <w:color w:val="000000" w:themeColor="text1"/>
                <w:sz w:val="24"/>
              </w:rPr>
              <w:t>54,100</w:t>
            </w:r>
          </w:p>
        </w:tc>
        <w:tc>
          <w:tcPr>
            <w:tcW w:w="1842" w:type="dxa"/>
            <w:vAlign w:val="center"/>
          </w:tcPr>
          <w:p w:rsidR="0044553C" w:rsidRDefault="00276810">
            <w:pPr>
              <w:jc w:val="right"/>
            </w:pPr>
            <w:r>
              <w:rPr>
                <w:rFonts w:eastAsiaTheme="minorEastAsia"/>
                <w:color w:val="000000" w:themeColor="text1"/>
                <w:sz w:val="24"/>
              </w:rPr>
              <w:t>1,460,159.00</w:t>
            </w:r>
          </w:p>
        </w:tc>
        <w:tc>
          <w:tcPr>
            <w:tcW w:w="1616" w:type="dxa"/>
            <w:vAlign w:val="center"/>
          </w:tcPr>
          <w:p w:rsidR="0044553C" w:rsidRDefault="00276810">
            <w:pPr>
              <w:jc w:val="right"/>
            </w:pPr>
            <w:r>
              <w:rPr>
                <w:rFonts w:eastAsiaTheme="minorEastAsia"/>
                <w:color w:val="000000" w:themeColor="text1"/>
                <w:sz w:val="24"/>
              </w:rPr>
              <w:t>0.02</w:t>
            </w:r>
          </w:p>
        </w:tc>
      </w:tr>
      <w:tr w:rsidR="0044553C">
        <w:tc>
          <w:tcPr>
            <w:tcW w:w="817" w:type="dxa"/>
            <w:vAlign w:val="center"/>
          </w:tcPr>
          <w:p w:rsidR="0044553C" w:rsidRDefault="00276810">
            <w:pPr>
              <w:jc w:val="center"/>
            </w:pPr>
            <w:r>
              <w:rPr>
                <w:rFonts w:eastAsiaTheme="minorEastAsia"/>
                <w:color w:val="000000" w:themeColor="text1"/>
                <w:sz w:val="24"/>
              </w:rPr>
              <w:t>9</w:t>
            </w:r>
          </w:p>
        </w:tc>
        <w:tc>
          <w:tcPr>
            <w:tcW w:w="1276" w:type="dxa"/>
            <w:vAlign w:val="center"/>
          </w:tcPr>
          <w:p w:rsidR="0044553C" w:rsidRDefault="00276810">
            <w:pPr>
              <w:jc w:val="center"/>
            </w:pPr>
            <w:r>
              <w:rPr>
                <w:rFonts w:eastAsiaTheme="minorEastAsia"/>
                <w:color w:val="000000" w:themeColor="text1"/>
                <w:sz w:val="24"/>
              </w:rPr>
              <w:t>300136</w:t>
            </w:r>
          </w:p>
        </w:tc>
        <w:tc>
          <w:tcPr>
            <w:tcW w:w="1701" w:type="dxa"/>
            <w:vAlign w:val="center"/>
          </w:tcPr>
          <w:p w:rsidR="0044553C" w:rsidRDefault="00276810">
            <w:pPr>
              <w:jc w:val="center"/>
            </w:pPr>
            <w:r>
              <w:rPr>
                <w:rFonts w:eastAsiaTheme="minorEastAsia"/>
                <w:color w:val="000000" w:themeColor="text1"/>
                <w:sz w:val="24"/>
              </w:rPr>
              <w:t>信维通信</w:t>
            </w:r>
          </w:p>
        </w:tc>
        <w:tc>
          <w:tcPr>
            <w:tcW w:w="1276" w:type="dxa"/>
            <w:vAlign w:val="center"/>
          </w:tcPr>
          <w:p w:rsidR="0044553C" w:rsidRDefault="00276810">
            <w:pPr>
              <w:jc w:val="right"/>
            </w:pPr>
            <w:r>
              <w:rPr>
                <w:rFonts w:eastAsiaTheme="minorEastAsia"/>
                <w:color w:val="000000" w:themeColor="text1"/>
                <w:sz w:val="24"/>
              </w:rPr>
              <w:t>34,300</w:t>
            </w:r>
          </w:p>
        </w:tc>
        <w:tc>
          <w:tcPr>
            <w:tcW w:w="1842" w:type="dxa"/>
            <w:vAlign w:val="center"/>
          </w:tcPr>
          <w:p w:rsidR="0044553C" w:rsidRDefault="00276810">
            <w:pPr>
              <w:jc w:val="right"/>
            </w:pPr>
            <w:r>
              <w:rPr>
                <w:rFonts w:eastAsiaTheme="minorEastAsia"/>
                <w:color w:val="000000" w:themeColor="text1"/>
                <w:sz w:val="24"/>
              </w:rPr>
              <w:t>1,227,940.00</w:t>
            </w:r>
          </w:p>
        </w:tc>
        <w:tc>
          <w:tcPr>
            <w:tcW w:w="1616" w:type="dxa"/>
            <w:vAlign w:val="center"/>
          </w:tcPr>
          <w:p w:rsidR="0044553C" w:rsidRDefault="00276810">
            <w:pPr>
              <w:jc w:val="right"/>
            </w:pPr>
            <w:r>
              <w:rPr>
                <w:rFonts w:eastAsiaTheme="minorEastAsia"/>
                <w:color w:val="000000" w:themeColor="text1"/>
                <w:sz w:val="24"/>
              </w:rPr>
              <w:t>0.02</w:t>
            </w:r>
          </w:p>
        </w:tc>
      </w:tr>
      <w:tr w:rsidR="0044553C">
        <w:tc>
          <w:tcPr>
            <w:tcW w:w="817" w:type="dxa"/>
            <w:vAlign w:val="center"/>
          </w:tcPr>
          <w:p w:rsidR="0044553C" w:rsidRDefault="00276810">
            <w:pPr>
              <w:jc w:val="center"/>
            </w:pPr>
            <w:r>
              <w:rPr>
                <w:rFonts w:eastAsiaTheme="minorEastAsia"/>
                <w:color w:val="000000" w:themeColor="text1"/>
                <w:sz w:val="24"/>
              </w:rPr>
              <w:t>10</w:t>
            </w:r>
          </w:p>
        </w:tc>
        <w:tc>
          <w:tcPr>
            <w:tcW w:w="1276" w:type="dxa"/>
            <w:vAlign w:val="center"/>
          </w:tcPr>
          <w:p w:rsidR="0044553C" w:rsidRDefault="00276810">
            <w:pPr>
              <w:jc w:val="center"/>
            </w:pPr>
            <w:r>
              <w:rPr>
                <w:rFonts w:eastAsiaTheme="minorEastAsia"/>
                <w:color w:val="000000" w:themeColor="text1"/>
                <w:sz w:val="24"/>
              </w:rPr>
              <w:t>300014</w:t>
            </w:r>
          </w:p>
        </w:tc>
        <w:tc>
          <w:tcPr>
            <w:tcW w:w="1701" w:type="dxa"/>
            <w:vAlign w:val="center"/>
          </w:tcPr>
          <w:p w:rsidR="0044553C" w:rsidRDefault="00276810">
            <w:pPr>
              <w:jc w:val="center"/>
            </w:pPr>
            <w:r>
              <w:rPr>
                <w:rFonts w:eastAsiaTheme="minorEastAsia"/>
                <w:color w:val="000000" w:themeColor="text1"/>
                <w:sz w:val="24"/>
              </w:rPr>
              <w:t>亿纬锂能</w:t>
            </w:r>
          </w:p>
        </w:tc>
        <w:tc>
          <w:tcPr>
            <w:tcW w:w="1276" w:type="dxa"/>
            <w:vAlign w:val="center"/>
          </w:tcPr>
          <w:p w:rsidR="0044553C" w:rsidRDefault="00276810">
            <w:pPr>
              <w:jc w:val="right"/>
            </w:pPr>
            <w:r>
              <w:rPr>
                <w:rFonts w:eastAsiaTheme="minorEastAsia"/>
                <w:color w:val="000000" w:themeColor="text1"/>
                <w:sz w:val="24"/>
              </w:rPr>
              <w:t>39,300</w:t>
            </w:r>
          </w:p>
        </w:tc>
        <w:tc>
          <w:tcPr>
            <w:tcW w:w="1842" w:type="dxa"/>
            <w:vAlign w:val="center"/>
          </w:tcPr>
          <w:p w:rsidR="0044553C" w:rsidRDefault="00276810">
            <w:pPr>
              <w:jc w:val="right"/>
            </w:pPr>
            <w:r>
              <w:rPr>
                <w:rFonts w:eastAsiaTheme="minorEastAsia"/>
                <w:color w:val="000000" w:themeColor="text1"/>
                <w:sz w:val="24"/>
              </w:rPr>
              <w:t>1,194,327.00</w:t>
            </w:r>
          </w:p>
        </w:tc>
        <w:tc>
          <w:tcPr>
            <w:tcW w:w="1616" w:type="dxa"/>
            <w:vAlign w:val="center"/>
          </w:tcPr>
          <w:p w:rsidR="0044553C" w:rsidRDefault="00276810">
            <w:pPr>
              <w:jc w:val="right"/>
            </w:pPr>
            <w:r>
              <w:rPr>
                <w:rFonts w:eastAsiaTheme="minorEastAsia"/>
                <w:color w:val="000000" w:themeColor="text1"/>
                <w:sz w:val="24"/>
              </w:rPr>
              <w:t>0.02</w:t>
            </w:r>
          </w:p>
        </w:tc>
      </w:tr>
    </w:tbl>
    <w:p w:rsidR="00F21B6D"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5</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报告期末按债券品种分类的债券投资组合</w:t>
      </w:r>
    </w:p>
    <w:p w:rsidR="009238DB" w:rsidRPr="00B34368" w:rsidRDefault="00F21B6D"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6</w:t>
      </w:r>
      <w:r w:rsidRPr="00B34368">
        <w:rPr>
          <w:rFonts w:eastAsiaTheme="minorEastAsia"/>
          <w:b/>
          <w:color w:val="000000" w:themeColor="text1"/>
          <w:kern w:val="0"/>
          <w:sz w:val="24"/>
        </w:rPr>
        <w:t xml:space="preserve"> </w:t>
      </w:r>
      <w:r w:rsidRPr="00B34368">
        <w:rPr>
          <w:rFonts w:eastAsiaTheme="minorEastAsia" w:hAnsiTheme="minorEastAsia"/>
          <w:b/>
          <w:color w:val="000000" w:themeColor="text1"/>
          <w:kern w:val="0"/>
          <w:sz w:val="24"/>
        </w:rPr>
        <w:t>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的前五名债券投资明细</w:t>
      </w:r>
    </w:p>
    <w:p w:rsidR="009238DB" w:rsidRPr="00B34368" w:rsidRDefault="00296E4A"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本基金本报告期末未持有债券。</w:t>
      </w:r>
    </w:p>
    <w:p w:rsidR="009238DB" w:rsidRPr="00B34368" w:rsidRDefault="009238DB"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40218E" w:rsidRPr="00B34368">
        <w:rPr>
          <w:rFonts w:eastAsiaTheme="minorEastAsia"/>
          <w:b/>
          <w:color w:val="000000" w:themeColor="text1"/>
          <w:kern w:val="0"/>
          <w:sz w:val="24"/>
        </w:rPr>
        <w:t>7</w:t>
      </w:r>
      <w:r w:rsidRPr="00B34368">
        <w:rPr>
          <w:rFonts w:eastAsiaTheme="minorEastAsia" w:hAnsiTheme="minorEastAsia"/>
          <w:b/>
          <w:color w:val="000000" w:themeColor="text1"/>
          <w:kern w:val="0"/>
          <w:sz w:val="24"/>
        </w:rPr>
        <w:t xml:space="preserve">　报告期末按公允价值占基金资产净值比例大小排</w:t>
      </w:r>
      <w:r w:rsidR="00E15FD1" w:rsidRPr="00B34368">
        <w:rPr>
          <w:rFonts w:eastAsiaTheme="minorEastAsia" w:hAnsiTheme="minorEastAsia"/>
          <w:b/>
          <w:color w:val="000000" w:themeColor="text1"/>
          <w:kern w:val="0"/>
          <w:sz w:val="24"/>
        </w:rPr>
        <w:t>序</w:t>
      </w:r>
      <w:r w:rsidRPr="00B34368">
        <w:rPr>
          <w:rFonts w:eastAsiaTheme="minorEastAsia" w:hAnsiTheme="minorEastAsia"/>
          <w:b/>
          <w:color w:val="000000" w:themeColor="text1"/>
          <w:kern w:val="0"/>
          <w:sz w:val="24"/>
        </w:rPr>
        <w:t>的前十名资产支持证券投资明细</w:t>
      </w:r>
    </w:p>
    <w:p w:rsidR="009238DB"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本基金本报告期末未持有资产支持证券。</w:t>
      </w:r>
    </w:p>
    <w:p w:rsidR="00E15FD1" w:rsidRPr="00B34368" w:rsidRDefault="00E15FD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 xml:space="preserve">5.8 </w:t>
      </w:r>
      <w:r w:rsidRPr="00B34368">
        <w:rPr>
          <w:rFonts w:eastAsiaTheme="minorEastAsia" w:hAnsiTheme="minorEastAsia"/>
          <w:b/>
          <w:bCs/>
          <w:color w:val="000000" w:themeColor="text1"/>
          <w:kern w:val="0"/>
          <w:sz w:val="24"/>
        </w:rPr>
        <w:t>报告期末按公允价值占基金资产净值比例大小排序的前五名贵金属投资明细</w:t>
      </w:r>
    </w:p>
    <w:p w:rsidR="00E15FD1" w:rsidRPr="00B34368" w:rsidRDefault="00E15FD1" w:rsidP="00B34368">
      <w:pPr>
        <w:widowControl/>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本基金本报告期末未持有贵金属。</w:t>
      </w:r>
    </w:p>
    <w:p w:rsidR="009238DB"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w:t>
      </w:r>
      <w:r w:rsidR="009238DB" w:rsidRPr="00B34368">
        <w:rPr>
          <w:rFonts w:eastAsiaTheme="minorEastAsia"/>
          <w:b/>
          <w:color w:val="000000" w:themeColor="text1"/>
          <w:kern w:val="0"/>
          <w:sz w:val="24"/>
        </w:rPr>
        <w:t>.</w:t>
      </w:r>
      <w:r w:rsidRPr="00B34368">
        <w:rPr>
          <w:rFonts w:eastAsiaTheme="minorEastAsia"/>
          <w:b/>
          <w:color w:val="000000" w:themeColor="text1"/>
          <w:kern w:val="0"/>
          <w:sz w:val="24"/>
        </w:rPr>
        <w:t>9</w:t>
      </w:r>
      <w:r w:rsidR="009238DB" w:rsidRPr="00B34368">
        <w:rPr>
          <w:rFonts w:eastAsiaTheme="minorEastAsia"/>
          <w:b/>
          <w:color w:val="000000" w:themeColor="text1"/>
          <w:kern w:val="0"/>
          <w:sz w:val="24"/>
        </w:rPr>
        <w:t xml:space="preserve"> </w:t>
      </w:r>
      <w:r w:rsidR="009238DB" w:rsidRPr="00B34368">
        <w:rPr>
          <w:rFonts w:eastAsiaTheme="minorEastAsia" w:hAnsiTheme="minorEastAsia"/>
          <w:b/>
          <w:color w:val="000000" w:themeColor="text1"/>
          <w:kern w:val="0"/>
          <w:sz w:val="24"/>
        </w:rPr>
        <w:t>报告</w:t>
      </w:r>
      <w:r w:rsidR="009238DB" w:rsidRPr="00B34368">
        <w:rPr>
          <w:rFonts w:eastAsiaTheme="minorEastAsia" w:hAnsiTheme="minorEastAsia"/>
          <w:b/>
          <w:bCs/>
          <w:color w:val="000000" w:themeColor="text1"/>
          <w:kern w:val="0"/>
          <w:sz w:val="24"/>
        </w:rPr>
        <w:t>期末</w:t>
      </w:r>
      <w:r w:rsidR="009238DB" w:rsidRPr="00B34368">
        <w:rPr>
          <w:rFonts w:eastAsiaTheme="minorEastAsia" w:hAnsiTheme="minorEastAsia"/>
          <w:b/>
          <w:color w:val="000000" w:themeColor="text1"/>
          <w:kern w:val="0"/>
          <w:sz w:val="24"/>
        </w:rPr>
        <w:t>按公允价值占基金资产净值比例大小排</w:t>
      </w:r>
      <w:r w:rsidR="006B3FDB" w:rsidRPr="00B34368">
        <w:rPr>
          <w:rFonts w:eastAsiaTheme="minorEastAsia" w:hAnsiTheme="minorEastAsia"/>
          <w:b/>
          <w:color w:val="000000" w:themeColor="text1"/>
          <w:kern w:val="0"/>
          <w:sz w:val="24"/>
        </w:rPr>
        <w:t>序</w:t>
      </w:r>
      <w:r w:rsidR="009238DB" w:rsidRPr="00B34368">
        <w:rPr>
          <w:rFonts w:eastAsiaTheme="minorEastAsia" w:hAnsiTheme="minorEastAsia"/>
          <w:b/>
          <w:color w:val="000000" w:themeColor="text1"/>
          <w:kern w:val="0"/>
          <w:sz w:val="24"/>
        </w:rPr>
        <w:t>的前五名权证投资明细</w:t>
      </w:r>
    </w:p>
    <w:p w:rsidR="001D5CD0" w:rsidRPr="00B34368" w:rsidRDefault="00C260A2"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本基金本报告期末未持有权证。</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sz w:val="24"/>
        </w:rPr>
      </w:pPr>
      <w:r w:rsidRPr="00B34368">
        <w:rPr>
          <w:rFonts w:eastAsiaTheme="minorEastAsia"/>
          <w:b/>
          <w:color w:val="000000" w:themeColor="text1"/>
          <w:sz w:val="24"/>
        </w:rPr>
        <w:lastRenderedPageBreak/>
        <w:t xml:space="preserve">5.10 </w:t>
      </w:r>
      <w:r w:rsidRPr="00B34368">
        <w:rPr>
          <w:rFonts w:eastAsiaTheme="minorEastAsia" w:hAnsiTheme="minorEastAsia"/>
          <w:b/>
          <w:color w:val="000000" w:themeColor="text1"/>
          <w:sz w:val="24"/>
        </w:rPr>
        <w:t>报告期末本基金投资的股指期货交易情况说明</w:t>
      </w:r>
    </w:p>
    <w:p w:rsidR="00BA4050" w:rsidRDefault="00BA4050" w:rsidP="00BA4050">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1D5CD0" w:rsidRPr="00B34368" w:rsidRDefault="001D5CD0" w:rsidP="00C544B8">
      <w:pPr>
        <w:adjustRightInd w:val="0"/>
        <w:snapToGrid w:val="0"/>
        <w:spacing w:beforeLines="100" w:before="312" w:line="360" w:lineRule="auto"/>
        <w:rPr>
          <w:rFonts w:eastAsiaTheme="minorEastAsia"/>
          <w:b/>
          <w:color w:val="000000" w:themeColor="text1"/>
          <w:sz w:val="24"/>
        </w:rPr>
      </w:pPr>
      <w:r w:rsidRPr="00B34368">
        <w:rPr>
          <w:rFonts w:eastAsiaTheme="minorEastAsia"/>
          <w:b/>
          <w:color w:val="000000" w:themeColor="text1"/>
          <w:sz w:val="24"/>
        </w:rPr>
        <w:t>5.11</w:t>
      </w:r>
      <w:r w:rsidRPr="00B34368">
        <w:rPr>
          <w:rFonts w:eastAsiaTheme="minorEastAsia" w:hAnsiTheme="minorEastAsia"/>
          <w:b/>
          <w:color w:val="000000" w:themeColor="text1"/>
          <w:sz w:val="24"/>
        </w:rPr>
        <w:t>报告期末本基金投资的国债期货交易情况说明</w:t>
      </w:r>
    </w:p>
    <w:p w:rsidR="00121C52" w:rsidRDefault="00121C52" w:rsidP="00121C52">
      <w:pPr>
        <w:spacing w:line="360" w:lineRule="auto"/>
        <w:ind w:firstLineChars="200" w:firstLine="480"/>
      </w:pPr>
      <w:r>
        <w:rPr>
          <w:color w:val="000000"/>
          <w:sz w:val="24"/>
        </w:rPr>
        <w:t>本基金本报告期末未投资国债期货。</w:t>
      </w:r>
    </w:p>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w:t>
      </w:r>
      <w:r w:rsidRPr="00B34368">
        <w:rPr>
          <w:rFonts w:eastAsiaTheme="minorEastAsia" w:hAnsiTheme="minorEastAsia"/>
          <w:b/>
          <w:color w:val="000000" w:themeColor="text1"/>
          <w:kern w:val="0"/>
          <w:sz w:val="24"/>
        </w:rPr>
        <w:t>投资组合报告附注</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5.12.1</w:t>
      </w:r>
      <w:r w:rsidRPr="00B34368">
        <w:rPr>
          <w:rFonts w:eastAsiaTheme="minorEastAsia"/>
          <w:color w:val="000000" w:themeColor="text1"/>
          <w:sz w:val="24"/>
        </w:rPr>
        <w:t>本基金投资的前十名证券的发行主体本期没有出现被监管部门立案调查，或在报告编制日前一年内受到公开谴责、处罚的情形。</w:t>
      </w:r>
    </w:p>
    <w:p w:rsidR="000C3452" w:rsidRPr="00B34368" w:rsidRDefault="000C3452" w:rsidP="000C3452">
      <w:pPr>
        <w:widowControl/>
        <w:spacing w:line="360" w:lineRule="auto"/>
        <w:rPr>
          <w:rFonts w:eastAsiaTheme="minorEastAsia"/>
          <w:color w:val="000000" w:themeColor="text1"/>
          <w:sz w:val="24"/>
        </w:rPr>
      </w:pPr>
      <w:r w:rsidRPr="00B34368">
        <w:rPr>
          <w:rFonts w:eastAsiaTheme="minorEastAsia"/>
          <w:color w:val="000000" w:themeColor="text1"/>
          <w:sz w:val="24"/>
        </w:rPr>
        <w:t>5.12.2</w:t>
      </w:r>
      <w:r w:rsidRPr="00B34368">
        <w:rPr>
          <w:rFonts w:eastAsiaTheme="minorEastAsia"/>
          <w:color w:val="000000" w:themeColor="text1"/>
          <w:sz w:val="24"/>
        </w:rPr>
        <w:t>本基金投资的前十名股票没有超出基金合同规定的备选股票库。</w:t>
      </w:r>
    </w:p>
    <w:p w:rsidR="001D5CD0" w:rsidRPr="00B34368" w:rsidRDefault="001D5CD0" w:rsidP="001D5CD0">
      <w:pPr>
        <w:autoSpaceDE w:val="0"/>
        <w:autoSpaceDN w:val="0"/>
        <w:adjustRightInd w:val="0"/>
        <w:spacing w:line="360" w:lineRule="auto"/>
        <w:rPr>
          <w:rFonts w:eastAsiaTheme="minorEastAsia"/>
          <w:b/>
          <w:color w:val="000000" w:themeColor="text1"/>
          <w:kern w:val="0"/>
          <w:sz w:val="24"/>
        </w:rPr>
      </w:pPr>
      <w:r w:rsidRPr="00B34368">
        <w:rPr>
          <w:rFonts w:eastAsiaTheme="minorEastAsia"/>
          <w:b/>
          <w:color w:val="000000" w:themeColor="text1"/>
          <w:kern w:val="0"/>
          <w:sz w:val="24"/>
        </w:rPr>
        <w:t>5.12.3</w:t>
      </w:r>
      <w:r w:rsidRPr="00B34368">
        <w:rPr>
          <w:rFonts w:eastAsiaTheme="minorEastAsia" w:hAnsiTheme="minorEastAsia"/>
          <w:b/>
          <w:color w:val="000000" w:themeColor="text1"/>
          <w:kern w:val="0"/>
          <w:sz w:val="24"/>
        </w:rPr>
        <w:t>其他各项资产构成</w:t>
      </w:r>
    </w:p>
    <w:tbl>
      <w:tblPr>
        <w:tblStyle w:val="af2"/>
        <w:tblW w:w="0" w:type="auto"/>
        <w:tblInd w:w="108" w:type="dxa"/>
        <w:tblLook w:val="04A0" w:firstRow="1" w:lastRow="0" w:firstColumn="1" w:lastColumn="0" w:noHBand="0" w:noVBand="1"/>
      </w:tblPr>
      <w:tblGrid>
        <w:gridCol w:w="944"/>
        <w:gridCol w:w="2761"/>
        <w:gridCol w:w="4808"/>
      </w:tblGrid>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序号</w:t>
            </w:r>
          </w:p>
        </w:tc>
        <w:tc>
          <w:tcPr>
            <w:tcW w:w="2761"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名称</w:t>
            </w:r>
          </w:p>
        </w:tc>
        <w:tc>
          <w:tcPr>
            <w:tcW w:w="4808" w:type="dxa"/>
            <w:vAlign w:val="center"/>
          </w:tcPr>
          <w:p w:rsidR="001D5CD0" w:rsidRPr="00B34368" w:rsidRDefault="001D5CD0" w:rsidP="00AE2AD2">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金额</w:t>
            </w:r>
            <w:r w:rsidRPr="00B34368">
              <w:rPr>
                <w:rFonts w:eastAsiaTheme="minorEastAsia"/>
                <w:color w:val="000000" w:themeColor="text1"/>
                <w:kern w:val="0"/>
                <w:sz w:val="24"/>
              </w:rPr>
              <w:t>(</w:t>
            </w:r>
            <w:r w:rsidRPr="00B34368">
              <w:rPr>
                <w:rFonts w:eastAsiaTheme="minorEastAsia" w:hAnsiTheme="minorEastAsia"/>
                <w:color w:val="000000" w:themeColor="text1"/>
                <w:kern w:val="0"/>
                <w:sz w:val="24"/>
              </w:rPr>
              <w:t>元</w:t>
            </w: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kern w:val="0"/>
                <w:sz w:val="24"/>
              </w:rPr>
            </w:pPr>
            <w:r w:rsidRPr="00B34368">
              <w:rPr>
                <w:rFonts w:eastAsiaTheme="minorEastAsia"/>
                <w:color w:val="000000" w:themeColor="text1"/>
                <w:sz w:val="24"/>
              </w:rPr>
              <w:t>1</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存出保证金</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1,772,615.89</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2</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应收证券清算款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3</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应收股利</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4</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应收利息</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86,199.95</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5</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应收申购款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26,027,009.38</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6</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其他应收款</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7</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sz w:val="24"/>
              </w:rPr>
            </w:pPr>
            <w:r w:rsidRPr="00B34368">
              <w:rPr>
                <w:rFonts w:eastAsiaTheme="minorEastAsia" w:hAnsiTheme="minorEastAsia"/>
                <w:color w:val="000000" w:themeColor="text1"/>
                <w:sz w:val="24"/>
              </w:rPr>
              <w:t>待摊费用</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8</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其他</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w:t>
            </w:r>
          </w:p>
        </w:tc>
      </w:tr>
      <w:tr w:rsidR="00D3639B" w:rsidRPr="00B34368" w:rsidTr="00975D18">
        <w:tc>
          <w:tcPr>
            <w:tcW w:w="944" w:type="dxa"/>
            <w:vAlign w:val="center"/>
          </w:tcPr>
          <w:p w:rsidR="001D5CD0" w:rsidRPr="00B34368" w:rsidRDefault="001D5CD0" w:rsidP="00AE2AD2">
            <w:pPr>
              <w:autoSpaceDE w:val="0"/>
              <w:autoSpaceDN w:val="0"/>
              <w:adjustRightInd w:val="0"/>
              <w:spacing w:before="29" w:line="360" w:lineRule="auto"/>
              <w:ind w:left="15"/>
              <w:jc w:val="center"/>
              <w:rPr>
                <w:rFonts w:eastAsiaTheme="minorEastAsia"/>
                <w:color w:val="000000" w:themeColor="text1"/>
                <w:sz w:val="24"/>
              </w:rPr>
            </w:pPr>
            <w:r w:rsidRPr="00B34368">
              <w:rPr>
                <w:rFonts w:eastAsiaTheme="minorEastAsia"/>
                <w:color w:val="000000" w:themeColor="text1"/>
                <w:sz w:val="24"/>
              </w:rPr>
              <w:t>9</w:t>
            </w:r>
          </w:p>
        </w:tc>
        <w:tc>
          <w:tcPr>
            <w:tcW w:w="2761" w:type="dxa"/>
            <w:vAlign w:val="center"/>
          </w:tcPr>
          <w:p w:rsidR="001D5CD0" w:rsidRPr="00B34368" w:rsidRDefault="001D5CD0" w:rsidP="00AE2AD2">
            <w:pPr>
              <w:autoSpaceDE w:val="0"/>
              <w:autoSpaceDN w:val="0"/>
              <w:adjustRightInd w:val="0"/>
              <w:spacing w:before="29" w:line="360" w:lineRule="auto"/>
              <w:ind w:left="15"/>
              <w:jc w:val="left"/>
              <w:rPr>
                <w:rFonts w:eastAsiaTheme="minorEastAsia"/>
                <w:color w:val="000000" w:themeColor="text1"/>
                <w:kern w:val="0"/>
                <w:sz w:val="24"/>
              </w:rPr>
            </w:pPr>
            <w:r w:rsidRPr="00B34368">
              <w:rPr>
                <w:rFonts w:eastAsiaTheme="minorEastAsia" w:hAnsiTheme="minorEastAsia"/>
                <w:color w:val="000000" w:themeColor="text1"/>
                <w:kern w:val="0"/>
                <w:sz w:val="24"/>
              </w:rPr>
              <w:t>合计</w:t>
            </w:r>
          </w:p>
        </w:tc>
        <w:tc>
          <w:tcPr>
            <w:tcW w:w="4808" w:type="dxa"/>
            <w:vAlign w:val="center"/>
          </w:tcPr>
          <w:p w:rsidR="001D5CD0" w:rsidRPr="00B34368" w:rsidRDefault="001D5CD0" w:rsidP="00AE2AD2">
            <w:pPr>
              <w:autoSpaceDE w:val="0"/>
              <w:autoSpaceDN w:val="0"/>
              <w:adjustRightInd w:val="0"/>
              <w:spacing w:before="29" w:line="360" w:lineRule="auto"/>
              <w:ind w:left="15"/>
              <w:jc w:val="right"/>
              <w:rPr>
                <w:rFonts w:eastAsiaTheme="minorEastAsia"/>
                <w:color w:val="000000" w:themeColor="text1"/>
                <w:kern w:val="0"/>
                <w:sz w:val="24"/>
              </w:rPr>
            </w:pPr>
            <w:r w:rsidRPr="00B34368">
              <w:rPr>
                <w:rFonts w:eastAsiaTheme="minorEastAsia"/>
                <w:color w:val="000000" w:themeColor="text1"/>
                <w:kern w:val="0"/>
                <w:sz w:val="24"/>
              </w:rPr>
              <w:t>27,885,825.22</w:t>
            </w:r>
          </w:p>
        </w:tc>
      </w:tr>
    </w:tbl>
    <w:p w:rsidR="001D5CD0" w:rsidRPr="00B34368" w:rsidRDefault="001D5CD0" w:rsidP="00C544B8">
      <w:pPr>
        <w:autoSpaceDE w:val="0"/>
        <w:autoSpaceDN w:val="0"/>
        <w:adjustRightInd w:val="0"/>
        <w:spacing w:beforeLines="100" w:before="312" w:line="360" w:lineRule="auto"/>
        <w:jc w:val="left"/>
        <w:rPr>
          <w:rFonts w:eastAsiaTheme="minorEastAsia"/>
          <w:b/>
          <w:color w:val="000000" w:themeColor="text1"/>
          <w:kern w:val="0"/>
          <w:sz w:val="24"/>
        </w:rPr>
      </w:pPr>
      <w:r w:rsidRPr="00B34368">
        <w:rPr>
          <w:rFonts w:eastAsiaTheme="minorEastAsia"/>
          <w:b/>
          <w:color w:val="000000" w:themeColor="text1"/>
          <w:kern w:val="0"/>
          <w:sz w:val="24"/>
        </w:rPr>
        <w:t>5.12.4</w:t>
      </w:r>
      <w:r w:rsidRPr="00B34368">
        <w:rPr>
          <w:rFonts w:eastAsiaTheme="minorEastAsia" w:hAnsiTheme="minorEastAsia"/>
          <w:b/>
          <w:color w:val="000000" w:themeColor="text1"/>
          <w:kern w:val="0"/>
          <w:sz w:val="24"/>
        </w:rPr>
        <w:t>报告期末持有的处于转股期的可转换债券明细</w:t>
      </w:r>
    </w:p>
    <w:p w:rsidR="001D5CD0" w:rsidRPr="00B34368" w:rsidRDefault="001D5CD0"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本基金本报告期末未持有处于转股期的可转换债券。</w:t>
      </w:r>
    </w:p>
    <w:p w:rsidR="001D5CD0" w:rsidRPr="00B34368" w:rsidRDefault="001D5CD0" w:rsidP="00C544B8">
      <w:pPr>
        <w:autoSpaceDE w:val="0"/>
        <w:autoSpaceDN w:val="0"/>
        <w:adjustRightInd w:val="0"/>
        <w:spacing w:beforeLines="100" w:before="312" w:line="360" w:lineRule="auto"/>
        <w:jc w:val="left"/>
        <w:rPr>
          <w:rFonts w:eastAsiaTheme="minorEastAsia"/>
          <w:b/>
          <w:bCs/>
          <w:color w:val="000000" w:themeColor="text1"/>
          <w:sz w:val="24"/>
        </w:rPr>
      </w:pPr>
      <w:r w:rsidRPr="00B34368">
        <w:rPr>
          <w:rFonts w:eastAsiaTheme="minorEastAsia"/>
          <w:b/>
          <w:color w:val="000000" w:themeColor="text1"/>
          <w:kern w:val="0"/>
          <w:sz w:val="24"/>
        </w:rPr>
        <w:t>5.12.5</w:t>
      </w:r>
      <w:r w:rsidRPr="00B34368">
        <w:rPr>
          <w:rFonts w:eastAsiaTheme="minorEastAsia" w:hAnsiTheme="minorEastAsia"/>
          <w:b/>
          <w:bCs/>
          <w:color w:val="000000" w:themeColor="text1"/>
          <w:sz w:val="24"/>
        </w:rPr>
        <w:t>报告期末前十名股票中存在流通受限情况的说明</w:t>
      </w:r>
    </w:p>
    <w:tbl>
      <w:tblPr>
        <w:tblStyle w:val="af2"/>
        <w:tblW w:w="0" w:type="auto"/>
        <w:tblInd w:w="108" w:type="dxa"/>
        <w:tblLayout w:type="fixed"/>
        <w:tblLook w:val="04A0" w:firstRow="1" w:lastRow="0" w:firstColumn="1" w:lastColumn="0" w:noHBand="0" w:noVBand="1"/>
      </w:tblPr>
      <w:tblGrid>
        <w:gridCol w:w="1083"/>
        <w:gridCol w:w="1302"/>
        <w:gridCol w:w="1301"/>
        <w:gridCol w:w="1805"/>
        <w:gridCol w:w="1655"/>
        <w:gridCol w:w="1367"/>
      </w:tblGrid>
      <w:tr w:rsidR="00D3639B" w:rsidRPr="00B34368" w:rsidTr="00975D18">
        <w:tc>
          <w:tcPr>
            <w:tcW w:w="1083"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序号</w:t>
            </w:r>
          </w:p>
        </w:tc>
        <w:tc>
          <w:tcPr>
            <w:tcW w:w="1302"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股票代码</w:t>
            </w:r>
          </w:p>
        </w:tc>
        <w:tc>
          <w:tcPr>
            <w:tcW w:w="1301"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股票名称</w:t>
            </w:r>
          </w:p>
        </w:tc>
        <w:tc>
          <w:tcPr>
            <w:tcW w:w="1805"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流通受限部分的公允价值</w:t>
            </w:r>
            <w:r w:rsidRPr="00B34368">
              <w:rPr>
                <w:rFonts w:eastAsiaTheme="minorEastAsia"/>
                <w:color w:val="000000" w:themeColor="text1"/>
                <w:sz w:val="24"/>
              </w:rPr>
              <w:t>(</w:t>
            </w:r>
            <w:r w:rsidRPr="00B34368">
              <w:rPr>
                <w:rFonts w:eastAsiaTheme="minorEastAsia" w:hAnsiTheme="minorEastAsia"/>
                <w:color w:val="000000" w:themeColor="text1"/>
                <w:sz w:val="24"/>
              </w:rPr>
              <w:t>元</w:t>
            </w:r>
            <w:r w:rsidRPr="00B34368">
              <w:rPr>
                <w:rFonts w:eastAsiaTheme="minorEastAsia"/>
                <w:color w:val="000000" w:themeColor="text1"/>
                <w:sz w:val="24"/>
              </w:rPr>
              <w:t>)</w:t>
            </w:r>
          </w:p>
        </w:tc>
        <w:tc>
          <w:tcPr>
            <w:tcW w:w="1655"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占基金资产净值比例</w:t>
            </w:r>
            <w:r w:rsidRPr="00B34368">
              <w:rPr>
                <w:rFonts w:eastAsiaTheme="minorEastAsia"/>
                <w:color w:val="000000" w:themeColor="text1"/>
                <w:sz w:val="24"/>
              </w:rPr>
              <w:t>(%)</w:t>
            </w:r>
          </w:p>
        </w:tc>
        <w:tc>
          <w:tcPr>
            <w:tcW w:w="1367" w:type="dxa"/>
            <w:vAlign w:val="center"/>
          </w:tcPr>
          <w:p w:rsidR="001D5CD0" w:rsidRPr="00B34368" w:rsidRDefault="001D5CD0" w:rsidP="00AE2AD2">
            <w:pPr>
              <w:spacing w:before="29" w:line="360" w:lineRule="auto"/>
              <w:ind w:left="17"/>
              <w:jc w:val="center"/>
              <w:rPr>
                <w:rFonts w:eastAsiaTheme="minorEastAsia"/>
                <w:color w:val="000000" w:themeColor="text1"/>
                <w:sz w:val="24"/>
              </w:rPr>
            </w:pPr>
            <w:r w:rsidRPr="00B34368">
              <w:rPr>
                <w:rFonts w:eastAsiaTheme="minorEastAsia" w:hAnsiTheme="minorEastAsia"/>
                <w:color w:val="000000" w:themeColor="text1"/>
                <w:sz w:val="24"/>
              </w:rPr>
              <w:t>流通受限情况说明</w:t>
            </w:r>
          </w:p>
        </w:tc>
      </w:tr>
      <w:tr w:rsidR="0044553C">
        <w:tc>
          <w:tcPr>
            <w:tcW w:w="1083" w:type="dxa"/>
            <w:vAlign w:val="center"/>
          </w:tcPr>
          <w:p w:rsidR="0044553C" w:rsidRDefault="00276810">
            <w:pPr>
              <w:jc w:val="center"/>
            </w:pPr>
            <w:r>
              <w:rPr>
                <w:rFonts w:eastAsiaTheme="minorEastAsia"/>
                <w:color w:val="000000" w:themeColor="text1"/>
                <w:sz w:val="24"/>
              </w:rPr>
              <w:t>1</w:t>
            </w:r>
          </w:p>
        </w:tc>
        <w:tc>
          <w:tcPr>
            <w:tcW w:w="1302" w:type="dxa"/>
            <w:vAlign w:val="center"/>
          </w:tcPr>
          <w:p w:rsidR="0044553C" w:rsidRDefault="00276810">
            <w:pPr>
              <w:jc w:val="center"/>
            </w:pPr>
            <w:r>
              <w:rPr>
                <w:rFonts w:eastAsiaTheme="minorEastAsia"/>
                <w:color w:val="000000" w:themeColor="text1"/>
                <w:sz w:val="24"/>
              </w:rPr>
              <w:t>003816</w:t>
            </w:r>
          </w:p>
        </w:tc>
        <w:tc>
          <w:tcPr>
            <w:tcW w:w="1301" w:type="dxa"/>
            <w:vAlign w:val="center"/>
          </w:tcPr>
          <w:p w:rsidR="0044553C" w:rsidRDefault="00276810">
            <w:pPr>
              <w:jc w:val="center"/>
            </w:pPr>
            <w:r>
              <w:rPr>
                <w:rFonts w:eastAsiaTheme="minorEastAsia"/>
                <w:color w:val="000000" w:themeColor="text1"/>
                <w:sz w:val="24"/>
              </w:rPr>
              <w:t>中国广核</w:t>
            </w:r>
          </w:p>
        </w:tc>
        <w:tc>
          <w:tcPr>
            <w:tcW w:w="1805" w:type="dxa"/>
            <w:vAlign w:val="center"/>
          </w:tcPr>
          <w:p w:rsidR="0044553C" w:rsidRDefault="00276810">
            <w:pPr>
              <w:jc w:val="right"/>
            </w:pPr>
            <w:r>
              <w:rPr>
                <w:rFonts w:eastAsiaTheme="minorEastAsia"/>
                <w:color w:val="000000" w:themeColor="text1"/>
                <w:sz w:val="24"/>
              </w:rPr>
              <w:t>2,139,240.40</w:t>
            </w:r>
          </w:p>
        </w:tc>
        <w:tc>
          <w:tcPr>
            <w:tcW w:w="1655" w:type="dxa"/>
            <w:vAlign w:val="center"/>
          </w:tcPr>
          <w:p w:rsidR="0044553C" w:rsidRDefault="00276810">
            <w:pPr>
              <w:jc w:val="right"/>
            </w:pPr>
            <w:r>
              <w:rPr>
                <w:rFonts w:eastAsiaTheme="minorEastAsia"/>
                <w:color w:val="000000" w:themeColor="text1"/>
                <w:sz w:val="24"/>
              </w:rPr>
              <w:t>0.04</w:t>
            </w:r>
          </w:p>
        </w:tc>
        <w:tc>
          <w:tcPr>
            <w:tcW w:w="1367" w:type="dxa"/>
            <w:vAlign w:val="center"/>
          </w:tcPr>
          <w:p w:rsidR="0044553C" w:rsidRDefault="00276810">
            <w:pPr>
              <w:jc w:val="right"/>
            </w:pPr>
            <w:r>
              <w:rPr>
                <w:rFonts w:eastAsiaTheme="minorEastAsia"/>
                <w:color w:val="000000" w:themeColor="text1"/>
                <w:sz w:val="24"/>
              </w:rPr>
              <w:t>新股流通</w:t>
            </w:r>
            <w:r>
              <w:rPr>
                <w:rFonts w:eastAsiaTheme="minorEastAsia"/>
                <w:color w:val="000000" w:themeColor="text1"/>
                <w:sz w:val="24"/>
              </w:rPr>
              <w:lastRenderedPageBreak/>
              <w:t>受限</w:t>
            </w:r>
          </w:p>
        </w:tc>
      </w:tr>
    </w:tbl>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lastRenderedPageBreak/>
        <w:t xml:space="preserve">§6  </w:t>
      </w:r>
      <w:r w:rsidRPr="00B34368">
        <w:rPr>
          <w:rFonts w:eastAsiaTheme="minorEastAsia" w:hAnsiTheme="minorEastAsia"/>
          <w:color w:val="000000" w:themeColor="text1"/>
          <w:kern w:val="0"/>
          <w:sz w:val="24"/>
          <w:szCs w:val="24"/>
        </w:rPr>
        <w:t>开放式基金份额变动</w:t>
      </w:r>
    </w:p>
    <w:p w:rsidR="009238DB" w:rsidRPr="00B34368" w:rsidRDefault="009238DB" w:rsidP="00302187">
      <w:pPr>
        <w:autoSpaceDE w:val="0"/>
        <w:autoSpaceDN w:val="0"/>
        <w:adjustRightInd w:val="0"/>
        <w:spacing w:before="29" w:line="288" w:lineRule="auto"/>
        <w:ind w:left="15" w:right="480"/>
        <w:jc w:val="right"/>
        <w:rPr>
          <w:rFonts w:eastAsiaTheme="minorEastAsia"/>
          <w:color w:val="000000" w:themeColor="text1"/>
          <w:kern w:val="0"/>
          <w:sz w:val="24"/>
        </w:rPr>
      </w:pPr>
      <w:r w:rsidRPr="00B34368">
        <w:rPr>
          <w:rFonts w:eastAsiaTheme="minorEastAsia" w:hAnsiTheme="minorEastAsia"/>
          <w:color w:val="000000" w:themeColor="text1"/>
          <w:kern w:val="0"/>
          <w:sz w:val="24"/>
        </w:rPr>
        <w:t>单位：份</w:t>
      </w:r>
    </w:p>
    <w:tbl>
      <w:tblPr>
        <w:tblW w:w="0" w:type="auto"/>
        <w:tblInd w:w="108" w:type="dxa"/>
        <w:tblLayout w:type="fixed"/>
        <w:tblLook w:val="0000" w:firstRow="0" w:lastRow="0" w:firstColumn="0" w:lastColumn="0" w:noHBand="0" w:noVBand="0"/>
      </w:tblPr>
      <w:tblGrid>
        <w:gridCol w:w="3900"/>
        <w:gridCol w:w="2367"/>
        <w:gridCol w:w="2367"/>
      </w:tblGrid>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B84643">
            <w:pPr>
              <w:autoSpaceDE w:val="0"/>
              <w:autoSpaceDN w:val="0"/>
              <w:adjustRightInd w:val="0"/>
              <w:spacing w:before="29" w:line="360" w:lineRule="auto"/>
              <w:ind w:left="17"/>
              <w:jc w:val="center"/>
              <w:rPr>
                <w:rFonts w:eastAsiaTheme="minorEastAsia"/>
                <w:color w:val="000000" w:themeColor="text1"/>
                <w:kern w:val="0"/>
                <w:sz w:val="24"/>
              </w:rPr>
            </w:pPr>
            <w:r w:rsidRPr="00B34368">
              <w:rPr>
                <w:rFonts w:eastAsiaTheme="minorEastAsia" w:hAnsiTheme="minorEastAsia"/>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易方达创业板</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易方达创业板</w:t>
            </w:r>
            <w:r w:rsidRPr="00B34368">
              <w:rPr>
                <w:rFonts w:eastAsiaTheme="minorEastAsia"/>
                <w:color w:val="000000" w:themeColor="text1"/>
                <w:sz w:val="24"/>
              </w:rPr>
              <w:t>ETF</w:t>
            </w:r>
            <w:r w:rsidRPr="00B34368">
              <w:rPr>
                <w:rFonts w:eastAsiaTheme="minorEastAsia"/>
                <w:color w:val="000000" w:themeColor="text1"/>
                <w:sz w:val="24"/>
              </w:rPr>
              <w:t>联接</w:t>
            </w:r>
            <w:r w:rsidRPr="00B34368">
              <w:rPr>
                <w:rFonts w:eastAsiaTheme="minorEastAsia"/>
                <w:color w:val="000000" w:themeColor="text1"/>
                <w:sz w:val="24"/>
              </w:rPr>
              <w:t>C</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3,090,248,314.90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991,706,211.67</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376,166,387.01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471,211,672.02</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减：</w:t>
            </w:r>
            <w:r w:rsidR="00F72579" w:rsidRPr="00B34368">
              <w:rPr>
                <w:rFonts w:eastAsiaTheme="minorEastAsia"/>
                <w:color w:val="000000" w:themeColor="text1"/>
                <w:kern w:val="0"/>
                <w:sz w:val="24"/>
              </w:rPr>
              <w:t>本报告期</w:t>
            </w:r>
            <w:r w:rsidRPr="00B34368">
              <w:rPr>
                <w:rFonts w:eastAsiaTheme="minorEastAsia" w:hAnsiTheme="minorEastAsia"/>
                <w:color w:val="000000" w:themeColor="text1"/>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1,018,592,792.15</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440,494,757.24</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F72579"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color w:val="000000" w:themeColor="text1"/>
                <w:kern w:val="0"/>
                <w:sz w:val="24"/>
              </w:rPr>
              <w:t>本报告期</w:t>
            </w:r>
            <w:r w:rsidR="00936D40" w:rsidRPr="00B34368">
              <w:rPr>
                <w:rFonts w:eastAsiaTheme="minorEastAsia" w:hAnsiTheme="minorEastAsia"/>
                <w:color w:val="000000" w:themeColor="text1"/>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A1276C">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w:t>
            </w:r>
          </w:p>
        </w:tc>
      </w:tr>
      <w:tr w:rsidR="00D3639B" w:rsidRPr="00B34368" w:rsidTr="00975D18">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936D40" w:rsidP="00A1276C">
            <w:pPr>
              <w:autoSpaceDE w:val="0"/>
              <w:autoSpaceDN w:val="0"/>
              <w:adjustRightInd w:val="0"/>
              <w:spacing w:before="29" w:line="360" w:lineRule="auto"/>
              <w:ind w:left="17"/>
              <w:jc w:val="left"/>
              <w:rPr>
                <w:rFonts w:eastAsiaTheme="minorEastAsia"/>
                <w:color w:val="000000" w:themeColor="text1"/>
                <w:kern w:val="0"/>
                <w:sz w:val="24"/>
              </w:rPr>
            </w:pPr>
            <w:r w:rsidRPr="00B34368">
              <w:rPr>
                <w:rFonts w:eastAsiaTheme="minorEastAsia" w:hAnsiTheme="minorEastAsia"/>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B57BCF">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2,447,821,909.76</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B34368" w:rsidRDefault="0042785F" w:rsidP="00936D40">
            <w:pPr>
              <w:autoSpaceDE w:val="0"/>
              <w:autoSpaceDN w:val="0"/>
              <w:adjustRightInd w:val="0"/>
              <w:spacing w:before="29" w:line="360" w:lineRule="auto"/>
              <w:ind w:left="17"/>
              <w:jc w:val="right"/>
              <w:rPr>
                <w:rFonts w:eastAsiaTheme="minorEastAsia"/>
                <w:color w:val="000000" w:themeColor="text1"/>
                <w:sz w:val="24"/>
              </w:rPr>
            </w:pPr>
            <w:r w:rsidRPr="00B34368">
              <w:rPr>
                <w:rFonts w:eastAsiaTheme="minorEastAsia"/>
                <w:color w:val="000000" w:themeColor="text1"/>
                <w:sz w:val="24"/>
              </w:rPr>
              <w:t>1,022,423,126.45</w:t>
            </w:r>
          </w:p>
        </w:tc>
      </w:tr>
    </w:tbl>
    <w:p w:rsidR="00617125" w:rsidRPr="00B34368" w:rsidRDefault="00617125" w:rsidP="00C544B8">
      <w:pPr>
        <w:pStyle w:val="1"/>
        <w:tabs>
          <w:tab w:val="center" w:pos="4156"/>
          <w:tab w:val="right" w:pos="8312"/>
        </w:tabs>
        <w:spacing w:beforeLines="100" w:before="312" w:afterLines="100" w:after="312" w:line="360" w:lineRule="auto"/>
        <w:jc w:val="center"/>
        <w:rPr>
          <w:rFonts w:eastAsiaTheme="minorEastAsia"/>
          <w:color w:val="000000" w:themeColor="text1"/>
          <w:sz w:val="24"/>
          <w:szCs w:val="24"/>
        </w:rPr>
      </w:pPr>
      <w:r w:rsidRPr="00B34368">
        <w:rPr>
          <w:rFonts w:eastAsiaTheme="minorEastAsia"/>
          <w:color w:val="000000" w:themeColor="text1"/>
          <w:kern w:val="0"/>
          <w:sz w:val="24"/>
          <w:szCs w:val="24"/>
        </w:rPr>
        <w:t>§7</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sz w:val="24"/>
          <w:szCs w:val="24"/>
        </w:rPr>
        <w:t>基金管理人运用固有资金投资本基金情况</w:t>
      </w:r>
    </w:p>
    <w:p w:rsidR="00617125" w:rsidRPr="00B34368" w:rsidRDefault="00617125" w:rsidP="00617125">
      <w:pPr>
        <w:spacing w:line="360" w:lineRule="auto"/>
        <w:jc w:val="left"/>
        <w:rPr>
          <w:rFonts w:eastAsiaTheme="minorEastAsia"/>
          <w:color w:val="000000" w:themeColor="text1"/>
          <w:sz w:val="24"/>
        </w:rPr>
      </w:pPr>
      <w:r w:rsidRPr="00B34368">
        <w:rPr>
          <w:rFonts w:eastAsiaTheme="minorEastAsia"/>
          <w:b/>
          <w:color w:val="000000" w:themeColor="text1"/>
          <w:sz w:val="24"/>
        </w:rPr>
        <w:t xml:space="preserve">7.1 </w:t>
      </w:r>
      <w:r w:rsidRPr="00B34368">
        <w:rPr>
          <w:rFonts w:eastAsiaTheme="minorEastAsia" w:hAnsiTheme="minorEastAsia"/>
          <w:b/>
          <w:color w:val="000000" w:themeColor="text1"/>
          <w:sz w:val="24"/>
        </w:rPr>
        <w:t>基金管理人持有本基金份额变动情况</w:t>
      </w:r>
    </w:p>
    <w:p w:rsidR="00617125" w:rsidRPr="00B34368" w:rsidRDefault="00A01C74" w:rsidP="00B34368">
      <w:pPr>
        <w:autoSpaceDE w:val="0"/>
        <w:autoSpaceDN w:val="0"/>
        <w:adjustRightInd w:val="0"/>
        <w:spacing w:line="360" w:lineRule="auto"/>
        <w:ind w:firstLineChars="200" w:firstLine="480"/>
        <w:jc w:val="left"/>
        <w:rPr>
          <w:rFonts w:eastAsiaTheme="minorEastAsia"/>
          <w:color w:val="000000" w:themeColor="text1"/>
          <w:sz w:val="24"/>
        </w:rPr>
      </w:pPr>
      <w:r w:rsidRPr="00DF18FE">
        <w:rPr>
          <w:color w:val="000000"/>
          <w:sz w:val="24"/>
        </w:rPr>
        <w:t>本报告期内基金管理人未持有本基金份额。</w:t>
      </w:r>
    </w:p>
    <w:p w:rsidR="00617125" w:rsidRPr="00B34368" w:rsidRDefault="00617125" w:rsidP="00C544B8">
      <w:pPr>
        <w:spacing w:beforeLines="100" w:before="312" w:line="360" w:lineRule="auto"/>
        <w:jc w:val="left"/>
        <w:rPr>
          <w:rFonts w:eastAsiaTheme="minorEastAsia"/>
          <w:color w:val="000000" w:themeColor="text1"/>
          <w:sz w:val="24"/>
        </w:rPr>
      </w:pPr>
      <w:r w:rsidRPr="00B34368">
        <w:rPr>
          <w:rFonts w:eastAsiaTheme="minorEastAsia"/>
          <w:b/>
          <w:color w:val="000000" w:themeColor="text1"/>
          <w:sz w:val="24"/>
        </w:rPr>
        <w:t xml:space="preserve">7.2 </w:t>
      </w:r>
      <w:r w:rsidRPr="00B34368">
        <w:rPr>
          <w:rFonts w:eastAsiaTheme="minorEastAsia" w:hAnsiTheme="minorEastAsia"/>
          <w:b/>
          <w:color w:val="000000" w:themeColor="text1"/>
          <w:sz w:val="24"/>
        </w:rPr>
        <w:t>基金管理人运用固有资金投资本基金交易明细</w:t>
      </w:r>
    </w:p>
    <w:p w:rsidR="00617125" w:rsidRPr="00B34368" w:rsidRDefault="00617125" w:rsidP="00B34368">
      <w:pPr>
        <w:autoSpaceDE w:val="0"/>
        <w:autoSpaceDN w:val="0"/>
        <w:adjustRightInd w:val="0"/>
        <w:spacing w:line="360" w:lineRule="auto"/>
        <w:ind w:firstLineChars="200" w:firstLine="480"/>
        <w:jc w:val="left"/>
        <w:rPr>
          <w:rFonts w:eastAsiaTheme="minorEastAsia"/>
          <w:color w:val="000000" w:themeColor="text1"/>
          <w:sz w:val="24"/>
        </w:rPr>
      </w:pPr>
      <w:r w:rsidRPr="00B34368">
        <w:rPr>
          <w:rFonts w:eastAsiaTheme="minorEastAsia"/>
          <w:color w:val="000000" w:themeColor="text1"/>
          <w:sz w:val="24"/>
        </w:rPr>
        <w:t>本报告期内基金管理人未运用固有资金申购、赎回、买卖本基金份额。</w:t>
      </w:r>
    </w:p>
    <w:p w:rsidR="009238DB" w:rsidRPr="00B34368" w:rsidRDefault="009238DB" w:rsidP="00C544B8">
      <w:pPr>
        <w:pStyle w:val="1"/>
        <w:spacing w:beforeLines="100" w:before="312" w:afterLines="100" w:after="312" w:line="360" w:lineRule="auto"/>
        <w:jc w:val="center"/>
        <w:rPr>
          <w:rFonts w:eastAsiaTheme="minorEastAsia"/>
          <w:color w:val="000000" w:themeColor="text1"/>
          <w:kern w:val="0"/>
          <w:sz w:val="24"/>
          <w:szCs w:val="24"/>
        </w:rPr>
      </w:pPr>
      <w:r w:rsidRPr="00B34368">
        <w:rPr>
          <w:rFonts w:eastAsiaTheme="minorEastAsia"/>
          <w:color w:val="000000" w:themeColor="text1"/>
          <w:kern w:val="0"/>
          <w:sz w:val="24"/>
          <w:szCs w:val="24"/>
        </w:rPr>
        <w:t>§</w:t>
      </w:r>
      <w:r w:rsidR="00A14399" w:rsidRPr="00B34368">
        <w:rPr>
          <w:rFonts w:eastAsiaTheme="minorEastAsia"/>
          <w:color w:val="000000" w:themeColor="text1"/>
          <w:kern w:val="0"/>
          <w:sz w:val="24"/>
          <w:szCs w:val="24"/>
        </w:rPr>
        <w:t>8</w:t>
      </w:r>
      <w:r w:rsidR="007661B8" w:rsidRPr="00B34368">
        <w:rPr>
          <w:rFonts w:eastAsiaTheme="minorEastAsia"/>
          <w:color w:val="000000" w:themeColor="text1"/>
          <w:kern w:val="0"/>
          <w:sz w:val="24"/>
          <w:szCs w:val="24"/>
        </w:rPr>
        <w:t xml:space="preserve">  </w:t>
      </w:r>
      <w:r w:rsidRPr="00B34368">
        <w:rPr>
          <w:rFonts w:eastAsiaTheme="minorEastAsia" w:hAnsiTheme="minorEastAsia"/>
          <w:color w:val="000000" w:themeColor="text1"/>
          <w:kern w:val="0"/>
          <w:sz w:val="24"/>
          <w:szCs w:val="24"/>
        </w:rPr>
        <w:t>备查文件目录</w:t>
      </w:r>
    </w:p>
    <w:p w:rsidR="00FB3C94" w:rsidRPr="00B34368" w:rsidRDefault="00A14399" w:rsidP="00FC13C8">
      <w:pPr>
        <w:autoSpaceDE w:val="0"/>
        <w:autoSpaceDN w:val="0"/>
        <w:adjustRightInd w:val="0"/>
        <w:spacing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w:t>
      </w:r>
      <w:r w:rsidR="00D13A01" w:rsidRPr="00B34368">
        <w:rPr>
          <w:rFonts w:eastAsiaTheme="minorEastAsia"/>
          <w:b/>
          <w:bCs/>
          <w:color w:val="000000" w:themeColor="text1"/>
          <w:kern w:val="0"/>
          <w:sz w:val="24"/>
        </w:rPr>
        <w:t>1</w:t>
      </w:r>
      <w:r w:rsidR="00FB3C94" w:rsidRPr="00B34368">
        <w:rPr>
          <w:rFonts w:eastAsiaTheme="minorEastAsia" w:hAnsiTheme="minorEastAsia"/>
          <w:b/>
          <w:bCs/>
          <w:color w:val="000000" w:themeColor="text1"/>
          <w:kern w:val="0"/>
          <w:sz w:val="24"/>
        </w:rPr>
        <w:t>备查文件目录</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中国证监会核准易方达创业板交易型开放式指数证券投资基金联接基金募集的文件；</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《易方达创业板交易型开放式指数证券投资基金联接基金基金合同》；</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3.</w:t>
      </w:r>
      <w:r>
        <w:rPr>
          <w:rFonts w:eastAsiaTheme="minorEastAsia"/>
          <w:color w:val="000000" w:themeColor="text1"/>
          <w:sz w:val="24"/>
        </w:rPr>
        <w:t>《易方达基金管理有限公司开放式基金业务规则》；</w:t>
      </w:r>
      <w:r>
        <w:rPr>
          <w:rFonts w:eastAsiaTheme="minorEastAsia"/>
          <w:color w:val="000000" w:themeColor="text1"/>
          <w:sz w:val="24"/>
        </w:rPr>
        <w:t xml:space="preserve"> </w:t>
      </w:r>
    </w:p>
    <w:p w:rsidR="0044553C" w:rsidRDefault="00276810">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《易方达创业板交易型开放式指数证券投资基金联接基金托管协议》；</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5.</w:t>
      </w:r>
      <w:r w:rsidRPr="00B34368">
        <w:rPr>
          <w:rFonts w:eastAsiaTheme="minorEastAsia"/>
          <w:color w:val="000000" w:themeColor="text1"/>
          <w:sz w:val="24"/>
        </w:rPr>
        <w:t>基金管理人业务资格批件和营业执照。</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8.2</w:t>
      </w:r>
      <w:r w:rsidR="00FB3C94" w:rsidRPr="00B34368">
        <w:rPr>
          <w:rFonts w:eastAsiaTheme="minorEastAsia" w:hAnsiTheme="minorEastAsia"/>
          <w:b/>
          <w:bCs/>
          <w:color w:val="000000" w:themeColor="text1"/>
          <w:kern w:val="0"/>
          <w:sz w:val="24"/>
        </w:rPr>
        <w:t>存放地点</w:t>
      </w:r>
    </w:p>
    <w:p w:rsidR="00F11783"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lastRenderedPageBreak/>
        <w:t>广州市天河区珠江新城珠江东路</w:t>
      </w:r>
      <w:r w:rsidRPr="00B34368">
        <w:rPr>
          <w:rFonts w:eastAsiaTheme="minorEastAsia"/>
          <w:color w:val="000000" w:themeColor="text1"/>
          <w:sz w:val="24"/>
        </w:rPr>
        <w:t>30</w:t>
      </w:r>
      <w:r w:rsidRPr="00B34368">
        <w:rPr>
          <w:rFonts w:eastAsiaTheme="minorEastAsia"/>
          <w:color w:val="000000" w:themeColor="text1"/>
          <w:sz w:val="24"/>
        </w:rPr>
        <w:t>号广州银行大厦</w:t>
      </w:r>
      <w:r w:rsidRPr="00B34368">
        <w:rPr>
          <w:rFonts w:eastAsiaTheme="minorEastAsia"/>
          <w:color w:val="000000" w:themeColor="text1"/>
          <w:sz w:val="24"/>
        </w:rPr>
        <w:t>40-43</w:t>
      </w:r>
      <w:r w:rsidRPr="00B34368">
        <w:rPr>
          <w:rFonts w:eastAsiaTheme="minorEastAsia"/>
          <w:color w:val="000000" w:themeColor="text1"/>
          <w:sz w:val="24"/>
        </w:rPr>
        <w:t>楼。</w:t>
      </w:r>
    </w:p>
    <w:p w:rsidR="00FB3C94" w:rsidRPr="00B34368" w:rsidRDefault="00D13A01" w:rsidP="00C544B8">
      <w:pPr>
        <w:autoSpaceDE w:val="0"/>
        <w:autoSpaceDN w:val="0"/>
        <w:adjustRightInd w:val="0"/>
        <w:spacing w:beforeLines="100" w:before="312" w:line="360" w:lineRule="auto"/>
        <w:jc w:val="left"/>
        <w:rPr>
          <w:rFonts w:eastAsiaTheme="minorEastAsia"/>
          <w:b/>
          <w:bCs/>
          <w:color w:val="000000" w:themeColor="text1"/>
          <w:kern w:val="0"/>
          <w:sz w:val="24"/>
        </w:rPr>
      </w:pPr>
      <w:r w:rsidRPr="00B34368">
        <w:rPr>
          <w:rFonts w:eastAsiaTheme="minorEastAsia"/>
          <w:b/>
          <w:bCs/>
          <w:color w:val="000000" w:themeColor="text1"/>
          <w:kern w:val="0"/>
          <w:sz w:val="24"/>
        </w:rPr>
        <w:t>8.3</w:t>
      </w:r>
      <w:r w:rsidR="00FB3C94" w:rsidRPr="00B34368">
        <w:rPr>
          <w:rFonts w:eastAsiaTheme="minorEastAsia" w:hAnsiTheme="minorEastAsia"/>
          <w:b/>
          <w:bCs/>
          <w:color w:val="000000" w:themeColor="text1"/>
          <w:kern w:val="0"/>
          <w:sz w:val="24"/>
        </w:rPr>
        <w:t>查阅方式</w:t>
      </w:r>
    </w:p>
    <w:p w:rsidR="00FB3C94" w:rsidRPr="00B34368" w:rsidRDefault="00FB3C94" w:rsidP="00B34368">
      <w:pPr>
        <w:spacing w:line="360" w:lineRule="auto"/>
        <w:ind w:firstLineChars="200" w:firstLine="480"/>
        <w:rPr>
          <w:rFonts w:eastAsiaTheme="minorEastAsia"/>
          <w:color w:val="000000" w:themeColor="text1"/>
          <w:sz w:val="24"/>
        </w:rPr>
      </w:pPr>
      <w:r w:rsidRPr="00B34368">
        <w:rPr>
          <w:rFonts w:eastAsiaTheme="minorEastAsia"/>
          <w:color w:val="000000" w:themeColor="text1"/>
          <w:sz w:val="24"/>
        </w:rPr>
        <w:t>投资者可在营业时间免费查阅，也可按工本费购买复印件。</w:t>
      </w:r>
    </w:p>
    <w:p w:rsidR="00FB3C94" w:rsidRPr="00B34368" w:rsidRDefault="00FB3C94" w:rsidP="00FB3C94">
      <w:pPr>
        <w:spacing w:line="360" w:lineRule="auto"/>
        <w:ind w:left="840"/>
        <w:jc w:val="right"/>
        <w:rPr>
          <w:rFonts w:eastAsiaTheme="minorEastAsia"/>
          <w:color w:val="000000" w:themeColor="text1"/>
          <w:sz w:val="24"/>
        </w:rPr>
      </w:pPr>
    </w:p>
    <w:p w:rsidR="00AF3AF9" w:rsidRPr="00B34368" w:rsidRDefault="00AF3AF9" w:rsidP="00053FFD">
      <w:pPr>
        <w:spacing w:line="360" w:lineRule="auto"/>
        <w:ind w:left="840"/>
        <w:jc w:val="center"/>
        <w:rPr>
          <w:rFonts w:eastAsiaTheme="minorEastAsia"/>
          <w:b/>
          <w:color w:val="000000" w:themeColor="text1"/>
          <w:sz w:val="24"/>
        </w:rPr>
      </w:pPr>
    </w:p>
    <w:p w:rsidR="00FB3C94" w:rsidRPr="00B34368" w:rsidRDefault="00FB3C94"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易方达基金管理有限公司</w:t>
      </w:r>
    </w:p>
    <w:p w:rsidR="009238DB" w:rsidRPr="00B34368" w:rsidRDefault="00D04410" w:rsidP="00B1493B">
      <w:pPr>
        <w:spacing w:line="360" w:lineRule="auto"/>
        <w:jc w:val="right"/>
        <w:rPr>
          <w:rFonts w:eastAsiaTheme="minorEastAsia"/>
          <w:b/>
          <w:bCs/>
          <w:color w:val="000000" w:themeColor="text1"/>
          <w:sz w:val="24"/>
        </w:rPr>
      </w:pPr>
      <w:r w:rsidRPr="00B34368">
        <w:rPr>
          <w:rFonts w:eastAsiaTheme="minorEastAsia"/>
          <w:b/>
          <w:bCs/>
          <w:color w:val="000000" w:themeColor="text1"/>
          <w:sz w:val="24"/>
        </w:rPr>
        <w:t>二〇一九年十月二十四日</w:t>
      </w:r>
    </w:p>
    <w:sectPr w:rsidR="009238DB" w:rsidRPr="00B34368"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744" w:rsidRDefault="00807744">
      <w:r>
        <w:separator/>
      </w:r>
    </w:p>
  </w:endnote>
  <w:endnote w:type="continuationSeparator" w:id="0">
    <w:p w:rsidR="00807744" w:rsidRDefault="0080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Pr="001D0DB0" w:rsidRDefault="007C1122" w:rsidP="00F7094A">
    <w:pPr>
      <w:pStyle w:val="a6"/>
      <w:jc w:val="center"/>
    </w:pPr>
    <w:r>
      <w:rPr>
        <w:rFonts w:hint="eastAsia"/>
        <w:kern w:val="0"/>
        <w:szCs w:val="21"/>
      </w:rPr>
      <w:t>第</w:t>
    </w:r>
    <w:r w:rsidR="00EA55D2">
      <w:rPr>
        <w:kern w:val="0"/>
        <w:szCs w:val="21"/>
      </w:rPr>
      <w:fldChar w:fldCharType="begin"/>
    </w:r>
    <w:r>
      <w:rPr>
        <w:kern w:val="0"/>
        <w:szCs w:val="21"/>
      </w:rPr>
      <w:instrText xml:space="preserve"> PAGE </w:instrText>
    </w:r>
    <w:r w:rsidR="00EA55D2">
      <w:rPr>
        <w:kern w:val="0"/>
        <w:szCs w:val="21"/>
      </w:rPr>
      <w:fldChar w:fldCharType="separate"/>
    </w:r>
    <w:r w:rsidR="00276810">
      <w:rPr>
        <w:noProof/>
        <w:kern w:val="0"/>
        <w:szCs w:val="21"/>
      </w:rPr>
      <w:t>1</w:t>
    </w:r>
    <w:r w:rsidR="00EA55D2">
      <w:rPr>
        <w:kern w:val="0"/>
        <w:szCs w:val="21"/>
      </w:rPr>
      <w:fldChar w:fldCharType="end"/>
    </w:r>
    <w:r>
      <w:rPr>
        <w:rFonts w:hint="eastAsia"/>
        <w:kern w:val="0"/>
        <w:szCs w:val="21"/>
      </w:rPr>
      <w:t>页共</w:t>
    </w:r>
    <w:r w:rsidR="00EA55D2">
      <w:rPr>
        <w:kern w:val="0"/>
        <w:szCs w:val="21"/>
      </w:rPr>
      <w:fldChar w:fldCharType="begin"/>
    </w:r>
    <w:r>
      <w:rPr>
        <w:kern w:val="0"/>
        <w:szCs w:val="21"/>
      </w:rPr>
      <w:instrText xml:space="preserve"> NUMPAGES </w:instrText>
    </w:r>
    <w:r w:rsidR="00EA55D2">
      <w:rPr>
        <w:kern w:val="0"/>
        <w:szCs w:val="21"/>
      </w:rPr>
      <w:fldChar w:fldCharType="separate"/>
    </w:r>
    <w:r w:rsidR="00276810">
      <w:rPr>
        <w:noProof/>
        <w:kern w:val="0"/>
        <w:szCs w:val="21"/>
      </w:rPr>
      <w:t>3</w:t>
    </w:r>
    <w:r w:rsidR="00EA55D2">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end"/>
    </w:r>
  </w:p>
  <w:p w:rsidR="007C1122" w:rsidRDefault="007C112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EA55D2">
    <w:pPr>
      <w:pStyle w:val="a6"/>
      <w:framePr w:wrap="around" w:vAnchor="text" w:hAnchor="margin" w:xAlign="center" w:y="1"/>
      <w:rPr>
        <w:rStyle w:val="a7"/>
      </w:rPr>
    </w:pPr>
    <w:r>
      <w:rPr>
        <w:rStyle w:val="a7"/>
      </w:rPr>
      <w:fldChar w:fldCharType="begin"/>
    </w:r>
    <w:r w:rsidR="007C1122">
      <w:rPr>
        <w:rStyle w:val="a7"/>
      </w:rPr>
      <w:instrText xml:space="preserve">PAGE  </w:instrText>
    </w:r>
    <w:r>
      <w:rPr>
        <w:rStyle w:val="a7"/>
      </w:rPr>
      <w:fldChar w:fldCharType="separate"/>
    </w:r>
    <w:r w:rsidR="00276810">
      <w:rPr>
        <w:rStyle w:val="a7"/>
        <w:noProof/>
      </w:rPr>
      <w:t>16</w:t>
    </w:r>
    <w:r>
      <w:rPr>
        <w:rStyle w:val="a7"/>
      </w:rPr>
      <w:fldChar w:fldCharType="end"/>
    </w:r>
  </w:p>
  <w:p w:rsidR="007C1122" w:rsidRDefault="007C11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744" w:rsidRDefault="00807744">
      <w:r>
        <w:separator/>
      </w:r>
    </w:p>
  </w:footnote>
  <w:footnote w:type="continuationSeparator" w:id="0">
    <w:p w:rsidR="00807744" w:rsidRDefault="00807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122" w:rsidRDefault="007C1122" w:rsidP="001207F2">
    <w:pPr>
      <w:pStyle w:val="a9"/>
      <w:pBdr>
        <w:bottom w:val="single" w:sz="6" w:space="0" w:color="auto"/>
      </w:pBdr>
      <w:jc w:val="right"/>
    </w:pPr>
    <w:r>
      <w:rPr>
        <w:sz w:val="21"/>
        <w:szCs w:val="21"/>
      </w:rPr>
      <w:t>易方达创业板交易型开放式指数证券投资基金联接基金</w:t>
    </w:r>
    <w:r>
      <w:rPr>
        <w:sz w:val="21"/>
        <w:szCs w:val="21"/>
      </w:rPr>
      <w:t>2019</w:t>
    </w:r>
    <w:r>
      <w:rPr>
        <w:sz w:val="21"/>
        <w:szCs w:val="21"/>
      </w:rPr>
      <w:t>年第</w:t>
    </w:r>
    <w:r>
      <w:rPr>
        <w:sz w:val="21"/>
        <w:szCs w:val="21"/>
      </w:rPr>
      <w:t>3</w:t>
    </w:r>
    <w:r>
      <w:rPr>
        <w:sz w:val="21"/>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B1"/>
    <w:rsid w:val="00002791"/>
    <w:rsid w:val="0000403B"/>
    <w:rsid w:val="00007441"/>
    <w:rsid w:val="00007F1F"/>
    <w:rsid w:val="00010A83"/>
    <w:rsid w:val="000137C1"/>
    <w:rsid w:val="000142F4"/>
    <w:rsid w:val="00014851"/>
    <w:rsid w:val="0001579C"/>
    <w:rsid w:val="00016551"/>
    <w:rsid w:val="00016934"/>
    <w:rsid w:val="00020737"/>
    <w:rsid w:val="00020C27"/>
    <w:rsid w:val="000219D5"/>
    <w:rsid w:val="00022396"/>
    <w:rsid w:val="00023073"/>
    <w:rsid w:val="00023B97"/>
    <w:rsid w:val="00024836"/>
    <w:rsid w:val="00024FB8"/>
    <w:rsid w:val="000252D8"/>
    <w:rsid w:val="0003564A"/>
    <w:rsid w:val="00035B0C"/>
    <w:rsid w:val="00042065"/>
    <w:rsid w:val="00043FD2"/>
    <w:rsid w:val="00045BA9"/>
    <w:rsid w:val="00047D87"/>
    <w:rsid w:val="000510AB"/>
    <w:rsid w:val="00052972"/>
    <w:rsid w:val="00053FFD"/>
    <w:rsid w:val="00056D5C"/>
    <w:rsid w:val="00057507"/>
    <w:rsid w:val="00061B0B"/>
    <w:rsid w:val="00061E09"/>
    <w:rsid w:val="00062C69"/>
    <w:rsid w:val="00062DC5"/>
    <w:rsid w:val="00062E1F"/>
    <w:rsid w:val="00064601"/>
    <w:rsid w:val="00064AE3"/>
    <w:rsid w:val="0006750A"/>
    <w:rsid w:val="00075E4E"/>
    <w:rsid w:val="000776C0"/>
    <w:rsid w:val="00077849"/>
    <w:rsid w:val="000803AD"/>
    <w:rsid w:val="000813D6"/>
    <w:rsid w:val="00081D05"/>
    <w:rsid w:val="000827CC"/>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3452"/>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1C52"/>
    <w:rsid w:val="00121F00"/>
    <w:rsid w:val="0012304E"/>
    <w:rsid w:val="00123051"/>
    <w:rsid w:val="001257C7"/>
    <w:rsid w:val="00125E66"/>
    <w:rsid w:val="00126AC0"/>
    <w:rsid w:val="00126C2B"/>
    <w:rsid w:val="00127A01"/>
    <w:rsid w:val="00130D77"/>
    <w:rsid w:val="00131EF6"/>
    <w:rsid w:val="0013251D"/>
    <w:rsid w:val="00134734"/>
    <w:rsid w:val="00134CBE"/>
    <w:rsid w:val="00140C30"/>
    <w:rsid w:val="00142C74"/>
    <w:rsid w:val="00145E5B"/>
    <w:rsid w:val="00147319"/>
    <w:rsid w:val="00147551"/>
    <w:rsid w:val="0015012F"/>
    <w:rsid w:val="00150C2E"/>
    <w:rsid w:val="0015170D"/>
    <w:rsid w:val="001517AE"/>
    <w:rsid w:val="00154FA5"/>
    <w:rsid w:val="0015531A"/>
    <w:rsid w:val="00156F9D"/>
    <w:rsid w:val="001602E3"/>
    <w:rsid w:val="00160539"/>
    <w:rsid w:val="00161548"/>
    <w:rsid w:val="0017176A"/>
    <w:rsid w:val="00172B54"/>
    <w:rsid w:val="00176312"/>
    <w:rsid w:val="00176874"/>
    <w:rsid w:val="0017725A"/>
    <w:rsid w:val="0018052A"/>
    <w:rsid w:val="00180952"/>
    <w:rsid w:val="0018191A"/>
    <w:rsid w:val="001837D3"/>
    <w:rsid w:val="001857CB"/>
    <w:rsid w:val="00185B68"/>
    <w:rsid w:val="00186199"/>
    <w:rsid w:val="00194155"/>
    <w:rsid w:val="001A0417"/>
    <w:rsid w:val="001A0B71"/>
    <w:rsid w:val="001A1389"/>
    <w:rsid w:val="001A3016"/>
    <w:rsid w:val="001A3914"/>
    <w:rsid w:val="001A5FA6"/>
    <w:rsid w:val="001A78CC"/>
    <w:rsid w:val="001B053A"/>
    <w:rsid w:val="001B06D5"/>
    <w:rsid w:val="001B0C78"/>
    <w:rsid w:val="001B1A13"/>
    <w:rsid w:val="001B22BA"/>
    <w:rsid w:val="001B67D3"/>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028"/>
    <w:rsid w:val="001F5F5F"/>
    <w:rsid w:val="001F66D3"/>
    <w:rsid w:val="00205064"/>
    <w:rsid w:val="0020548A"/>
    <w:rsid w:val="00206EC3"/>
    <w:rsid w:val="00211668"/>
    <w:rsid w:val="002118A6"/>
    <w:rsid w:val="002122FF"/>
    <w:rsid w:val="002125F7"/>
    <w:rsid w:val="0021288A"/>
    <w:rsid w:val="002150AC"/>
    <w:rsid w:val="002164B5"/>
    <w:rsid w:val="00221938"/>
    <w:rsid w:val="00222262"/>
    <w:rsid w:val="002230A8"/>
    <w:rsid w:val="00225E1C"/>
    <w:rsid w:val="00227D20"/>
    <w:rsid w:val="00231BCE"/>
    <w:rsid w:val="00233CFB"/>
    <w:rsid w:val="002359EB"/>
    <w:rsid w:val="0023649E"/>
    <w:rsid w:val="00241740"/>
    <w:rsid w:val="002424E4"/>
    <w:rsid w:val="00243122"/>
    <w:rsid w:val="002437F5"/>
    <w:rsid w:val="00244DB1"/>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6645"/>
    <w:rsid w:val="00267386"/>
    <w:rsid w:val="00267C2E"/>
    <w:rsid w:val="00267DA9"/>
    <w:rsid w:val="00275FD0"/>
    <w:rsid w:val="00276810"/>
    <w:rsid w:val="00280514"/>
    <w:rsid w:val="002819E7"/>
    <w:rsid w:val="00282FF2"/>
    <w:rsid w:val="00283483"/>
    <w:rsid w:val="002844B5"/>
    <w:rsid w:val="0028459B"/>
    <w:rsid w:val="002872F8"/>
    <w:rsid w:val="00296E4A"/>
    <w:rsid w:val="002976E5"/>
    <w:rsid w:val="002A1F14"/>
    <w:rsid w:val="002A2678"/>
    <w:rsid w:val="002A3369"/>
    <w:rsid w:val="002A4B8A"/>
    <w:rsid w:val="002A5161"/>
    <w:rsid w:val="002A5C0F"/>
    <w:rsid w:val="002A61BA"/>
    <w:rsid w:val="002A6385"/>
    <w:rsid w:val="002A7929"/>
    <w:rsid w:val="002B41D7"/>
    <w:rsid w:val="002B5240"/>
    <w:rsid w:val="002B6A13"/>
    <w:rsid w:val="002C0904"/>
    <w:rsid w:val="002C0F67"/>
    <w:rsid w:val="002C1E84"/>
    <w:rsid w:val="002C32ED"/>
    <w:rsid w:val="002C36C3"/>
    <w:rsid w:val="002C77CC"/>
    <w:rsid w:val="002D2A00"/>
    <w:rsid w:val="002D5199"/>
    <w:rsid w:val="002E2862"/>
    <w:rsid w:val="002E4C01"/>
    <w:rsid w:val="002F0516"/>
    <w:rsid w:val="002F22D2"/>
    <w:rsid w:val="002F778A"/>
    <w:rsid w:val="002F7889"/>
    <w:rsid w:val="00302187"/>
    <w:rsid w:val="003028D8"/>
    <w:rsid w:val="0030290F"/>
    <w:rsid w:val="00302DE9"/>
    <w:rsid w:val="0030385E"/>
    <w:rsid w:val="00303869"/>
    <w:rsid w:val="00303F1D"/>
    <w:rsid w:val="00305084"/>
    <w:rsid w:val="00311ABF"/>
    <w:rsid w:val="003123E9"/>
    <w:rsid w:val="00314A81"/>
    <w:rsid w:val="00314DD2"/>
    <w:rsid w:val="00315A7C"/>
    <w:rsid w:val="00317705"/>
    <w:rsid w:val="003204E9"/>
    <w:rsid w:val="003232AA"/>
    <w:rsid w:val="00323A10"/>
    <w:rsid w:val="00323E6A"/>
    <w:rsid w:val="00323F25"/>
    <w:rsid w:val="00324A71"/>
    <w:rsid w:val="003303E3"/>
    <w:rsid w:val="0033236C"/>
    <w:rsid w:val="00334656"/>
    <w:rsid w:val="00337A86"/>
    <w:rsid w:val="0034147B"/>
    <w:rsid w:val="00341889"/>
    <w:rsid w:val="003426CE"/>
    <w:rsid w:val="00343016"/>
    <w:rsid w:val="0034447B"/>
    <w:rsid w:val="00350C22"/>
    <w:rsid w:val="00351704"/>
    <w:rsid w:val="003570C8"/>
    <w:rsid w:val="00367770"/>
    <w:rsid w:val="00371424"/>
    <w:rsid w:val="00371FF4"/>
    <w:rsid w:val="00372209"/>
    <w:rsid w:val="00377160"/>
    <w:rsid w:val="003771ED"/>
    <w:rsid w:val="0037768B"/>
    <w:rsid w:val="00382E6F"/>
    <w:rsid w:val="00387C00"/>
    <w:rsid w:val="00397960"/>
    <w:rsid w:val="00397F75"/>
    <w:rsid w:val="003A2008"/>
    <w:rsid w:val="003A3BC4"/>
    <w:rsid w:val="003A4AA3"/>
    <w:rsid w:val="003B405E"/>
    <w:rsid w:val="003B4843"/>
    <w:rsid w:val="003B494E"/>
    <w:rsid w:val="003B560C"/>
    <w:rsid w:val="003C67C6"/>
    <w:rsid w:val="003C6E9E"/>
    <w:rsid w:val="003C792F"/>
    <w:rsid w:val="003D117A"/>
    <w:rsid w:val="003D36B2"/>
    <w:rsid w:val="003D42D5"/>
    <w:rsid w:val="003D78B5"/>
    <w:rsid w:val="003E0BD4"/>
    <w:rsid w:val="003E45B9"/>
    <w:rsid w:val="003E654C"/>
    <w:rsid w:val="003F0DE5"/>
    <w:rsid w:val="003F46FC"/>
    <w:rsid w:val="003F4AA5"/>
    <w:rsid w:val="003F697D"/>
    <w:rsid w:val="003F7C45"/>
    <w:rsid w:val="00400500"/>
    <w:rsid w:val="0040132C"/>
    <w:rsid w:val="0040218E"/>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8BB"/>
    <w:rsid w:val="0042785F"/>
    <w:rsid w:val="004314FF"/>
    <w:rsid w:val="004408EC"/>
    <w:rsid w:val="00440F74"/>
    <w:rsid w:val="00441FEC"/>
    <w:rsid w:val="004425E8"/>
    <w:rsid w:val="0044280E"/>
    <w:rsid w:val="00443C8F"/>
    <w:rsid w:val="0044553C"/>
    <w:rsid w:val="00447BC6"/>
    <w:rsid w:val="004501CE"/>
    <w:rsid w:val="00452481"/>
    <w:rsid w:val="00452B25"/>
    <w:rsid w:val="00453417"/>
    <w:rsid w:val="00454A0F"/>
    <w:rsid w:val="0046335D"/>
    <w:rsid w:val="00463C2C"/>
    <w:rsid w:val="00483271"/>
    <w:rsid w:val="0049210E"/>
    <w:rsid w:val="0049297D"/>
    <w:rsid w:val="0049327D"/>
    <w:rsid w:val="0049405D"/>
    <w:rsid w:val="0049455C"/>
    <w:rsid w:val="00495A03"/>
    <w:rsid w:val="004A1BE1"/>
    <w:rsid w:val="004A63CB"/>
    <w:rsid w:val="004A67B0"/>
    <w:rsid w:val="004A6FB2"/>
    <w:rsid w:val="004B0847"/>
    <w:rsid w:val="004B0E6D"/>
    <w:rsid w:val="004B16E8"/>
    <w:rsid w:val="004B54B8"/>
    <w:rsid w:val="004C0541"/>
    <w:rsid w:val="004C634A"/>
    <w:rsid w:val="004C660B"/>
    <w:rsid w:val="004D050C"/>
    <w:rsid w:val="004D23D9"/>
    <w:rsid w:val="004D3537"/>
    <w:rsid w:val="004D45B6"/>
    <w:rsid w:val="004D4D4E"/>
    <w:rsid w:val="004D614E"/>
    <w:rsid w:val="004D650F"/>
    <w:rsid w:val="004E2133"/>
    <w:rsid w:val="004E4E04"/>
    <w:rsid w:val="004F521C"/>
    <w:rsid w:val="005002A3"/>
    <w:rsid w:val="00502CD8"/>
    <w:rsid w:val="0050361C"/>
    <w:rsid w:val="0050527A"/>
    <w:rsid w:val="00506A40"/>
    <w:rsid w:val="0051064F"/>
    <w:rsid w:val="00513A0E"/>
    <w:rsid w:val="00515D7B"/>
    <w:rsid w:val="00515F29"/>
    <w:rsid w:val="0052009E"/>
    <w:rsid w:val="00524880"/>
    <w:rsid w:val="00530161"/>
    <w:rsid w:val="005413D4"/>
    <w:rsid w:val="0054389B"/>
    <w:rsid w:val="005450F7"/>
    <w:rsid w:val="00545A0B"/>
    <w:rsid w:val="00545BED"/>
    <w:rsid w:val="0054672F"/>
    <w:rsid w:val="00547A9A"/>
    <w:rsid w:val="00547FA4"/>
    <w:rsid w:val="005536D4"/>
    <w:rsid w:val="00553EC8"/>
    <w:rsid w:val="005564EE"/>
    <w:rsid w:val="00557D4A"/>
    <w:rsid w:val="0056176B"/>
    <w:rsid w:val="00561889"/>
    <w:rsid w:val="005621F6"/>
    <w:rsid w:val="0056291C"/>
    <w:rsid w:val="005668D3"/>
    <w:rsid w:val="00566EBD"/>
    <w:rsid w:val="0057154B"/>
    <w:rsid w:val="005742DB"/>
    <w:rsid w:val="00577209"/>
    <w:rsid w:val="005800A9"/>
    <w:rsid w:val="00581139"/>
    <w:rsid w:val="00581645"/>
    <w:rsid w:val="00583723"/>
    <w:rsid w:val="0058694E"/>
    <w:rsid w:val="005875F9"/>
    <w:rsid w:val="00593A35"/>
    <w:rsid w:val="00593C74"/>
    <w:rsid w:val="00597D8B"/>
    <w:rsid w:val="005A46FF"/>
    <w:rsid w:val="005A557E"/>
    <w:rsid w:val="005A63FD"/>
    <w:rsid w:val="005B462A"/>
    <w:rsid w:val="005B5137"/>
    <w:rsid w:val="005B6047"/>
    <w:rsid w:val="005C0ED7"/>
    <w:rsid w:val="005C5409"/>
    <w:rsid w:val="005C6FF7"/>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321C"/>
    <w:rsid w:val="00613F44"/>
    <w:rsid w:val="006160BD"/>
    <w:rsid w:val="00617125"/>
    <w:rsid w:val="00620EDB"/>
    <w:rsid w:val="0062386E"/>
    <w:rsid w:val="00623DB6"/>
    <w:rsid w:val="00624EDE"/>
    <w:rsid w:val="006253EF"/>
    <w:rsid w:val="00626075"/>
    <w:rsid w:val="0062680E"/>
    <w:rsid w:val="00631158"/>
    <w:rsid w:val="00632923"/>
    <w:rsid w:val="006341E6"/>
    <w:rsid w:val="00634439"/>
    <w:rsid w:val="006366C6"/>
    <w:rsid w:val="00636B55"/>
    <w:rsid w:val="00636EB1"/>
    <w:rsid w:val="006373D6"/>
    <w:rsid w:val="006403D4"/>
    <w:rsid w:val="00642CBC"/>
    <w:rsid w:val="00643760"/>
    <w:rsid w:val="0064454A"/>
    <w:rsid w:val="00645293"/>
    <w:rsid w:val="0064698F"/>
    <w:rsid w:val="00651B78"/>
    <w:rsid w:val="0065237A"/>
    <w:rsid w:val="00652FF5"/>
    <w:rsid w:val="00654382"/>
    <w:rsid w:val="00654758"/>
    <w:rsid w:val="00661244"/>
    <w:rsid w:val="006640DF"/>
    <w:rsid w:val="00666A3C"/>
    <w:rsid w:val="00667519"/>
    <w:rsid w:val="006676A0"/>
    <w:rsid w:val="00670857"/>
    <w:rsid w:val="00670868"/>
    <w:rsid w:val="00673D69"/>
    <w:rsid w:val="00676431"/>
    <w:rsid w:val="0068050D"/>
    <w:rsid w:val="00685FFC"/>
    <w:rsid w:val="00686943"/>
    <w:rsid w:val="00686EDE"/>
    <w:rsid w:val="00687AD5"/>
    <w:rsid w:val="00690A31"/>
    <w:rsid w:val="006911CE"/>
    <w:rsid w:val="00695251"/>
    <w:rsid w:val="00695B58"/>
    <w:rsid w:val="0069798D"/>
    <w:rsid w:val="006A4828"/>
    <w:rsid w:val="006A7C09"/>
    <w:rsid w:val="006B046C"/>
    <w:rsid w:val="006B252F"/>
    <w:rsid w:val="006B3940"/>
    <w:rsid w:val="006B3FDB"/>
    <w:rsid w:val="006B66FE"/>
    <w:rsid w:val="006B711B"/>
    <w:rsid w:val="006C168D"/>
    <w:rsid w:val="006C4033"/>
    <w:rsid w:val="006C642C"/>
    <w:rsid w:val="006D3BC4"/>
    <w:rsid w:val="006D7386"/>
    <w:rsid w:val="006E0DAD"/>
    <w:rsid w:val="006E313F"/>
    <w:rsid w:val="006E3EFB"/>
    <w:rsid w:val="006F1F1A"/>
    <w:rsid w:val="006F5AC2"/>
    <w:rsid w:val="006F5B4C"/>
    <w:rsid w:val="006F6C28"/>
    <w:rsid w:val="007007EB"/>
    <w:rsid w:val="00701F57"/>
    <w:rsid w:val="00703E8A"/>
    <w:rsid w:val="00706046"/>
    <w:rsid w:val="007112F0"/>
    <w:rsid w:val="00711343"/>
    <w:rsid w:val="00714309"/>
    <w:rsid w:val="0071450F"/>
    <w:rsid w:val="00714C6F"/>
    <w:rsid w:val="0071681D"/>
    <w:rsid w:val="00717772"/>
    <w:rsid w:val="00721DBE"/>
    <w:rsid w:val="007226EC"/>
    <w:rsid w:val="00722B5E"/>
    <w:rsid w:val="00724F6D"/>
    <w:rsid w:val="0072678C"/>
    <w:rsid w:val="00732D1D"/>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B8"/>
    <w:rsid w:val="007661D4"/>
    <w:rsid w:val="007661FD"/>
    <w:rsid w:val="00766A7C"/>
    <w:rsid w:val="00767A27"/>
    <w:rsid w:val="0077111A"/>
    <w:rsid w:val="00775419"/>
    <w:rsid w:val="007763A5"/>
    <w:rsid w:val="0078008C"/>
    <w:rsid w:val="0078105B"/>
    <w:rsid w:val="00782390"/>
    <w:rsid w:val="00782B50"/>
    <w:rsid w:val="00784FE0"/>
    <w:rsid w:val="007858B1"/>
    <w:rsid w:val="0078648E"/>
    <w:rsid w:val="00791A3A"/>
    <w:rsid w:val="00791D9C"/>
    <w:rsid w:val="007A391B"/>
    <w:rsid w:val="007A4409"/>
    <w:rsid w:val="007A4F37"/>
    <w:rsid w:val="007A5241"/>
    <w:rsid w:val="007A59B8"/>
    <w:rsid w:val="007B06C7"/>
    <w:rsid w:val="007B3D06"/>
    <w:rsid w:val="007B42F5"/>
    <w:rsid w:val="007B5157"/>
    <w:rsid w:val="007B5CD8"/>
    <w:rsid w:val="007C04A1"/>
    <w:rsid w:val="007C1122"/>
    <w:rsid w:val="007C19EC"/>
    <w:rsid w:val="007C364E"/>
    <w:rsid w:val="007C5359"/>
    <w:rsid w:val="007C6701"/>
    <w:rsid w:val="007D16ED"/>
    <w:rsid w:val="007D2398"/>
    <w:rsid w:val="007D440B"/>
    <w:rsid w:val="007D5908"/>
    <w:rsid w:val="007D62F9"/>
    <w:rsid w:val="007D63A4"/>
    <w:rsid w:val="007D732D"/>
    <w:rsid w:val="007E0F19"/>
    <w:rsid w:val="007E2A84"/>
    <w:rsid w:val="007E5ECB"/>
    <w:rsid w:val="007F063D"/>
    <w:rsid w:val="007F0D73"/>
    <w:rsid w:val="007F2FC8"/>
    <w:rsid w:val="007F432A"/>
    <w:rsid w:val="007F63AA"/>
    <w:rsid w:val="008006B7"/>
    <w:rsid w:val="008032FD"/>
    <w:rsid w:val="00806461"/>
    <w:rsid w:val="008064CE"/>
    <w:rsid w:val="0080673A"/>
    <w:rsid w:val="00807744"/>
    <w:rsid w:val="00807A94"/>
    <w:rsid w:val="00810B79"/>
    <w:rsid w:val="00810EAD"/>
    <w:rsid w:val="00812803"/>
    <w:rsid w:val="008129C0"/>
    <w:rsid w:val="00813B0C"/>
    <w:rsid w:val="00814530"/>
    <w:rsid w:val="00815386"/>
    <w:rsid w:val="00821F9C"/>
    <w:rsid w:val="00825570"/>
    <w:rsid w:val="00826403"/>
    <w:rsid w:val="00827990"/>
    <w:rsid w:val="00834CA6"/>
    <w:rsid w:val="0083623B"/>
    <w:rsid w:val="008379E4"/>
    <w:rsid w:val="00837E59"/>
    <w:rsid w:val="00842100"/>
    <w:rsid w:val="008428A9"/>
    <w:rsid w:val="0084308F"/>
    <w:rsid w:val="00846C2B"/>
    <w:rsid w:val="0085139A"/>
    <w:rsid w:val="008524F6"/>
    <w:rsid w:val="00854B3F"/>
    <w:rsid w:val="00861C2C"/>
    <w:rsid w:val="008668B8"/>
    <w:rsid w:val="00866D32"/>
    <w:rsid w:val="0086748F"/>
    <w:rsid w:val="00867B4D"/>
    <w:rsid w:val="00867CF3"/>
    <w:rsid w:val="00870278"/>
    <w:rsid w:val="00874AB5"/>
    <w:rsid w:val="008750A9"/>
    <w:rsid w:val="00875A68"/>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E58D6"/>
    <w:rsid w:val="008F1426"/>
    <w:rsid w:val="008F2125"/>
    <w:rsid w:val="008F23F4"/>
    <w:rsid w:val="008F61C4"/>
    <w:rsid w:val="008F7763"/>
    <w:rsid w:val="009007CB"/>
    <w:rsid w:val="009010F0"/>
    <w:rsid w:val="00901162"/>
    <w:rsid w:val="00901D46"/>
    <w:rsid w:val="009028E2"/>
    <w:rsid w:val="00903692"/>
    <w:rsid w:val="00904E07"/>
    <w:rsid w:val="00912BAF"/>
    <w:rsid w:val="00914EAB"/>
    <w:rsid w:val="0091541F"/>
    <w:rsid w:val="009165E9"/>
    <w:rsid w:val="00920D98"/>
    <w:rsid w:val="0092249B"/>
    <w:rsid w:val="00922D49"/>
    <w:rsid w:val="009238DB"/>
    <w:rsid w:val="00925E37"/>
    <w:rsid w:val="00925EDD"/>
    <w:rsid w:val="00930079"/>
    <w:rsid w:val="00930966"/>
    <w:rsid w:val="00932F64"/>
    <w:rsid w:val="00936075"/>
    <w:rsid w:val="00936D40"/>
    <w:rsid w:val="00937ABF"/>
    <w:rsid w:val="00937DB1"/>
    <w:rsid w:val="009407FE"/>
    <w:rsid w:val="009463CC"/>
    <w:rsid w:val="00950413"/>
    <w:rsid w:val="0095078E"/>
    <w:rsid w:val="00952404"/>
    <w:rsid w:val="00952A72"/>
    <w:rsid w:val="009530AC"/>
    <w:rsid w:val="009550A8"/>
    <w:rsid w:val="00955FF2"/>
    <w:rsid w:val="0095693D"/>
    <w:rsid w:val="00956B0D"/>
    <w:rsid w:val="0096260B"/>
    <w:rsid w:val="009631C1"/>
    <w:rsid w:val="00963918"/>
    <w:rsid w:val="00970C69"/>
    <w:rsid w:val="00973B57"/>
    <w:rsid w:val="00973E0D"/>
    <w:rsid w:val="0097403F"/>
    <w:rsid w:val="00975D18"/>
    <w:rsid w:val="00976797"/>
    <w:rsid w:val="00980C0C"/>
    <w:rsid w:val="00982E47"/>
    <w:rsid w:val="00983E7D"/>
    <w:rsid w:val="00986963"/>
    <w:rsid w:val="00991642"/>
    <w:rsid w:val="0099260C"/>
    <w:rsid w:val="009942F4"/>
    <w:rsid w:val="00995B3C"/>
    <w:rsid w:val="009A045B"/>
    <w:rsid w:val="009A0513"/>
    <w:rsid w:val="009A2283"/>
    <w:rsid w:val="009A31AF"/>
    <w:rsid w:val="009A3507"/>
    <w:rsid w:val="009A5C1D"/>
    <w:rsid w:val="009B4286"/>
    <w:rsid w:val="009B5BF9"/>
    <w:rsid w:val="009B5DAF"/>
    <w:rsid w:val="009B5F83"/>
    <w:rsid w:val="009B61C5"/>
    <w:rsid w:val="009B769E"/>
    <w:rsid w:val="009C03E5"/>
    <w:rsid w:val="009C4D19"/>
    <w:rsid w:val="009C577A"/>
    <w:rsid w:val="009C5FDB"/>
    <w:rsid w:val="009C65AF"/>
    <w:rsid w:val="009C67A4"/>
    <w:rsid w:val="009C70CB"/>
    <w:rsid w:val="009C74DD"/>
    <w:rsid w:val="009D27AA"/>
    <w:rsid w:val="009D2AD9"/>
    <w:rsid w:val="009D514E"/>
    <w:rsid w:val="009D5C39"/>
    <w:rsid w:val="009D6FED"/>
    <w:rsid w:val="009E0A95"/>
    <w:rsid w:val="009E0D47"/>
    <w:rsid w:val="009E549D"/>
    <w:rsid w:val="009E54AF"/>
    <w:rsid w:val="009E5C59"/>
    <w:rsid w:val="009E6BB8"/>
    <w:rsid w:val="009F1CC3"/>
    <w:rsid w:val="009F26F2"/>
    <w:rsid w:val="009F3E1E"/>
    <w:rsid w:val="009F4CC5"/>
    <w:rsid w:val="009F6550"/>
    <w:rsid w:val="00A003BE"/>
    <w:rsid w:val="00A01C74"/>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6437"/>
    <w:rsid w:val="00A32410"/>
    <w:rsid w:val="00A32B48"/>
    <w:rsid w:val="00A36D00"/>
    <w:rsid w:val="00A43389"/>
    <w:rsid w:val="00A4642E"/>
    <w:rsid w:val="00A47AF8"/>
    <w:rsid w:val="00A50AC8"/>
    <w:rsid w:val="00A52D75"/>
    <w:rsid w:val="00A53013"/>
    <w:rsid w:val="00A54BD6"/>
    <w:rsid w:val="00A5643A"/>
    <w:rsid w:val="00A57678"/>
    <w:rsid w:val="00A6090C"/>
    <w:rsid w:val="00A6200E"/>
    <w:rsid w:val="00A62D1E"/>
    <w:rsid w:val="00A65C6D"/>
    <w:rsid w:val="00A716B9"/>
    <w:rsid w:val="00A720D8"/>
    <w:rsid w:val="00A72216"/>
    <w:rsid w:val="00A733F2"/>
    <w:rsid w:val="00A75705"/>
    <w:rsid w:val="00A75BE1"/>
    <w:rsid w:val="00A8187C"/>
    <w:rsid w:val="00A82C9E"/>
    <w:rsid w:val="00A8324F"/>
    <w:rsid w:val="00A85142"/>
    <w:rsid w:val="00A95B37"/>
    <w:rsid w:val="00A96B6F"/>
    <w:rsid w:val="00AA0CE8"/>
    <w:rsid w:val="00AA35FD"/>
    <w:rsid w:val="00AA3DB7"/>
    <w:rsid w:val="00AA5F63"/>
    <w:rsid w:val="00AA7EBD"/>
    <w:rsid w:val="00AB2431"/>
    <w:rsid w:val="00AB69EF"/>
    <w:rsid w:val="00AC11DC"/>
    <w:rsid w:val="00AC3E87"/>
    <w:rsid w:val="00AC469F"/>
    <w:rsid w:val="00AD0611"/>
    <w:rsid w:val="00AD0E4F"/>
    <w:rsid w:val="00AD26D7"/>
    <w:rsid w:val="00AD3905"/>
    <w:rsid w:val="00AD4555"/>
    <w:rsid w:val="00AD4A31"/>
    <w:rsid w:val="00AD5638"/>
    <w:rsid w:val="00AD7214"/>
    <w:rsid w:val="00AE1066"/>
    <w:rsid w:val="00AE12A4"/>
    <w:rsid w:val="00AE2E1B"/>
    <w:rsid w:val="00AE33EA"/>
    <w:rsid w:val="00AE5129"/>
    <w:rsid w:val="00AE5645"/>
    <w:rsid w:val="00AF1D6B"/>
    <w:rsid w:val="00AF24AA"/>
    <w:rsid w:val="00AF3AF9"/>
    <w:rsid w:val="00AF3E5F"/>
    <w:rsid w:val="00AF4F09"/>
    <w:rsid w:val="00AF643E"/>
    <w:rsid w:val="00AF79C8"/>
    <w:rsid w:val="00B007B6"/>
    <w:rsid w:val="00B00FA8"/>
    <w:rsid w:val="00B011B0"/>
    <w:rsid w:val="00B0270C"/>
    <w:rsid w:val="00B0391C"/>
    <w:rsid w:val="00B047F6"/>
    <w:rsid w:val="00B06019"/>
    <w:rsid w:val="00B0700F"/>
    <w:rsid w:val="00B1493B"/>
    <w:rsid w:val="00B15119"/>
    <w:rsid w:val="00B17169"/>
    <w:rsid w:val="00B20F47"/>
    <w:rsid w:val="00B23996"/>
    <w:rsid w:val="00B23CB2"/>
    <w:rsid w:val="00B24A18"/>
    <w:rsid w:val="00B255C5"/>
    <w:rsid w:val="00B25807"/>
    <w:rsid w:val="00B268B3"/>
    <w:rsid w:val="00B268DD"/>
    <w:rsid w:val="00B32AE1"/>
    <w:rsid w:val="00B34368"/>
    <w:rsid w:val="00B37780"/>
    <w:rsid w:val="00B37813"/>
    <w:rsid w:val="00B37EEF"/>
    <w:rsid w:val="00B411CD"/>
    <w:rsid w:val="00B41ABB"/>
    <w:rsid w:val="00B41C1D"/>
    <w:rsid w:val="00B43917"/>
    <w:rsid w:val="00B43E1E"/>
    <w:rsid w:val="00B4515C"/>
    <w:rsid w:val="00B46220"/>
    <w:rsid w:val="00B464EA"/>
    <w:rsid w:val="00B47574"/>
    <w:rsid w:val="00B52BE7"/>
    <w:rsid w:val="00B5430C"/>
    <w:rsid w:val="00B56A90"/>
    <w:rsid w:val="00B5711C"/>
    <w:rsid w:val="00B57BCF"/>
    <w:rsid w:val="00B57E36"/>
    <w:rsid w:val="00B60209"/>
    <w:rsid w:val="00B606A3"/>
    <w:rsid w:val="00B65D6F"/>
    <w:rsid w:val="00B673F3"/>
    <w:rsid w:val="00B67A25"/>
    <w:rsid w:val="00B70229"/>
    <w:rsid w:val="00B7354A"/>
    <w:rsid w:val="00B7435B"/>
    <w:rsid w:val="00B74446"/>
    <w:rsid w:val="00B74B59"/>
    <w:rsid w:val="00B77142"/>
    <w:rsid w:val="00B8024E"/>
    <w:rsid w:val="00B80C3A"/>
    <w:rsid w:val="00B81633"/>
    <w:rsid w:val="00B84643"/>
    <w:rsid w:val="00B90452"/>
    <w:rsid w:val="00B90780"/>
    <w:rsid w:val="00B916D6"/>
    <w:rsid w:val="00B91AD8"/>
    <w:rsid w:val="00B9209B"/>
    <w:rsid w:val="00B9240D"/>
    <w:rsid w:val="00B95753"/>
    <w:rsid w:val="00B97E42"/>
    <w:rsid w:val="00BA0C05"/>
    <w:rsid w:val="00BA4050"/>
    <w:rsid w:val="00BA54D0"/>
    <w:rsid w:val="00BB1013"/>
    <w:rsid w:val="00BB4515"/>
    <w:rsid w:val="00BB7B89"/>
    <w:rsid w:val="00BC1A9B"/>
    <w:rsid w:val="00BC2A22"/>
    <w:rsid w:val="00BC4986"/>
    <w:rsid w:val="00BC5E2E"/>
    <w:rsid w:val="00BC6379"/>
    <w:rsid w:val="00BC7EEF"/>
    <w:rsid w:val="00BD43BB"/>
    <w:rsid w:val="00BD7ADE"/>
    <w:rsid w:val="00BE1A85"/>
    <w:rsid w:val="00BE46ED"/>
    <w:rsid w:val="00BE4FD1"/>
    <w:rsid w:val="00BE642D"/>
    <w:rsid w:val="00BE6D7A"/>
    <w:rsid w:val="00BF2511"/>
    <w:rsid w:val="00BF377F"/>
    <w:rsid w:val="00BF3F88"/>
    <w:rsid w:val="00BF57BE"/>
    <w:rsid w:val="00C0042B"/>
    <w:rsid w:val="00C02E58"/>
    <w:rsid w:val="00C030B6"/>
    <w:rsid w:val="00C04B38"/>
    <w:rsid w:val="00C067B7"/>
    <w:rsid w:val="00C10A09"/>
    <w:rsid w:val="00C121BC"/>
    <w:rsid w:val="00C14D92"/>
    <w:rsid w:val="00C16739"/>
    <w:rsid w:val="00C17F3F"/>
    <w:rsid w:val="00C23BA2"/>
    <w:rsid w:val="00C260A2"/>
    <w:rsid w:val="00C30DEC"/>
    <w:rsid w:val="00C31142"/>
    <w:rsid w:val="00C31DEF"/>
    <w:rsid w:val="00C338EB"/>
    <w:rsid w:val="00C35BB7"/>
    <w:rsid w:val="00C36B35"/>
    <w:rsid w:val="00C400CD"/>
    <w:rsid w:val="00C41617"/>
    <w:rsid w:val="00C4309A"/>
    <w:rsid w:val="00C43F23"/>
    <w:rsid w:val="00C43FF1"/>
    <w:rsid w:val="00C45494"/>
    <w:rsid w:val="00C52D18"/>
    <w:rsid w:val="00C544B8"/>
    <w:rsid w:val="00C559CE"/>
    <w:rsid w:val="00C55E19"/>
    <w:rsid w:val="00C563BF"/>
    <w:rsid w:val="00C57512"/>
    <w:rsid w:val="00C57607"/>
    <w:rsid w:val="00C61133"/>
    <w:rsid w:val="00C64009"/>
    <w:rsid w:val="00C7016D"/>
    <w:rsid w:val="00C767B3"/>
    <w:rsid w:val="00C76C07"/>
    <w:rsid w:val="00C80F23"/>
    <w:rsid w:val="00C835B4"/>
    <w:rsid w:val="00C850A3"/>
    <w:rsid w:val="00C85579"/>
    <w:rsid w:val="00C87568"/>
    <w:rsid w:val="00C92451"/>
    <w:rsid w:val="00C9272C"/>
    <w:rsid w:val="00C97764"/>
    <w:rsid w:val="00C97C9B"/>
    <w:rsid w:val="00CA344C"/>
    <w:rsid w:val="00CB142D"/>
    <w:rsid w:val="00CB26C7"/>
    <w:rsid w:val="00CB29F6"/>
    <w:rsid w:val="00CB2BBF"/>
    <w:rsid w:val="00CB481C"/>
    <w:rsid w:val="00CB4C8C"/>
    <w:rsid w:val="00CB62E1"/>
    <w:rsid w:val="00CB6EFE"/>
    <w:rsid w:val="00CC16F9"/>
    <w:rsid w:val="00CC28A9"/>
    <w:rsid w:val="00CC4183"/>
    <w:rsid w:val="00CC6928"/>
    <w:rsid w:val="00CC70A4"/>
    <w:rsid w:val="00CD2BA8"/>
    <w:rsid w:val="00CD4A0C"/>
    <w:rsid w:val="00CD5CEF"/>
    <w:rsid w:val="00CE06EC"/>
    <w:rsid w:val="00CE1F8A"/>
    <w:rsid w:val="00CE592E"/>
    <w:rsid w:val="00CE5BC5"/>
    <w:rsid w:val="00CF16A4"/>
    <w:rsid w:val="00CF299F"/>
    <w:rsid w:val="00CF3357"/>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05C9"/>
    <w:rsid w:val="00D3194F"/>
    <w:rsid w:val="00D33751"/>
    <w:rsid w:val="00D3639B"/>
    <w:rsid w:val="00D37343"/>
    <w:rsid w:val="00D37495"/>
    <w:rsid w:val="00D41727"/>
    <w:rsid w:val="00D427E4"/>
    <w:rsid w:val="00D45F1B"/>
    <w:rsid w:val="00D472A5"/>
    <w:rsid w:val="00D52289"/>
    <w:rsid w:val="00D55A37"/>
    <w:rsid w:val="00D55B7E"/>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110D"/>
    <w:rsid w:val="00D91124"/>
    <w:rsid w:val="00D91987"/>
    <w:rsid w:val="00D92168"/>
    <w:rsid w:val="00D93426"/>
    <w:rsid w:val="00D94B22"/>
    <w:rsid w:val="00D958D3"/>
    <w:rsid w:val="00D9594F"/>
    <w:rsid w:val="00D97213"/>
    <w:rsid w:val="00DA0C95"/>
    <w:rsid w:val="00DA134E"/>
    <w:rsid w:val="00DA13F3"/>
    <w:rsid w:val="00DA2DE3"/>
    <w:rsid w:val="00DA47D9"/>
    <w:rsid w:val="00DA64AF"/>
    <w:rsid w:val="00DB1F4F"/>
    <w:rsid w:val="00DB2AC7"/>
    <w:rsid w:val="00DB704C"/>
    <w:rsid w:val="00DC693B"/>
    <w:rsid w:val="00DC7C77"/>
    <w:rsid w:val="00DD0F5D"/>
    <w:rsid w:val="00DD426D"/>
    <w:rsid w:val="00DD74FC"/>
    <w:rsid w:val="00DE117F"/>
    <w:rsid w:val="00DE1769"/>
    <w:rsid w:val="00DE1A17"/>
    <w:rsid w:val="00DE1D7B"/>
    <w:rsid w:val="00DE44C8"/>
    <w:rsid w:val="00DE64CC"/>
    <w:rsid w:val="00DE6AA9"/>
    <w:rsid w:val="00DE7B30"/>
    <w:rsid w:val="00DF20C7"/>
    <w:rsid w:val="00DF4D0C"/>
    <w:rsid w:val="00DF5C20"/>
    <w:rsid w:val="00DF7D81"/>
    <w:rsid w:val="00E02DEB"/>
    <w:rsid w:val="00E03486"/>
    <w:rsid w:val="00E0405A"/>
    <w:rsid w:val="00E042A1"/>
    <w:rsid w:val="00E0476C"/>
    <w:rsid w:val="00E0576B"/>
    <w:rsid w:val="00E067EA"/>
    <w:rsid w:val="00E06D18"/>
    <w:rsid w:val="00E104FA"/>
    <w:rsid w:val="00E1320D"/>
    <w:rsid w:val="00E15FD1"/>
    <w:rsid w:val="00E16022"/>
    <w:rsid w:val="00E1738C"/>
    <w:rsid w:val="00E174FF"/>
    <w:rsid w:val="00E205AA"/>
    <w:rsid w:val="00E22296"/>
    <w:rsid w:val="00E27360"/>
    <w:rsid w:val="00E27C04"/>
    <w:rsid w:val="00E30713"/>
    <w:rsid w:val="00E30EDF"/>
    <w:rsid w:val="00E31FBA"/>
    <w:rsid w:val="00E328E2"/>
    <w:rsid w:val="00E336BB"/>
    <w:rsid w:val="00E3384E"/>
    <w:rsid w:val="00E374C8"/>
    <w:rsid w:val="00E4042D"/>
    <w:rsid w:val="00E4135D"/>
    <w:rsid w:val="00E43750"/>
    <w:rsid w:val="00E508EB"/>
    <w:rsid w:val="00E50A31"/>
    <w:rsid w:val="00E521E3"/>
    <w:rsid w:val="00E53B7A"/>
    <w:rsid w:val="00E550C9"/>
    <w:rsid w:val="00E55405"/>
    <w:rsid w:val="00E561F9"/>
    <w:rsid w:val="00E5645D"/>
    <w:rsid w:val="00E57CD3"/>
    <w:rsid w:val="00E627A4"/>
    <w:rsid w:val="00E6280E"/>
    <w:rsid w:val="00E62C9C"/>
    <w:rsid w:val="00E630EE"/>
    <w:rsid w:val="00E67A61"/>
    <w:rsid w:val="00E70455"/>
    <w:rsid w:val="00E73221"/>
    <w:rsid w:val="00E75116"/>
    <w:rsid w:val="00E763EB"/>
    <w:rsid w:val="00E8249B"/>
    <w:rsid w:val="00E8342F"/>
    <w:rsid w:val="00E84632"/>
    <w:rsid w:val="00E847EE"/>
    <w:rsid w:val="00E876F9"/>
    <w:rsid w:val="00E96A72"/>
    <w:rsid w:val="00E96B52"/>
    <w:rsid w:val="00EA01F7"/>
    <w:rsid w:val="00EA1D33"/>
    <w:rsid w:val="00EA1F5A"/>
    <w:rsid w:val="00EA375F"/>
    <w:rsid w:val="00EA55D2"/>
    <w:rsid w:val="00EA7104"/>
    <w:rsid w:val="00EA7533"/>
    <w:rsid w:val="00EB067F"/>
    <w:rsid w:val="00EB2419"/>
    <w:rsid w:val="00EB58F5"/>
    <w:rsid w:val="00EB6E6B"/>
    <w:rsid w:val="00EC010F"/>
    <w:rsid w:val="00EC2E3A"/>
    <w:rsid w:val="00EC3CCB"/>
    <w:rsid w:val="00EC5A74"/>
    <w:rsid w:val="00EC737D"/>
    <w:rsid w:val="00ED2154"/>
    <w:rsid w:val="00ED4277"/>
    <w:rsid w:val="00ED7C8C"/>
    <w:rsid w:val="00ED7DDB"/>
    <w:rsid w:val="00EE431B"/>
    <w:rsid w:val="00EE4874"/>
    <w:rsid w:val="00EE53E5"/>
    <w:rsid w:val="00EE6852"/>
    <w:rsid w:val="00EE73FB"/>
    <w:rsid w:val="00EE7BF0"/>
    <w:rsid w:val="00EF2674"/>
    <w:rsid w:val="00EF556F"/>
    <w:rsid w:val="00EF7D07"/>
    <w:rsid w:val="00F0181C"/>
    <w:rsid w:val="00F03512"/>
    <w:rsid w:val="00F0433A"/>
    <w:rsid w:val="00F0519B"/>
    <w:rsid w:val="00F059D4"/>
    <w:rsid w:val="00F11783"/>
    <w:rsid w:val="00F119AF"/>
    <w:rsid w:val="00F1480B"/>
    <w:rsid w:val="00F1498D"/>
    <w:rsid w:val="00F15173"/>
    <w:rsid w:val="00F20065"/>
    <w:rsid w:val="00F21B6D"/>
    <w:rsid w:val="00F22211"/>
    <w:rsid w:val="00F22341"/>
    <w:rsid w:val="00F24039"/>
    <w:rsid w:val="00F24E0E"/>
    <w:rsid w:val="00F26693"/>
    <w:rsid w:val="00F3477D"/>
    <w:rsid w:val="00F347FE"/>
    <w:rsid w:val="00F34859"/>
    <w:rsid w:val="00F356F7"/>
    <w:rsid w:val="00F40055"/>
    <w:rsid w:val="00F405D4"/>
    <w:rsid w:val="00F40868"/>
    <w:rsid w:val="00F421D5"/>
    <w:rsid w:val="00F44FDE"/>
    <w:rsid w:val="00F46467"/>
    <w:rsid w:val="00F46B63"/>
    <w:rsid w:val="00F4715C"/>
    <w:rsid w:val="00F47FF8"/>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4742"/>
    <w:rsid w:val="00F804B9"/>
    <w:rsid w:val="00F80AE2"/>
    <w:rsid w:val="00F83FF9"/>
    <w:rsid w:val="00F91B52"/>
    <w:rsid w:val="00F961A9"/>
    <w:rsid w:val="00F97478"/>
    <w:rsid w:val="00F97B71"/>
    <w:rsid w:val="00F97B9E"/>
    <w:rsid w:val="00FA0527"/>
    <w:rsid w:val="00FA085E"/>
    <w:rsid w:val="00FA0947"/>
    <w:rsid w:val="00FA2185"/>
    <w:rsid w:val="00FA2D49"/>
    <w:rsid w:val="00FA4B52"/>
    <w:rsid w:val="00FA4D4F"/>
    <w:rsid w:val="00FA4D5B"/>
    <w:rsid w:val="00FA54E8"/>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0C8B"/>
    <w:rsid w:val="00FE1E47"/>
    <w:rsid w:val="00FE275D"/>
    <w:rsid w:val="00FE64FA"/>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4928E3C-18CF-41AC-8602-E1237D8C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uiPriority w:val="99"/>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uiPriority w:val="99"/>
    <w:rsid w:val="00180952"/>
    <w:rPr>
      <w:b/>
      <w:bCs/>
      <w:kern w:val="44"/>
      <w:sz w:val="44"/>
      <w:szCs w:val="44"/>
    </w:rPr>
  </w:style>
  <w:style w:type="character" w:customStyle="1" w:styleId="Char1">
    <w:name w:val="日期 Char"/>
    <w:basedOn w:val="a1"/>
    <w:link w:val="ac"/>
    <w:uiPriority w:val="99"/>
    <w:rsid w:val="00D66685"/>
    <w:rPr>
      <w:kern w:val="2"/>
      <w:sz w:val="24"/>
    </w:rPr>
  </w:style>
  <w:style w:type="character" w:styleId="af6">
    <w:name w:val="Strong"/>
    <w:basedOn w:val="a1"/>
    <w:uiPriority w:val="22"/>
    <w:qFormat/>
    <w:rsid w:val="00FE0C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339739004">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737899657">
      <w:bodyDiv w:val="1"/>
      <w:marLeft w:val="0"/>
      <w:marRight w:val="0"/>
      <w:marTop w:val="0"/>
      <w:marBottom w:val="0"/>
      <w:divBdr>
        <w:top w:val="none" w:sz="0" w:space="0" w:color="auto"/>
        <w:left w:val="none" w:sz="0" w:space="0" w:color="auto"/>
        <w:bottom w:val="none" w:sz="0" w:space="0" w:color="auto"/>
        <w:right w:val="none" w:sz="0" w:space="0" w:color="auto"/>
      </w:divBdr>
    </w:div>
    <w:div w:id="797577160">
      <w:bodyDiv w:val="1"/>
      <w:marLeft w:val="0"/>
      <w:marRight w:val="0"/>
      <w:marTop w:val="0"/>
      <w:marBottom w:val="0"/>
      <w:divBdr>
        <w:top w:val="none" w:sz="0" w:space="0" w:color="auto"/>
        <w:left w:val="none" w:sz="0" w:space="0" w:color="auto"/>
        <w:bottom w:val="none" w:sz="0" w:space="0" w:color="auto"/>
        <w:right w:val="none" w:sz="0" w:space="0" w:color="auto"/>
      </w:divBdr>
    </w:div>
    <w:div w:id="910700266">
      <w:bodyDiv w:val="1"/>
      <w:marLeft w:val="0"/>
      <w:marRight w:val="0"/>
      <w:marTop w:val="0"/>
      <w:marBottom w:val="0"/>
      <w:divBdr>
        <w:top w:val="none" w:sz="0" w:space="0" w:color="auto"/>
        <w:left w:val="none" w:sz="0" w:space="0" w:color="auto"/>
        <w:bottom w:val="none" w:sz="0" w:space="0" w:color="auto"/>
        <w:right w:val="none" w:sz="0" w:space="0" w:color="auto"/>
      </w:divBdr>
    </w:div>
    <w:div w:id="1042290413">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47105353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9CF1-FA72-4489-989A-07FA8551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43</TotalTime>
  <Pages>3</Pages>
  <Words>1273</Words>
  <Characters>7259</Characters>
  <Application>Microsoft Office Word</Application>
  <DocSecurity>0</DocSecurity>
  <Lines>60</Lines>
  <Paragraphs>17</Paragraphs>
  <ScaleCrop>false</ScaleCrop>
  <Company>TRT. Ltd. Co.</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48</cp:revision>
  <cp:lastPrinted>2019-10-16T13:56:00Z</cp:lastPrinted>
  <dcterms:created xsi:type="dcterms:W3CDTF">2014-12-16T08:49:00Z</dcterms:created>
  <dcterms:modified xsi:type="dcterms:W3CDTF">2019-10-16T13:56:00Z</dcterms:modified>
</cp:coreProperties>
</file>