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易方达消费行业股票型证券投资基金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中国农业银行股份有限公司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60453" w:rsidRDefault="00EC6BCC">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60453" w:rsidRDefault="00EC6BCC">
      <w:pPr>
        <w:spacing w:line="360"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60453" w:rsidRDefault="00EC6BCC">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60453" w:rsidRDefault="00EC6BCC">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60453" w:rsidRDefault="00EC6BCC">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易方达消费行业股票</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110022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110022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2010</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20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6,839,082,680.23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主要投资消费行业股票，在严格控制风险的前提下，追求超越业绩比较基准的投资回报。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本基金将根据对消费行业各子行业的综合分析，从中选择具有较强竞争优势且估值具有吸引力的上市公司进行投资，在努力控制风险的前提下追求更高回报。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中证内地消费主题指数收益率</w:t>
            </w:r>
            <w:r w:rsidRPr="00232B03">
              <w:rPr>
                <w:color w:val="000000"/>
                <w:kern w:val="0"/>
                <w:sz w:val="24"/>
                <w:szCs w:val="24"/>
              </w:rPr>
              <w:t>×85%+</w:t>
            </w:r>
            <w:r w:rsidRPr="00232B03">
              <w:rPr>
                <w:color w:val="000000"/>
                <w:kern w:val="0"/>
                <w:sz w:val="24"/>
                <w:szCs w:val="24"/>
              </w:rPr>
              <w:t>中债总指数</w:t>
            </w:r>
            <w:r w:rsidRPr="00232B03">
              <w:rPr>
                <w:color w:val="000000"/>
                <w:kern w:val="0"/>
                <w:sz w:val="24"/>
                <w:szCs w:val="24"/>
              </w:rPr>
              <w:lastRenderedPageBreak/>
              <w:t>收益率</w:t>
            </w:r>
            <w:r w:rsidRPr="00232B03">
              <w:rPr>
                <w:color w:val="000000"/>
                <w:kern w:val="0"/>
                <w:sz w:val="24"/>
                <w:szCs w:val="24"/>
              </w:rPr>
              <w:t>×15%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本基金为主动股票基金，理论上其风险收益水平高于混合基金和债券基金。同时，本基金为行业基金，在享受消费行业收益的同时，也必须承担单一行业带来的风险。</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中国农业银行股份有限公司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335,640,734.43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699,903,699.89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0.1000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19,734,955,601.72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2.886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60453" w:rsidRDefault="00EC6BCC">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60453">
        <w:tc>
          <w:tcPr>
            <w:tcW w:w="1395" w:type="dxa"/>
            <w:vAlign w:val="center"/>
          </w:tcPr>
          <w:p w:rsidR="00760453" w:rsidRDefault="00EC6BCC">
            <w:pPr>
              <w:jc w:val="left"/>
            </w:pPr>
            <w:r>
              <w:rPr>
                <w:color w:val="000000"/>
                <w:kern w:val="0"/>
                <w:sz w:val="24"/>
                <w:szCs w:val="24"/>
              </w:rPr>
              <w:t>过去三个月</w:t>
            </w:r>
          </w:p>
        </w:tc>
        <w:tc>
          <w:tcPr>
            <w:tcW w:w="1092" w:type="dxa"/>
            <w:vAlign w:val="center"/>
          </w:tcPr>
          <w:p w:rsidR="00760453" w:rsidRDefault="00EC6BCC">
            <w:pPr>
              <w:jc w:val="center"/>
            </w:pPr>
            <w:r>
              <w:rPr>
                <w:color w:val="000000"/>
                <w:kern w:val="0"/>
                <w:sz w:val="24"/>
                <w:szCs w:val="24"/>
              </w:rPr>
              <w:t>3.48%</w:t>
            </w:r>
          </w:p>
        </w:tc>
        <w:tc>
          <w:tcPr>
            <w:tcW w:w="1161" w:type="dxa"/>
            <w:vAlign w:val="center"/>
          </w:tcPr>
          <w:p w:rsidR="00760453" w:rsidRDefault="00EC6BCC">
            <w:pPr>
              <w:jc w:val="center"/>
            </w:pPr>
            <w:r>
              <w:rPr>
                <w:color w:val="000000"/>
                <w:kern w:val="0"/>
                <w:sz w:val="24"/>
                <w:szCs w:val="24"/>
              </w:rPr>
              <w:t>1.16%</w:t>
            </w:r>
          </w:p>
        </w:tc>
        <w:tc>
          <w:tcPr>
            <w:tcW w:w="1181" w:type="dxa"/>
            <w:vAlign w:val="center"/>
          </w:tcPr>
          <w:p w:rsidR="00760453" w:rsidRDefault="00EC6BCC">
            <w:pPr>
              <w:jc w:val="center"/>
            </w:pPr>
            <w:r>
              <w:rPr>
                <w:color w:val="000000"/>
                <w:kern w:val="0"/>
                <w:sz w:val="24"/>
                <w:szCs w:val="24"/>
              </w:rPr>
              <w:t>1.98%</w:t>
            </w:r>
          </w:p>
        </w:tc>
        <w:tc>
          <w:tcPr>
            <w:tcW w:w="1188" w:type="dxa"/>
            <w:vAlign w:val="center"/>
          </w:tcPr>
          <w:p w:rsidR="00760453" w:rsidRDefault="00EC6BCC">
            <w:pPr>
              <w:jc w:val="center"/>
            </w:pPr>
            <w:r>
              <w:rPr>
                <w:color w:val="000000"/>
                <w:kern w:val="0"/>
                <w:sz w:val="24"/>
                <w:szCs w:val="24"/>
              </w:rPr>
              <w:t>0.96%</w:t>
            </w:r>
          </w:p>
        </w:tc>
        <w:tc>
          <w:tcPr>
            <w:tcW w:w="1199" w:type="dxa"/>
            <w:vAlign w:val="center"/>
          </w:tcPr>
          <w:p w:rsidR="00760453" w:rsidRDefault="00EC6BCC">
            <w:pPr>
              <w:jc w:val="center"/>
            </w:pPr>
            <w:r>
              <w:rPr>
                <w:color w:val="000000"/>
                <w:kern w:val="0"/>
                <w:sz w:val="24"/>
                <w:szCs w:val="24"/>
              </w:rPr>
              <w:t>1.50%</w:t>
            </w:r>
          </w:p>
        </w:tc>
        <w:tc>
          <w:tcPr>
            <w:tcW w:w="1204" w:type="dxa"/>
            <w:vAlign w:val="center"/>
          </w:tcPr>
          <w:p w:rsidR="00760453" w:rsidRDefault="00EC6BCC">
            <w:pPr>
              <w:jc w:val="center"/>
            </w:pPr>
            <w:r>
              <w:rPr>
                <w:color w:val="000000"/>
                <w:kern w:val="0"/>
                <w:sz w:val="24"/>
                <w:szCs w:val="24"/>
              </w:rPr>
              <w:t>0.20%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易方达消费行业股票型证券投资基金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2010</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20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EC6BCC"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188.60%</w:t>
      </w:r>
      <w:r w:rsidRPr="006C56AA">
        <w:rPr>
          <w:color w:val="000000"/>
          <w:sz w:val="24"/>
          <w:szCs w:val="24"/>
        </w:rPr>
        <w:t>，同期业绩比较基准收益率为</w:t>
      </w:r>
      <w:r w:rsidRPr="006C56AA">
        <w:rPr>
          <w:color w:val="000000"/>
          <w:sz w:val="24"/>
          <w:szCs w:val="24"/>
        </w:rPr>
        <w:t>84.58%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60453">
        <w:tc>
          <w:tcPr>
            <w:tcW w:w="567" w:type="dxa"/>
            <w:vAlign w:val="center"/>
          </w:tcPr>
          <w:p w:rsidR="00760453" w:rsidRDefault="00EC6BCC">
            <w:pPr>
              <w:jc w:val="center"/>
            </w:pPr>
            <w:r>
              <w:rPr>
                <w:color w:val="000000"/>
                <w:sz w:val="24"/>
              </w:rPr>
              <w:t>萧楠</w:t>
            </w:r>
          </w:p>
        </w:tc>
        <w:tc>
          <w:tcPr>
            <w:tcW w:w="2835" w:type="dxa"/>
            <w:vAlign w:val="center"/>
          </w:tcPr>
          <w:p w:rsidR="00760453" w:rsidRDefault="00EC6BCC">
            <w:pPr>
              <w:jc w:val="center"/>
            </w:pPr>
            <w:r>
              <w:rPr>
                <w:color w:val="000000"/>
                <w:sz w:val="24"/>
              </w:rPr>
              <w:t>本基金的基金经理、易方达现代服务业灵活配置混合型证券投资基金的基金经理、易方达瑞恒灵活配置混合型证券投资基金的基金经理、易方达科顺定期开放灵活配置混合型证券投资基金的基金经理、易方达大健康主题灵活配置混合型证券投资基金的基金经理、投资三部总经理、研究部副总经理、投资经理</w:t>
            </w:r>
          </w:p>
        </w:tc>
        <w:tc>
          <w:tcPr>
            <w:tcW w:w="851" w:type="dxa"/>
            <w:vAlign w:val="center"/>
          </w:tcPr>
          <w:p w:rsidR="00760453" w:rsidRDefault="00EC6BCC">
            <w:pPr>
              <w:jc w:val="center"/>
            </w:pPr>
            <w:r>
              <w:rPr>
                <w:color w:val="000000"/>
                <w:sz w:val="24"/>
              </w:rPr>
              <w:t>2012-09-28</w:t>
            </w:r>
          </w:p>
        </w:tc>
        <w:tc>
          <w:tcPr>
            <w:tcW w:w="850" w:type="dxa"/>
            <w:vAlign w:val="center"/>
          </w:tcPr>
          <w:p w:rsidR="00760453" w:rsidRDefault="00EC6BCC">
            <w:pPr>
              <w:jc w:val="center"/>
            </w:pPr>
            <w:r>
              <w:rPr>
                <w:color w:val="000000"/>
                <w:sz w:val="24"/>
              </w:rPr>
              <w:t>-</w:t>
            </w:r>
          </w:p>
        </w:tc>
        <w:tc>
          <w:tcPr>
            <w:tcW w:w="851" w:type="dxa"/>
            <w:vAlign w:val="center"/>
          </w:tcPr>
          <w:p w:rsidR="00760453" w:rsidRDefault="00EC6BCC">
            <w:pPr>
              <w:jc w:val="center"/>
            </w:pPr>
            <w:r>
              <w:rPr>
                <w:color w:val="000000"/>
                <w:sz w:val="24"/>
              </w:rPr>
              <w:t>13</w:t>
            </w:r>
            <w:r>
              <w:rPr>
                <w:color w:val="000000"/>
                <w:sz w:val="24"/>
              </w:rPr>
              <w:t>年</w:t>
            </w:r>
          </w:p>
        </w:tc>
        <w:tc>
          <w:tcPr>
            <w:tcW w:w="2977" w:type="dxa"/>
            <w:vAlign w:val="center"/>
          </w:tcPr>
          <w:p w:rsidR="00760453" w:rsidRDefault="00EC6BCC">
            <w:r>
              <w:rPr>
                <w:color w:val="000000"/>
                <w:sz w:val="24"/>
              </w:rPr>
              <w:t>硕士研究生，曾任易方达基金管理有限公司研究部行业研究员、基金投资部基金经理助理、易方达裕如灵活配置混合型证券投资基金基金经理、易方达新享灵活配置混合型证券投资基金基金经理、易方达瑞和灵活配置混合型证券投资基金基金经理、易方达价值成长混合型证券投资基金基金经理助理。</w:t>
            </w:r>
          </w:p>
        </w:tc>
      </w:tr>
    </w:tbl>
    <w:p w:rsidR="00760453" w:rsidRDefault="00EC6BC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60453" w:rsidRDefault="00EC6BCC">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60453" w:rsidRDefault="00EC6BCC">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股市场波动加大，热点开始分散，上证综指跌</w:t>
      </w:r>
      <w:r>
        <w:rPr>
          <w:color w:val="000000"/>
          <w:sz w:val="24"/>
          <w:szCs w:val="24"/>
        </w:rPr>
        <w:t>2.47%</w:t>
      </w:r>
      <w:r>
        <w:rPr>
          <w:color w:val="000000"/>
          <w:sz w:val="24"/>
          <w:szCs w:val="24"/>
        </w:rPr>
        <w:t>，代表大盘风格的上证</w:t>
      </w:r>
      <w:r>
        <w:rPr>
          <w:color w:val="000000"/>
          <w:sz w:val="24"/>
          <w:szCs w:val="24"/>
        </w:rPr>
        <w:t>50</w:t>
      </w:r>
      <w:r>
        <w:rPr>
          <w:color w:val="000000"/>
          <w:sz w:val="24"/>
          <w:szCs w:val="24"/>
        </w:rPr>
        <w:t>指数跌</w:t>
      </w:r>
      <w:r>
        <w:rPr>
          <w:color w:val="000000"/>
          <w:sz w:val="24"/>
          <w:szCs w:val="24"/>
        </w:rPr>
        <w:t>1.12%</w:t>
      </w:r>
      <w:r>
        <w:rPr>
          <w:color w:val="000000"/>
          <w:sz w:val="24"/>
          <w:szCs w:val="24"/>
        </w:rPr>
        <w:t>，创业板指涨</w:t>
      </w:r>
      <w:r>
        <w:rPr>
          <w:color w:val="000000"/>
          <w:sz w:val="24"/>
          <w:szCs w:val="24"/>
        </w:rPr>
        <w:t>7.68%</w:t>
      </w:r>
      <w:r>
        <w:rPr>
          <w:color w:val="000000"/>
          <w:sz w:val="24"/>
          <w:szCs w:val="24"/>
        </w:rPr>
        <w:t>。本季度中证内地消费指数涨</w:t>
      </w:r>
      <w:r>
        <w:rPr>
          <w:color w:val="000000"/>
          <w:sz w:val="24"/>
          <w:szCs w:val="24"/>
        </w:rPr>
        <w:t>2.23%</w:t>
      </w:r>
      <w:r>
        <w:rPr>
          <w:color w:val="000000"/>
          <w:sz w:val="24"/>
          <w:szCs w:val="24"/>
        </w:rPr>
        <w:t>，消费股逐渐退出市场热点。在消费行业各子行业中，食品饮料、医药商业、旅游综合表现突出，零售、传媒等行业表现落后。</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在经历了上半年的热捧后，随着市场风险偏好的提升，各类题材涌现，消费股板块的表现相对落后。尽管如此，我们仍然对组合估值水平的整体扩张采取了一定的控制措施。三季度我们减持了一些暴露了治理结构风险、经营管理风险的个股，增加了一些经营周期处于逆风期，但内生管理能力不断提升的公司。我们的主要思路依然是借市场调整的机会逐步布局未来三到五年的品种。</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2.886</w:t>
      </w:r>
      <w:r w:rsidRPr="006C56AA">
        <w:rPr>
          <w:color w:val="000000"/>
          <w:sz w:val="24"/>
          <w:szCs w:val="24"/>
        </w:rPr>
        <w:t>元，本报告期份额净值增长率为</w:t>
      </w:r>
      <w:r w:rsidRPr="006C56AA">
        <w:rPr>
          <w:color w:val="000000"/>
          <w:sz w:val="24"/>
          <w:szCs w:val="24"/>
        </w:rPr>
        <w:t>3.48%</w:t>
      </w:r>
      <w:r w:rsidRPr="006C56AA">
        <w:rPr>
          <w:color w:val="000000"/>
          <w:sz w:val="24"/>
          <w:szCs w:val="24"/>
        </w:rPr>
        <w:t>，同期业绩比较基准收益率为</w:t>
      </w:r>
      <w:r w:rsidRPr="006C56AA">
        <w:rPr>
          <w:color w:val="000000"/>
          <w:sz w:val="24"/>
          <w:szCs w:val="24"/>
        </w:rPr>
        <w:t>1.98%</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16,797,798,260.73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84.27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16,797,798,260.73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84.27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901,960,003.71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4.52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901,960,003.71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4.52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1,480,261,938.23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639,424,832.20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114,715,100.33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0.58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19,934,160,135.20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140,458,419.00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0.71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15,922,407,311.62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80.68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734,459,155.92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435.75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16,797,798,260.73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85.12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60453">
        <w:tc>
          <w:tcPr>
            <w:tcW w:w="851" w:type="dxa"/>
            <w:vAlign w:val="center"/>
          </w:tcPr>
          <w:p w:rsidR="00760453" w:rsidRDefault="00EC6BCC">
            <w:pPr>
              <w:jc w:val="center"/>
            </w:pPr>
            <w:r>
              <w:rPr>
                <w:color w:val="000000"/>
                <w:kern w:val="0"/>
                <w:sz w:val="24"/>
                <w:szCs w:val="24"/>
              </w:rPr>
              <w:t>1</w:t>
            </w:r>
          </w:p>
        </w:tc>
        <w:tc>
          <w:tcPr>
            <w:tcW w:w="1276" w:type="dxa"/>
            <w:vAlign w:val="center"/>
          </w:tcPr>
          <w:p w:rsidR="00760453" w:rsidRDefault="00EC6BCC">
            <w:pPr>
              <w:jc w:val="center"/>
            </w:pPr>
            <w:r>
              <w:rPr>
                <w:color w:val="000000"/>
                <w:kern w:val="0"/>
                <w:sz w:val="24"/>
                <w:szCs w:val="24"/>
              </w:rPr>
              <w:t>000651</w:t>
            </w:r>
          </w:p>
        </w:tc>
        <w:tc>
          <w:tcPr>
            <w:tcW w:w="1418" w:type="dxa"/>
            <w:vAlign w:val="center"/>
          </w:tcPr>
          <w:p w:rsidR="00760453" w:rsidRDefault="00EC6BCC">
            <w:pPr>
              <w:jc w:val="center"/>
            </w:pPr>
            <w:r>
              <w:rPr>
                <w:color w:val="000000"/>
                <w:kern w:val="0"/>
                <w:sz w:val="24"/>
                <w:szCs w:val="24"/>
              </w:rPr>
              <w:t>格力电器</w:t>
            </w:r>
          </w:p>
        </w:tc>
        <w:tc>
          <w:tcPr>
            <w:tcW w:w="1701" w:type="dxa"/>
            <w:vAlign w:val="center"/>
          </w:tcPr>
          <w:p w:rsidR="00760453" w:rsidRDefault="00EC6BCC">
            <w:pPr>
              <w:jc w:val="right"/>
            </w:pPr>
            <w:r>
              <w:rPr>
                <w:color w:val="000000"/>
                <w:kern w:val="0"/>
                <w:sz w:val="24"/>
                <w:szCs w:val="24"/>
              </w:rPr>
              <w:t>33,572,940</w:t>
            </w:r>
          </w:p>
        </w:tc>
        <w:tc>
          <w:tcPr>
            <w:tcW w:w="1984" w:type="dxa"/>
            <w:vAlign w:val="center"/>
          </w:tcPr>
          <w:p w:rsidR="00760453" w:rsidRDefault="00EC6BCC">
            <w:pPr>
              <w:jc w:val="right"/>
            </w:pPr>
            <w:r>
              <w:rPr>
                <w:color w:val="000000"/>
                <w:kern w:val="0"/>
                <w:sz w:val="24"/>
                <w:szCs w:val="24"/>
              </w:rPr>
              <w:t>1,923,729,462.00</w:t>
            </w:r>
          </w:p>
        </w:tc>
        <w:tc>
          <w:tcPr>
            <w:tcW w:w="1559" w:type="dxa"/>
            <w:vAlign w:val="center"/>
          </w:tcPr>
          <w:p w:rsidR="00760453" w:rsidRDefault="00EC6BCC">
            <w:pPr>
              <w:jc w:val="right"/>
            </w:pPr>
            <w:r>
              <w:rPr>
                <w:color w:val="000000"/>
                <w:kern w:val="0"/>
                <w:sz w:val="24"/>
                <w:szCs w:val="24"/>
              </w:rPr>
              <w:t>9.75</w:t>
            </w:r>
          </w:p>
        </w:tc>
      </w:tr>
      <w:tr w:rsidR="00760453">
        <w:tc>
          <w:tcPr>
            <w:tcW w:w="851" w:type="dxa"/>
            <w:vAlign w:val="center"/>
          </w:tcPr>
          <w:p w:rsidR="00760453" w:rsidRDefault="00EC6BCC">
            <w:pPr>
              <w:jc w:val="center"/>
            </w:pPr>
            <w:r>
              <w:rPr>
                <w:color w:val="000000"/>
                <w:kern w:val="0"/>
                <w:sz w:val="24"/>
                <w:szCs w:val="24"/>
              </w:rPr>
              <w:t>2</w:t>
            </w:r>
          </w:p>
        </w:tc>
        <w:tc>
          <w:tcPr>
            <w:tcW w:w="1276" w:type="dxa"/>
            <w:vAlign w:val="center"/>
          </w:tcPr>
          <w:p w:rsidR="00760453" w:rsidRDefault="00EC6BCC">
            <w:pPr>
              <w:jc w:val="center"/>
            </w:pPr>
            <w:r>
              <w:rPr>
                <w:color w:val="000000"/>
                <w:kern w:val="0"/>
                <w:sz w:val="24"/>
                <w:szCs w:val="24"/>
              </w:rPr>
              <w:t>600519</w:t>
            </w:r>
          </w:p>
        </w:tc>
        <w:tc>
          <w:tcPr>
            <w:tcW w:w="1418" w:type="dxa"/>
            <w:vAlign w:val="center"/>
          </w:tcPr>
          <w:p w:rsidR="00760453" w:rsidRDefault="00EC6BCC">
            <w:pPr>
              <w:jc w:val="center"/>
            </w:pPr>
            <w:r>
              <w:rPr>
                <w:color w:val="000000"/>
                <w:kern w:val="0"/>
                <w:sz w:val="24"/>
                <w:szCs w:val="24"/>
              </w:rPr>
              <w:t>贵州茅台</w:t>
            </w:r>
          </w:p>
        </w:tc>
        <w:tc>
          <w:tcPr>
            <w:tcW w:w="1701" w:type="dxa"/>
            <w:vAlign w:val="center"/>
          </w:tcPr>
          <w:p w:rsidR="00760453" w:rsidRDefault="00EC6BCC">
            <w:pPr>
              <w:jc w:val="right"/>
            </w:pPr>
            <w:r>
              <w:rPr>
                <w:color w:val="000000"/>
                <w:kern w:val="0"/>
                <w:sz w:val="24"/>
                <w:szCs w:val="24"/>
              </w:rPr>
              <w:t>1,662,563</w:t>
            </w:r>
          </w:p>
        </w:tc>
        <w:tc>
          <w:tcPr>
            <w:tcW w:w="1984" w:type="dxa"/>
            <w:vAlign w:val="center"/>
          </w:tcPr>
          <w:p w:rsidR="00760453" w:rsidRDefault="00EC6BCC">
            <w:pPr>
              <w:jc w:val="right"/>
            </w:pPr>
            <w:r>
              <w:rPr>
                <w:color w:val="000000"/>
                <w:kern w:val="0"/>
                <w:sz w:val="24"/>
                <w:szCs w:val="24"/>
              </w:rPr>
              <w:t>1,911,947,450.00</w:t>
            </w:r>
          </w:p>
        </w:tc>
        <w:tc>
          <w:tcPr>
            <w:tcW w:w="1559" w:type="dxa"/>
            <w:vAlign w:val="center"/>
          </w:tcPr>
          <w:p w:rsidR="00760453" w:rsidRDefault="00EC6BCC">
            <w:pPr>
              <w:jc w:val="right"/>
            </w:pPr>
            <w:r>
              <w:rPr>
                <w:color w:val="000000"/>
                <w:kern w:val="0"/>
                <w:sz w:val="24"/>
                <w:szCs w:val="24"/>
              </w:rPr>
              <w:t>9.69</w:t>
            </w:r>
          </w:p>
        </w:tc>
      </w:tr>
      <w:tr w:rsidR="00760453">
        <w:tc>
          <w:tcPr>
            <w:tcW w:w="851" w:type="dxa"/>
            <w:vAlign w:val="center"/>
          </w:tcPr>
          <w:p w:rsidR="00760453" w:rsidRDefault="00EC6BCC">
            <w:pPr>
              <w:jc w:val="center"/>
            </w:pPr>
            <w:r>
              <w:rPr>
                <w:color w:val="000000"/>
                <w:kern w:val="0"/>
                <w:sz w:val="24"/>
                <w:szCs w:val="24"/>
              </w:rPr>
              <w:t>3</w:t>
            </w:r>
          </w:p>
        </w:tc>
        <w:tc>
          <w:tcPr>
            <w:tcW w:w="1276" w:type="dxa"/>
            <w:vAlign w:val="center"/>
          </w:tcPr>
          <w:p w:rsidR="00760453" w:rsidRDefault="00EC6BCC">
            <w:pPr>
              <w:jc w:val="center"/>
            </w:pPr>
            <w:r>
              <w:rPr>
                <w:color w:val="000000"/>
                <w:kern w:val="0"/>
                <w:sz w:val="24"/>
                <w:szCs w:val="24"/>
              </w:rPr>
              <w:t>000858</w:t>
            </w:r>
          </w:p>
        </w:tc>
        <w:tc>
          <w:tcPr>
            <w:tcW w:w="1418" w:type="dxa"/>
            <w:vAlign w:val="center"/>
          </w:tcPr>
          <w:p w:rsidR="00760453" w:rsidRDefault="00EC6BCC">
            <w:pPr>
              <w:jc w:val="center"/>
            </w:pPr>
            <w:r>
              <w:rPr>
                <w:color w:val="000000"/>
                <w:kern w:val="0"/>
                <w:sz w:val="24"/>
                <w:szCs w:val="24"/>
              </w:rPr>
              <w:t>五粮液</w:t>
            </w:r>
          </w:p>
        </w:tc>
        <w:tc>
          <w:tcPr>
            <w:tcW w:w="1701" w:type="dxa"/>
            <w:vAlign w:val="center"/>
          </w:tcPr>
          <w:p w:rsidR="00760453" w:rsidRDefault="00EC6BCC">
            <w:pPr>
              <w:jc w:val="right"/>
            </w:pPr>
            <w:r>
              <w:rPr>
                <w:color w:val="000000"/>
                <w:kern w:val="0"/>
                <w:sz w:val="24"/>
                <w:szCs w:val="24"/>
              </w:rPr>
              <w:t>14,341,107</w:t>
            </w:r>
          </w:p>
        </w:tc>
        <w:tc>
          <w:tcPr>
            <w:tcW w:w="1984" w:type="dxa"/>
            <w:vAlign w:val="center"/>
          </w:tcPr>
          <w:p w:rsidR="00760453" w:rsidRDefault="00EC6BCC">
            <w:pPr>
              <w:jc w:val="right"/>
            </w:pPr>
            <w:r>
              <w:rPr>
                <w:color w:val="000000"/>
                <w:kern w:val="0"/>
                <w:sz w:val="24"/>
                <w:szCs w:val="24"/>
              </w:rPr>
              <w:t>1,861,475,688.60</w:t>
            </w:r>
          </w:p>
        </w:tc>
        <w:tc>
          <w:tcPr>
            <w:tcW w:w="1559" w:type="dxa"/>
            <w:vAlign w:val="center"/>
          </w:tcPr>
          <w:p w:rsidR="00760453" w:rsidRDefault="00EC6BCC">
            <w:pPr>
              <w:jc w:val="right"/>
            </w:pPr>
            <w:r>
              <w:rPr>
                <w:color w:val="000000"/>
                <w:kern w:val="0"/>
                <w:sz w:val="24"/>
                <w:szCs w:val="24"/>
              </w:rPr>
              <w:t>9.43</w:t>
            </w:r>
          </w:p>
        </w:tc>
      </w:tr>
      <w:tr w:rsidR="00760453">
        <w:tc>
          <w:tcPr>
            <w:tcW w:w="851" w:type="dxa"/>
            <w:vAlign w:val="center"/>
          </w:tcPr>
          <w:p w:rsidR="00760453" w:rsidRDefault="00EC6BCC">
            <w:pPr>
              <w:jc w:val="center"/>
            </w:pPr>
            <w:r>
              <w:rPr>
                <w:color w:val="000000"/>
                <w:kern w:val="0"/>
                <w:sz w:val="24"/>
                <w:szCs w:val="24"/>
              </w:rPr>
              <w:t>4</w:t>
            </w:r>
          </w:p>
        </w:tc>
        <w:tc>
          <w:tcPr>
            <w:tcW w:w="1276" w:type="dxa"/>
            <w:vAlign w:val="center"/>
          </w:tcPr>
          <w:p w:rsidR="00760453" w:rsidRDefault="00EC6BCC">
            <w:pPr>
              <w:jc w:val="center"/>
            </w:pPr>
            <w:r>
              <w:rPr>
                <w:color w:val="000000"/>
                <w:kern w:val="0"/>
                <w:sz w:val="24"/>
                <w:szCs w:val="24"/>
              </w:rPr>
              <w:t>000568</w:t>
            </w:r>
          </w:p>
        </w:tc>
        <w:tc>
          <w:tcPr>
            <w:tcW w:w="1418" w:type="dxa"/>
            <w:vAlign w:val="center"/>
          </w:tcPr>
          <w:p w:rsidR="00760453" w:rsidRDefault="00EC6BCC">
            <w:pPr>
              <w:jc w:val="center"/>
            </w:pPr>
            <w:r>
              <w:rPr>
                <w:color w:val="000000"/>
                <w:kern w:val="0"/>
                <w:sz w:val="24"/>
                <w:szCs w:val="24"/>
              </w:rPr>
              <w:t>泸州老窖</w:t>
            </w:r>
          </w:p>
        </w:tc>
        <w:tc>
          <w:tcPr>
            <w:tcW w:w="1701" w:type="dxa"/>
            <w:vAlign w:val="center"/>
          </w:tcPr>
          <w:p w:rsidR="00760453" w:rsidRDefault="00EC6BCC">
            <w:pPr>
              <w:jc w:val="right"/>
            </w:pPr>
            <w:r>
              <w:rPr>
                <w:color w:val="000000"/>
                <w:kern w:val="0"/>
                <w:sz w:val="24"/>
                <w:szCs w:val="24"/>
              </w:rPr>
              <w:t>20,829,830</w:t>
            </w:r>
          </w:p>
        </w:tc>
        <w:tc>
          <w:tcPr>
            <w:tcW w:w="1984" w:type="dxa"/>
            <w:vAlign w:val="center"/>
          </w:tcPr>
          <w:p w:rsidR="00760453" w:rsidRDefault="00EC6BCC">
            <w:pPr>
              <w:jc w:val="right"/>
            </w:pPr>
            <w:r>
              <w:rPr>
                <w:color w:val="000000"/>
                <w:kern w:val="0"/>
                <w:sz w:val="24"/>
                <w:szCs w:val="24"/>
              </w:rPr>
              <w:t>1,775,118,112.60</w:t>
            </w:r>
          </w:p>
        </w:tc>
        <w:tc>
          <w:tcPr>
            <w:tcW w:w="1559" w:type="dxa"/>
            <w:vAlign w:val="center"/>
          </w:tcPr>
          <w:p w:rsidR="00760453" w:rsidRDefault="00EC6BCC">
            <w:pPr>
              <w:jc w:val="right"/>
            </w:pPr>
            <w:r>
              <w:rPr>
                <w:color w:val="000000"/>
                <w:kern w:val="0"/>
                <w:sz w:val="24"/>
                <w:szCs w:val="24"/>
              </w:rPr>
              <w:t>8.99</w:t>
            </w:r>
          </w:p>
        </w:tc>
      </w:tr>
      <w:tr w:rsidR="00760453">
        <w:tc>
          <w:tcPr>
            <w:tcW w:w="851" w:type="dxa"/>
            <w:vAlign w:val="center"/>
          </w:tcPr>
          <w:p w:rsidR="00760453" w:rsidRDefault="00EC6BCC">
            <w:pPr>
              <w:jc w:val="center"/>
            </w:pPr>
            <w:r>
              <w:rPr>
                <w:color w:val="000000"/>
                <w:kern w:val="0"/>
                <w:sz w:val="24"/>
                <w:szCs w:val="24"/>
              </w:rPr>
              <w:t>5</w:t>
            </w:r>
          </w:p>
        </w:tc>
        <w:tc>
          <w:tcPr>
            <w:tcW w:w="1276" w:type="dxa"/>
            <w:vAlign w:val="center"/>
          </w:tcPr>
          <w:p w:rsidR="00760453" w:rsidRDefault="00EC6BCC">
            <w:pPr>
              <w:jc w:val="center"/>
            </w:pPr>
            <w:r>
              <w:rPr>
                <w:color w:val="000000"/>
                <w:kern w:val="0"/>
                <w:sz w:val="24"/>
                <w:szCs w:val="24"/>
              </w:rPr>
              <w:t>000333</w:t>
            </w:r>
          </w:p>
        </w:tc>
        <w:tc>
          <w:tcPr>
            <w:tcW w:w="1418" w:type="dxa"/>
            <w:vAlign w:val="center"/>
          </w:tcPr>
          <w:p w:rsidR="00760453" w:rsidRDefault="00EC6BCC">
            <w:pPr>
              <w:jc w:val="center"/>
            </w:pPr>
            <w:r>
              <w:rPr>
                <w:color w:val="000000"/>
                <w:kern w:val="0"/>
                <w:sz w:val="24"/>
                <w:szCs w:val="24"/>
              </w:rPr>
              <w:t>美的集团</w:t>
            </w:r>
          </w:p>
        </w:tc>
        <w:tc>
          <w:tcPr>
            <w:tcW w:w="1701" w:type="dxa"/>
            <w:vAlign w:val="center"/>
          </w:tcPr>
          <w:p w:rsidR="00760453" w:rsidRDefault="00EC6BCC">
            <w:pPr>
              <w:jc w:val="right"/>
            </w:pPr>
            <w:r>
              <w:rPr>
                <w:color w:val="000000"/>
                <w:kern w:val="0"/>
                <w:sz w:val="24"/>
                <w:szCs w:val="24"/>
              </w:rPr>
              <w:t>34,103,054</w:t>
            </w:r>
          </w:p>
        </w:tc>
        <w:tc>
          <w:tcPr>
            <w:tcW w:w="1984" w:type="dxa"/>
            <w:vAlign w:val="center"/>
          </w:tcPr>
          <w:p w:rsidR="00760453" w:rsidRDefault="00EC6BCC">
            <w:pPr>
              <w:jc w:val="right"/>
            </w:pPr>
            <w:r>
              <w:rPr>
                <w:color w:val="000000"/>
                <w:kern w:val="0"/>
                <w:sz w:val="24"/>
                <w:szCs w:val="24"/>
              </w:rPr>
              <w:t>1,742,666,059.40</w:t>
            </w:r>
          </w:p>
        </w:tc>
        <w:tc>
          <w:tcPr>
            <w:tcW w:w="1559" w:type="dxa"/>
            <w:vAlign w:val="center"/>
          </w:tcPr>
          <w:p w:rsidR="00760453" w:rsidRDefault="00EC6BCC">
            <w:pPr>
              <w:jc w:val="right"/>
            </w:pPr>
            <w:r>
              <w:rPr>
                <w:color w:val="000000"/>
                <w:kern w:val="0"/>
                <w:sz w:val="24"/>
                <w:szCs w:val="24"/>
              </w:rPr>
              <w:t>8.83</w:t>
            </w:r>
          </w:p>
        </w:tc>
      </w:tr>
      <w:tr w:rsidR="00760453">
        <w:tc>
          <w:tcPr>
            <w:tcW w:w="851" w:type="dxa"/>
            <w:vAlign w:val="center"/>
          </w:tcPr>
          <w:p w:rsidR="00760453" w:rsidRDefault="00EC6BCC">
            <w:pPr>
              <w:jc w:val="center"/>
            </w:pPr>
            <w:r>
              <w:rPr>
                <w:color w:val="000000"/>
                <w:kern w:val="0"/>
                <w:sz w:val="24"/>
                <w:szCs w:val="24"/>
              </w:rPr>
              <w:t>6</w:t>
            </w:r>
          </w:p>
        </w:tc>
        <w:tc>
          <w:tcPr>
            <w:tcW w:w="1276" w:type="dxa"/>
            <w:vAlign w:val="center"/>
          </w:tcPr>
          <w:p w:rsidR="00760453" w:rsidRDefault="00EC6BCC">
            <w:pPr>
              <w:jc w:val="center"/>
            </w:pPr>
            <w:r>
              <w:rPr>
                <w:color w:val="000000"/>
                <w:kern w:val="0"/>
                <w:sz w:val="24"/>
                <w:szCs w:val="24"/>
              </w:rPr>
              <w:t>000860</w:t>
            </w:r>
          </w:p>
        </w:tc>
        <w:tc>
          <w:tcPr>
            <w:tcW w:w="1418" w:type="dxa"/>
            <w:vAlign w:val="center"/>
          </w:tcPr>
          <w:p w:rsidR="00760453" w:rsidRDefault="00EC6BCC">
            <w:pPr>
              <w:jc w:val="center"/>
            </w:pPr>
            <w:r>
              <w:rPr>
                <w:color w:val="000000"/>
                <w:kern w:val="0"/>
                <w:sz w:val="24"/>
                <w:szCs w:val="24"/>
              </w:rPr>
              <w:t>顺鑫农业</w:t>
            </w:r>
          </w:p>
        </w:tc>
        <w:tc>
          <w:tcPr>
            <w:tcW w:w="1701" w:type="dxa"/>
            <w:vAlign w:val="center"/>
          </w:tcPr>
          <w:p w:rsidR="00760453" w:rsidRDefault="00EC6BCC">
            <w:pPr>
              <w:jc w:val="right"/>
            </w:pPr>
            <w:r>
              <w:rPr>
                <w:color w:val="000000"/>
                <w:kern w:val="0"/>
                <w:sz w:val="24"/>
                <w:szCs w:val="24"/>
              </w:rPr>
              <w:t>33,093,669</w:t>
            </w:r>
          </w:p>
        </w:tc>
        <w:tc>
          <w:tcPr>
            <w:tcW w:w="1984" w:type="dxa"/>
            <w:vAlign w:val="center"/>
          </w:tcPr>
          <w:p w:rsidR="00760453" w:rsidRDefault="00EC6BCC">
            <w:pPr>
              <w:jc w:val="right"/>
            </w:pPr>
            <w:r>
              <w:rPr>
                <w:color w:val="000000"/>
                <w:kern w:val="0"/>
                <w:sz w:val="24"/>
                <w:szCs w:val="24"/>
              </w:rPr>
              <w:t>1,726,165,775.04</w:t>
            </w:r>
          </w:p>
        </w:tc>
        <w:tc>
          <w:tcPr>
            <w:tcW w:w="1559" w:type="dxa"/>
            <w:vAlign w:val="center"/>
          </w:tcPr>
          <w:p w:rsidR="00760453" w:rsidRDefault="00EC6BCC">
            <w:pPr>
              <w:jc w:val="right"/>
            </w:pPr>
            <w:r>
              <w:rPr>
                <w:color w:val="000000"/>
                <w:kern w:val="0"/>
                <w:sz w:val="24"/>
                <w:szCs w:val="24"/>
              </w:rPr>
              <w:t>8.75</w:t>
            </w:r>
          </w:p>
        </w:tc>
      </w:tr>
      <w:tr w:rsidR="00760453">
        <w:tc>
          <w:tcPr>
            <w:tcW w:w="851" w:type="dxa"/>
            <w:vAlign w:val="center"/>
          </w:tcPr>
          <w:p w:rsidR="00760453" w:rsidRDefault="00EC6BCC">
            <w:pPr>
              <w:jc w:val="center"/>
            </w:pPr>
            <w:r>
              <w:rPr>
                <w:color w:val="000000"/>
                <w:kern w:val="0"/>
                <w:sz w:val="24"/>
                <w:szCs w:val="24"/>
              </w:rPr>
              <w:t>7</w:t>
            </w:r>
          </w:p>
        </w:tc>
        <w:tc>
          <w:tcPr>
            <w:tcW w:w="1276" w:type="dxa"/>
            <w:vAlign w:val="center"/>
          </w:tcPr>
          <w:p w:rsidR="00760453" w:rsidRDefault="00EC6BCC">
            <w:pPr>
              <w:jc w:val="center"/>
            </w:pPr>
            <w:r>
              <w:rPr>
                <w:color w:val="000000"/>
                <w:kern w:val="0"/>
                <w:sz w:val="24"/>
                <w:szCs w:val="24"/>
              </w:rPr>
              <w:t>000596</w:t>
            </w:r>
          </w:p>
        </w:tc>
        <w:tc>
          <w:tcPr>
            <w:tcW w:w="1418" w:type="dxa"/>
            <w:vAlign w:val="center"/>
          </w:tcPr>
          <w:p w:rsidR="00760453" w:rsidRDefault="00EC6BCC">
            <w:pPr>
              <w:jc w:val="center"/>
            </w:pPr>
            <w:r>
              <w:rPr>
                <w:color w:val="000000"/>
                <w:kern w:val="0"/>
                <w:sz w:val="24"/>
                <w:szCs w:val="24"/>
              </w:rPr>
              <w:t>古井贡酒</w:t>
            </w:r>
          </w:p>
        </w:tc>
        <w:tc>
          <w:tcPr>
            <w:tcW w:w="1701" w:type="dxa"/>
            <w:vAlign w:val="center"/>
          </w:tcPr>
          <w:p w:rsidR="00760453" w:rsidRDefault="00EC6BCC">
            <w:pPr>
              <w:jc w:val="right"/>
            </w:pPr>
            <w:r>
              <w:rPr>
                <w:color w:val="000000"/>
                <w:kern w:val="0"/>
                <w:sz w:val="24"/>
                <w:szCs w:val="24"/>
              </w:rPr>
              <w:t>12,324,779</w:t>
            </w:r>
          </w:p>
        </w:tc>
        <w:tc>
          <w:tcPr>
            <w:tcW w:w="1984" w:type="dxa"/>
            <w:vAlign w:val="center"/>
          </w:tcPr>
          <w:p w:rsidR="00760453" w:rsidRDefault="00EC6BCC">
            <w:pPr>
              <w:jc w:val="right"/>
            </w:pPr>
            <w:r>
              <w:rPr>
                <w:color w:val="000000"/>
                <w:kern w:val="0"/>
                <w:sz w:val="24"/>
                <w:szCs w:val="24"/>
              </w:rPr>
              <w:t>1,417,349,585.00</w:t>
            </w:r>
          </w:p>
        </w:tc>
        <w:tc>
          <w:tcPr>
            <w:tcW w:w="1559" w:type="dxa"/>
            <w:vAlign w:val="center"/>
          </w:tcPr>
          <w:p w:rsidR="00760453" w:rsidRDefault="00EC6BCC">
            <w:pPr>
              <w:jc w:val="right"/>
            </w:pPr>
            <w:r>
              <w:rPr>
                <w:color w:val="000000"/>
                <w:kern w:val="0"/>
                <w:sz w:val="24"/>
                <w:szCs w:val="24"/>
              </w:rPr>
              <w:t>7.18</w:t>
            </w:r>
          </w:p>
        </w:tc>
      </w:tr>
      <w:tr w:rsidR="00760453">
        <w:tc>
          <w:tcPr>
            <w:tcW w:w="851" w:type="dxa"/>
            <w:vAlign w:val="center"/>
          </w:tcPr>
          <w:p w:rsidR="00760453" w:rsidRDefault="00EC6BCC">
            <w:pPr>
              <w:jc w:val="center"/>
            </w:pPr>
            <w:r>
              <w:rPr>
                <w:color w:val="000000"/>
                <w:kern w:val="0"/>
                <w:sz w:val="24"/>
                <w:szCs w:val="24"/>
              </w:rPr>
              <w:t>8</w:t>
            </w:r>
          </w:p>
        </w:tc>
        <w:tc>
          <w:tcPr>
            <w:tcW w:w="1276" w:type="dxa"/>
            <w:vAlign w:val="center"/>
          </w:tcPr>
          <w:p w:rsidR="00760453" w:rsidRDefault="00EC6BCC">
            <w:pPr>
              <w:jc w:val="center"/>
            </w:pPr>
            <w:r>
              <w:rPr>
                <w:color w:val="000000"/>
                <w:kern w:val="0"/>
                <w:sz w:val="24"/>
                <w:szCs w:val="24"/>
              </w:rPr>
              <w:t>600809</w:t>
            </w:r>
          </w:p>
        </w:tc>
        <w:tc>
          <w:tcPr>
            <w:tcW w:w="1418" w:type="dxa"/>
            <w:vAlign w:val="center"/>
          </w:tcPr>
          <w:p w:rsidR="00760453" w:rsidRDefault="00EC6BCC">
            <w:pPr>
              <w:jc w:val="center"/>
            </w:pPr>
            <w:r>
              <w:rPr>
                <w:color w:val="000000"/>
                <w:kern w:val="0"/>
                <w:sz w:val="24"/>
                <w:szCs w:val="24"/>
              </w:rPr>
              <w:t>山西汾酒</w:t>
            </w:r>
          </w:p>
        </w:tc>
        <w:tc>
          <w:tcPr>
            <w:tcW w:w="1701" w:type="dxa"/>
            <w:vAlign w:val="center"/>
          </w:tcPr>
          <w:p w:rsidR="00760453" w:rsidRDefault="00EC6BCC">
            <w:pPr>
              <w:jc w:val="right"/>
            </w:pPr>
            <w:r>
              <w:rPr>
                <w:color w:val="000000"/>
                <w:kern w:val="0"/>
                <w:sz w:val="24"/>
                <w:szCs w:val="24"/>
              </w:rPr>
              <w:t>17,962,581</w:t>
            </w:r>
          </w:p>
        </w:tc>
        <w:tc>
          <w:tcPr>
            <w:tcW w:w="1984" w:type="dxa"/>
            <w:vAlign w:val="center"/>
          </w:tcPr>
          <w:p w:rsidR="00760453" w:rsidRDefault="00EC6BCC">
            <w:pPr>
              <w:jc w:val="right"/>
            </w:pPr>
            <w:r>
              <w:rPr>
                <w:color w:val="000000"/>
                <w:kern w:val="0"/>
                <w:sz w:val="24"/>
                <w:szCs w:val="24"/>
              </w:rPr>
              <w:t>1,388,687,137.11</w:t>
            </w:r>
          </w:p>
        </w:tc>
        <w:tc>
          <w:tcPr>
            <w:tcW w:w="1559" w:type="dxa"/>
            <w:vAlign w:val="center"/>
          </w:tcPr>
          <w:p w:rsidR="00760453" w:rsidRDefault="00EC6BCC">
            <w:pPr>
              <w:jc w:val="right"/>
            </w:pPr>
            <w:r>
              <w:rPr>
                <w:color w:val="000000"/>
                <w:kern w:val="0"/>
                <w:sz w:val="24"/>
                <w:szCs w:val="24"/>
              </w:rPr>
              <w:t>7.04</w:t>
            </w:r>
          </w:p>
        </w:tc>
      </w:tr>
      <w:tr w:rsidR="00760453">
        <w:tc>
          <w:tcPr>
            <w:tcW w:w="851" w:type="dxa"/>
            <w:vAlign w:val="center"/>
          </w:tcPr>
          <w:p w:rsidR="00760453" w:rsidRDefault="00EC6BCC">
            <w:pPr>
              <w:jc w:val="center"/>
            </w:pPr>
            <w:r>
              <w:rPr>
                <w:color w:val="000000"/>
                <w:kern w:val="0"/>
                <w:sz w:val="24"/>
                <w:szCs w:val="24"/>
              </w:rPr>
              <w:t>9</w:t>
            </w:r>
          </w:p>
        </w:tc>
        <w:tc>
          <w:tcPr>
            <w:tcW w:w="1276" w:type="dxa"/>
            <w:vAlign w:val="center"/>
          </w:tcPr>
          <w:p w:rsidR="00760453" w:rsidRDefault="00EC6BCC">
            <w:pPr>
              <w:jc w:val="center"/>
            </w:pPr>
            <w:r>
              <w:rPr>
                <w:color w:val="000000"/>
                <w:kern w:val="0"/>
                <w:sz w:val="24"/>
                <w:szCs w:val="24"/>
              </w:rPr>
              <w:t>601933</w:t>
            </w:r>
          </w:p>
        </w:tc>
        <w:tc>
          <w:tcPr>
            <w:tcW w:w="1418" w:type="dxa"/>
            <w:vAlign w:val="center"/>
          </w:tcPr>
          <w:p w:rsidR="00760453" w:rsidRDefault="00EC6BCC">
            <w:pPr>
              <w:jc w:val="center"/>
            </w:pPr>
            <w:r>
              <w:rPr>
                <w:color w:val="000000"/>
                <w:kern w:val="0"/>
                <w:sz w:val="24"/>
                <w:szCs w:val="24"/>
              </w:rPr>
              <w:t>永辉超市</w:t>
            </w:r>
          </w:p>
        </w:tc>
        <w:tc>
          <w:tcPr>
            <w:tcW w:w="1701" w:type="dxa"/>
            <w:vAlign w:val="center"/>
          </w:tcPr>
          <w:p w:rsidR="00760453" w:rsidRDefault="00EC6BCC">
            <w:pPr>
              <w:jc w:val="right"/>
            </w:pPr>
            <w:r>
              <w:rPr>
                <w:color w:val="000000"/>
                <w:kern w:val="0"/>
                <w:sz w:val="24"/>
                <w:szCs w:val="24"/>
              </w:rPr>
              <w:t>82,616,328</w:t>
            </w:r>
          </w:p>
        </w:tc>
        <w:tc>
          <w:tcPr>
            <w:tcW w:w="1984" w:type="dxa"/>
            <w:vAlign w:val="center"/>
          </w:tcPr>
          <w:p w:rsidR="00760453" w:rsidRDefault="00EC6BCC">
            <w:pPr>
              <w:jc w:val="right"/>
            </w:pPr>
            <w:r>
              <w:rPr>
                <w:color w:val="000000"/>
                <w:kern w:val="0"/>
                <w:sz w:val="24"/>
                <w:szCs w:val="24"/>
              </w:rPr>
              <w:t>734,459,155.92</w:t>
            </w:r>
          </w:p>
        </w:tc>
        <w:tc>
          <w:tcPr>
            <w:tcW w:w="1559" w:type="dxa"/>
            <w:vAlign w:val="center"/>
          </w:tcPr>
          <w:p w:rsidR="00760453" w:rsidRDefault="00EC6BCC">
            <w:pPr>
              <w:jc w:val="right"/>
            </w:pPr>
            <w:r>
              <w:rPr>
                <w:color w:val="000000"/>
                <w:kern w:val="0"/>
                <w:sz w:val="24"/>
                <w:szCs w:val="24"/>
              </w:rPr>
              <w:t>3.72</w:t>
            </w:r>
          </w:p>
        </w:tc>
      </w:tr>
      <w:tr w:rsidR="00760453">
        <w:tc>
          <w:tcPr>
            <w:tcW w:w="851" w:type="dxa"/>
            <w:vAlign w:val="center"/>
          </w:tcPr>
          <w:p w:rsidR="00760453" w:rsidRDefault="00EC6BCC">
            <w:pPr>
              <w:jc w:val="center"/>
            </w:pPr>
            <w:r>
              <w:rPr>
                <w:color w:val="000000"/>
                <w:kern w:val="0"/>
                <w:sz w:val="24"/>
                <w:szCs w:val="24"/>
              </w:rPr>
              <w:t>10</w:t>
            </w:r>
          </w:p>
        </w:tc>
        <w:tc>
          <w:tcPr>
            <w:tcW w:w="1276" w:type="dxa"/>
            <w:vAlign w:val="center"/>
          </w:tcPr>
          <w:p w:rsidR="00760453" w:rsidRDefault="00EC6BCC">
            <w:pPr>
              <w:jc w:val="center"/>
            </w:pPr>
            <w:r>
              <w:rPr>
                <w:color w:val="000000"/>
                <w:kern w:val="0"/>
                <w:sz w:val="24"/>
                <w:szCs w:val="24"/>
              </w:rPr>
              <w:t>600887</w:t>
            </w:r>
          </w:p>
        </w:tc>
        <w:tc>
          <w:tcPr>
            <w:tcW w:w="1418" w:type="dxa"/>
            <w:vAlign w:val="center"/>
          </w:tcPr>
          <w:p w:rsidR="00760453" w:rsidRDefault="00EC6BCC">
            <w:pPr>
              <w:jc w:val="center"/>
            </w:pPr>
            <w:r>
              <w:rPr>
                <w:color w:val="000000"/>
                <w:kern w:val="0"/>
                <w:sz w:val="24"/>
                <w:szCs w:val="24"/>
              </w:rPr>
              <w:t>伊利股份</w:t>
            </w:r>
          </w:p>
        </w:tc>
        <w:tc>
          <w:tcPr>
            <w:tcW w:w="1701" w:type="dxa"/>
            <w:vAlign w:val="center"/>
          </w:tcPr>
          <w:p w:rsidR="00760453" w:rsidRDefault="00EC6BCC">
            <w:pPr>
              <w:jc w:val="right"/>
            </w:pPr>
            <w:r>
              <w:rPr>
                <w:color w:val="000000"/>
                <w:kern w:val="0"/>
                <w:sz w:val="24"/>
                <w:szCs w:val="24"/>
              </w:rPr>
              <w:t>17,292,229</w:t>
            </w:r>
          </w:p>
        </w:tc>
        <w:tc>
          <w:tcPr>
            <w:tcW w:w="1984" w:type="dxa"/>
            <w:vAlign w:val="center"/>
          </w:tcPr>
          <w:p w:rsidR="00760453" w:rsidRDefault="00EC6BCC">
            <w:pPr>
              <w:jc w:val="right"/>
            </w:pPr>
            <w:r>
              <w:rPr>
                <w:color w:val="000000"/>
                <w:kern w:val="0"/>
                <w:sz w:val="24"/>
                <w:szCs w:val="24"/>
              </w:rPr>
              <w:t>493,174,371.08</w:t>
            </w:r>
          </w:p>
        </w:tc>
        <w:tc>
          <w:tcPr>
            <w:tcW w:w="1559" w:type="dxa"/>
            <w:vAlign w:val="center"/>
          </w:tcPr>
          <w:p w:rsidR="00760453" w:rsidRDefault="00EC6BCC">
            <w:pPr>
              <w:jc w:val="right"/>
            </w:pPr>
            <w:r>
              <w:rPr>
                <w:color w:val="000000"/>
                <w:kern w:val="0"/>
                <w:sz w:val="24"/>
                <w:szCs w:val="24"/>
              </w:rPr>
              <w:t>2.50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885,487,000.00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885,487,000.00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16,473,003.71</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901,960,003.71</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4.57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60453">
        <w:tc>
          <w:tcPr>
            <w:tcW w:w="959" w:type="dxa"/>
            <w:vAlign w:val="center"/>
          </w:tcPr>
          <w:p w:rsidR="00760453" w:rsidRDefault="00EC6BCC">
            <w:pPr>
              <w:jc w:val="center"/>
            </w:pPr>
            <w:r>
              <w:rPr>
                <w:color w:val="000000"/>
                <w:kern w:val="0"/>
                <w:sz w:val="24"/>
                <w:szCs w:val="24"/>
              </w:rPr>
              <w:t>1</w:t>
            </w:r>
          </w:p>
        </w:tc>
        <w:tc>
          <w:tcPr>
            <w:tcW w:w="1276" w:type="dxa"/>
            <w:vAlign w:val="center"/>
          </w:tcPr>
          <w:p w:rsidR="00760453" w:rsidRDefault="00EC6BCC">
            <w:pPr>
              <w:jc w:val="center"/>
            </w:pPr>
            <w:r>
              <w:rPr>
                <w:color w:val="000000"/>
                <w:kern w:val="0"/>
                <w:sz w:val="24"/>
                <w:szCs w:val="24"/>
              </w:rPr>
              <w:t>050203</w:t>
            </w:r>
          </w:p>
        </w:tc>
        <w:tc>
          <w:tcPr>
            <w:tcW w:w="1275" w:type="dxa"/>
            <w:vAlign w:val="center"/>
          </w:tcPr>
          <w:p w:rsidR="00760453" w:rsidRDefault="00EC6BCC">
            <w:pPr>
              <w:jc w:val="center"/>
            </w:pPr>
            <w:r>
              <w:rPr>
                <w:color w:val="000000"/>
                <w:kern w:val="0"/>
                <w:sz w:val="24"/>
                <w:szCs w:val="24"/>
              </w:rPr>
              <w:t>05</w:t>
            </w:r>
            <w:r>
              <w:rPr>
                <w:color w:val="000000"/>
                <w:kern w:val="0"/>
                <w:sz w:val="24"/>
                <w:szCs w:val="24"/>
              </w:rPr>
              <w:t>国开</w:t>
            </w:r>
            <w:r>
              <w:rPr>
                <w:color w:val="000000"/>
                <w:kern w:val="0"/>
                <w:sz w:val="24"/>
                <w:szCs w:val="24"/>
              </w:rPr>
              <w:t>03</w:t>
            </w:r>
          </w:p>
        </w:tc>
        <w:tc>
          <w:tcPr>
            <w:tcW w:w="1560" w:type="dxa"/>
            <w:vAlign w:val="center"/>
          </w:tcPr>
          <w:p w:rsidR="00760453" w:rsidRDefault="00EC6BCC">
            <w:pPr>
              <w:jc w:val="right"/>
            </w:pPr>
            <w:r>
              <w:rPr>
                <w:color w:val="000000"/>
                <w:kern w:val="0"/>
                <w:sz w:val="24"/>
                <w:szCs w:val="24"/>
              </w:rPr>
              <w:t>3,300,000</w:t>
            </w:r>
          </w:p>
        </w:tc>
        <w:tc>
          <w:tcPr>
            <w:tcW w:w="1984" w:type="dxa"/>
            <w:vAlign w:val="center"/>
          </w:tcPr>
          <w:p w:rsidR="00760453" w:rsidRDefault="00EC6BCC">
            <w:pPr>
              <w:jc w:val="right"/>
            </w:pPr>
            <w:r>
              <w:rPr>
                <w:color w:val="000000"/>
                <w:kern w:val="0"/>
                <w:sz w:val="24"/>
                <w:szCs w:val="24"/>
              </w:rPr>
              <w:t>333,036,000.00</w:t>
            </w:r>
          </w:p>
        </w:tc>
        <w:tc>
          <w:tcPr>
            <w:tcW w:w="1474" w:type="dxa"/>
            <w:vAlign w:val="center"/>
          </w:tcPr>
          <w:p w:rsidR="00760453" w:rsidRDefault="00EC6BCC">
            <w:pPr>
              <w:jc w:val="right"/>
            </w:pPr>
            <w:r>
              <w:rPr>
                <w:color w:val="000000"/>
                <w:kern w:val="0"/>
                <w:sz w:val="24"/>
                <w:szCs w:val="24"/>
              </w:rPr>
              <w:t>1.69</w:t>
            </w:r>
          </w:p>
        </w:tc>
      </w:tr>
      <w:tr w:rsidR="00760453">
        <w:tc>
          <w:tcPr>
            <w:tcW w:w="959" w:type="dxa"/>
            <w:vAlign w:val="center"/>
          </w:tcPr>
          <w:p w:rsidR="00760453" w:rsidRDefault="00EC6BCC">
            <w:pPr>
              <w:jc w:val="center"/>
            </w:pPr>
            <w:r>
              <w:rPr>
                <w:color w:val="000000"/>
                <w:kern w:val="0"/>
                <w:sz w:val="24"/>
                <w:szCs w:val="24"/>
              </w:rPr>
              <w:t>2</w:t>
            </w:r>
          </w:p>
        </w:tc>
        <w:tc>
          <w:tcPr>
            <w:tcW w:w="1276" w:type="dxa"/>
            <w:vAlign w:val="center"/>
          </w:tcPr>
          <w:p w:rsidR="00760453" w:rsidRDefault="00EC6BCC">
            <w:pPr>
              <w:jc w:val="center"/>
            </w:pPr>
            <w:r>
              <w:rPr>
                <w:color w:val="000000"/>
                <w:kern w:val="0"/>
                <w:sz w:val="24"/>
                <w:szCs w:val="24"/>
              </w:rPr>
              <w:t>150313</w:t>
            </w:r>
          </w:p>
        </w:tc>
        <w:tc>
          <w:tcPr>
            <w:tcW w:w="1275" w:type="dxa"/>
            <w:vAlign w:val="center"/>
          </w:tcPr>
          <w:p w:rsidR="00760453" w:rsidRDefault="00EC6BCC">
            <w:pPr>
              <w:jc w:val="center"/>
            </w:pPr>
            <w:r>
              <w:rPr>
                <w:color w:val="000000"/>
                <w:kern w:val="0"/>
                <w:sz w:val="24"/>
                <w:szCs w:val="24"/>
              </w:rPr>
              <w:t>15</w:t>
            </w:r>
            <w:r>
              <w:rPr>
                <w:color w:val="000000"/>
                <w:kern w:val="0"/>
                <w:sz w:val="24"/>
                <w:szCs w:val="24"/>
              </w:rPr>
              <w:t>进出</w:t>
            </w:r>
            <w:r>
              <w:rPr>
                <w:color w:val="000000"/>
                <w:kern w:val="0"/>
                <w:sz w:val="24"/>
                <w:szCs w:val="24"/>
              </w:rPr>
              <w:t>13</w:t>
            </w:r>
          </w:p>
        </w:tc>
        <w:tc>
          <w:tcPr>
            <w:tcW w:w="1560" w:type="dxa"/>
            <w:vAlign w:val="center"/>
          </w:tcPr>
          <w:p w:rsidR="00760453" w:rsidRDefault="00EC6BCC">
            <w:pPr>
              <w:jc w:val="right"/>
            </w:pPr>
            <w:r>
              <w:rPr>
                <w:color w:val="000000"/>
                <w:kern w:val="0"/>
                <w:sz w:val="24"/>
                <w:szCs w:val="24"/>
              </w:rPr>
              <w:t>1,000,000</w:t>
            </w:r>
          </w:p>
        </w:tc>
        <w:tc>
          <w:tcPr>
            <w:tcW w:w="1984" w:type="dxa"/>
            <w:vAlign w:val="center"/>
          </w:tcPr>
          <w:p w:rsidR="00760453" w:rsidRDefault="00EC6BCC">
            <w:pPr>
              <w:jc w:val="right"/>
            </w:pPr>
            <w:r>
              <w:rPr>
                <w:color w:val="000000"/>
                <w:kern w:val="0"/>
                <w:sz w:val="24"/>
                <w:szCs w:val="24"/>
              </w:rPr>
              <w:t>100,720,000.00</w:t>
            </w:r>
          </w:p>
        </w:tc>
        <w:tc>
          <w:tcPr>
            <w:tcW w:w="1474" w:type="dxa"/>
            <w:vAlign w:val="center"/>
          </w:tcPr>
          <w:p w:rsidR="00760453" w:rsidRDefault="00EC6BCC">
            <w:pPr>
              <w:jc w:val="right"/>
            </w:pPr>
            <w:r>
              <w:rPr>
                <w:color w:val="000000"/>
                <w:kern w:val="0"/>
                <w:sz w:val="24"/>
                <w:szCs w:val="24"/>
              </w:rPr>
              <w:t>0.51</w:t>
            </w:r>
          </w:p>
        </w:tc>
      </w:tr>
      <w:tr w:rsidR="00760453">
        <w:tc>
          <w:tcPr>
            <w:tcW w:w="959" w:type="dxa"/>
            <w:vAlign w:val="center"/>
          </w:tcPr>
          <w:p w:rsidR="00760453" w:rsidRDefault="00EC6BCC">
            <w:pPr>
              <w:jc w:val="center"/>
            </w:pPr>
            <w:r>
              <w:rPr>
                <w:color w:val="000000"/>
                <w:kern w:val="0"/>
                <w:sz w:val="24"/>
                <w:szCs w:val="24"/>
              </w:rPr>
              <w:t>3</w:t>
            </w:r>
          </w:p>
        </w:tc>
        <w:tc>
          <w:tcPr>
            <w:tcW w:w="1276" w:type="dxa"/>
            <w:vAlign w:val="center"/>
          </w:tcPr>
          <w:p w:rsidR="00760453" w:rsidRDefault="00EC6BCC">
            <w:pPr>
              <w:jc w:val="center"/>
            </w:pPr>
            <w:r>
              <w:rPr>
                <w:color w:val="000000"/>
                <w:kern w:val="0"/>
                <w:sz w:val="24"/>
                <w:szCs w:val="24"/>
              </w:rPr>
              <w:t>150415</w:t>
            </w:r>
          </w:p>
        </w:tc>
        <w:tc>
          <w:tcPr>
            <w:tcW w:w="1275" w:type="dxa"/>
            <w:vAlign w:val="center"/>
          </w:tcPr>
          <w:p w:rsidR="00760453" w:rsidRDefault="00EC6BCC">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760453" w:rsidRDefault="00EC6BCC">
            <w:pPr>
              <w:jc w:val="right"/>
            </w:pPr>
            <w:r>
              <w:rPr>
                <w:color w:val="000000"/>
                <w:kern w:val="0"/>
                <w:sz w:val="24"/>
                <w:szCs w:val="24"/>
              </w:rPr>
              <w:t>1,000,000</w:t>
            </w:r>
          </w:p>
        </w:tc>
        <w:tc>
          <w:tcPr>
            <w:tcW w:w="1984" w:type="dxa"/>
            <w:vAlign w:val="center"/>
          </w:tcPr>
          <w:p w:rsidR="00760453" w:rsidRDefault="00EC6BCC">
            <w:pPr>
              <w:jc w:val="right"/>
            </w:pPr>
            <w:r>
              <w:rPr>
                <w:color w:val="000000"/>
                <w:kern w:val="0"/>
                <w:sz w:val="24"/>
                <w:szCs w:val="24"/>
              </w:rPr>
              <w:t>100,610,000.00</w:t>
            </w:r>
          </w:p>
        </w:tc>
        <w:tc>
          <w:tcPr>
            <w:tcW w:w="1474" w:type="dxa"/>
            <w:vAlign w:val="center"/>
          </w:tcPr>
          <w:p w:rsidR="00760453" w:rsidRDefault="00EC6BCC">
            <w:pPr>
              <w:jc w:val="right"/>
            </w:pPr>
            <w:r>
              <w:rPr>
                <w:color w:val="000000"/>
                <w:kern w:val="0"/>
                <w:sz w:val="24"/>
                <w:szCs w:val="24"/>
              </w:rPr>
              <w:t>0.51</w:t>
            </w:r>
          </w:p>
        </w:tc>
      </w:tr>
      <w:tr w:rsidR="00760453">
        <w:tc>
          <w:tcPr>
            <w:tcW w:w="959" w:type="dxa"/>
            <w:vAlign w:val="center"/>
          </w:tcPr>
          <w:p w:rsidR="00760453" w:rsidRDefault="00EC6BCC">
            <w:pPr>
              <w:jc w:val="center"/>
            </w:pPr>
            <w:r>
              <w:rPr>
                <w:color w:val="000000"/>
                <w:kern w:val="0"/>
                <w:sz w:val="24"/>
                <w:szCs w:val="24"/>
              </w:rPr>
              <w:t>4</w:t>
            </w:r>
          </w:p>
        </w:tc>
        <w:tc>
          <w:tcPr>
            <w:tcW w:w="1276" w:type="dxa"/>
            <w:vAlign w:val="center"/>
          </w:tcPr>
          <w:p w:rsidR="00760453" w:rsidRDefault="00EC6BCC">
            <w:pPr>
              <w:jc w:val="center"/>
            </w:pPr>
            <w:r>
              <w:rPr>
                <w:color w:val="000000"/>
                <w:kern w:val="0"/>
                <w:sz w:val="24"/>
                <w:szCs w:val="24"/>
              </w:rPr>
              <w:t>170205</w:t>
            </w:r>
          </w:p>
        </w:tc>
        <w:tc>
          <w:tcPr>
            <w:tcW w:w="1275" w:type="dxa"/>
            <w:vAlign w:val="center"/>
          </w:tcPr>
          <w:p w:rsidR="00760453" w:rsidRDefault="00EC6BCC">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760453" w:rsidRDefault="00EC6BCC">
            <w:pPr>
              <w:jc w:val="right"/>
            </w:pPr>
            <w:r>
              <w:rPr>
                <w:color w:val="000000"/>
                <w:kern w:val="0"/>
                <w:sz w:val="24"/>
                <w:szCs w:val="24"/>
              </w:rPr>
              <w:t>1,000,000</w:t>
            </w:r>
          </w:p>
        </w:tc>
        <w:tc>
          <w:tcPr>
            <w:tcW w:w="1984" w:type="dxa"/>
            <w:vAlign w:val="center"/>
          </w:tcPr>
          <w:p w:rsidR="00760453" w:rsidRDefault="00EC6BCC">
            <w:pPr>
              <w:jc w:val="right"/>
            </w:pPr>
            <w:r>
              <w:rPr>
                <w:color w:val="000000"/>
                <w:kern w:val="0"/>
                <w:sz w:val="24"/>
                <w:szCs w:val="24"/>
              </w:rPr>
              <w:t>100,580,000.00</w:t>
            </w:r>
          </w:p>
        </w:tc>
        <w:tc>
          <w:tcPr>
            <w:tcW w:w="1474" w:type="dxa"/>
            <w:vAlign w:val="center"/>
          </w:tcPr>
          <w:p w:rsidR="00760453" w:rsidRDefault="00EC6BCC">
            <w:pPr>
              <w:jc w:val="right"/>
            </w:pPr>
            <w:r>
              <w:rPr>
                <w:color w:val="000000"/>
                <w:kern w:val="0"/>
                <w:sz w:val="24"/>
                <w:szCs w:val="24"/>
              </w:rPr>
              <w:t>0.51</w:t>
            </w:r>
          </w:p>
        </w:tc>
      </w:tr>
      <w:tr w:rsidR="00760453">
        <w:tc>
          <w:tcPr>
            <w:tcW w:w="959" w:type="dxa"/>
            <w:vAlign w:val="center"/>
          </w:tcPr>
          <w:p w:rsidR="00760453" w:rsidRDefault="00EC6BCC">
            <w:pPr>
              <w:jc w:val="center"/>
            </w:pPr>
            <w:r>
              <w:rPr>
                <w:color w:val="000000"/>
                <w:kern w:val="0"/>
                <w:sz w:val="24"/>
                <w:szCs w:val="24"/>
              </w:rPr>
              <w:t>5</w:t>
            </w:r>
          </w:p>
        </w:tc>
        <w:tc>
          <w:tcPr>
            <w:tcW w:w="1276" w:type="dxa"/>
            <w:vAlign w:val="center"/>
          </w:tcPr>
          <w:p w:rsidR="00760453" w:rsidRDefault="00EC6BCC">
            <w:pPr>
              <w:jc w:val="center"/>
            </w:pPr>
            <w:r>
              <w:rPr>
                <w:color w:val="000000"/>
                <w:kern w:val="0"/>
                <w:sz w:val="24"/>
                <w:szCs w:val="24"/>
              </w:rPr>
              <w:t>190304</w:t>
            </w:r>
          </w:p>
        </w:tc>
        <w:tc>
          <w:tcPr>
            <w:tcW w:w="1275" w:type="dxa"/>
            <w:vAlign w:val="center"/>
          </w:tcPr>
          <w:p w:rsidR="00760453" w:rsidRDefault="00EC6BCC">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760453" w:rsidRDefault="00EC6BCC">
            <w:pPr>
              <w:jc w:val="right"/>
            </w:pPr>
            <w:r>
              <w:rPr>
                <w:color w:val="000000"/>
                <w:kern w:val="0"/>
                <w:sz w:val="24"/>
                <w:szCs w:val="24"/>
              </w:rPr>
              <w:t>1,000,000</w:t>
            </w:r>
          </w:p>
        </w:tc>
        <w:tc>
          <w:tcPr>
            <w:tcW w:w="1984" w:type="dxa"/>
            <w:vAlign w:val="center"/>
          </w:tcPr>
          <w:p w:rsidR="00760453" w:rsidRDefault="00EC6BCC">
            <w:pPr>
              <w:jc w:val="right"/>
            </w:pPr>
            <w:r>
              <w:rPr>
                <w:color w:val="000000"/>
                <w:kern w:val="0"/>
                <w:sz w:val="24"/>
                <w:szCs w:val="24"/>
              </w:rPr>
              <w:t>99,980,000.00</w:t>
            </w:r>
          </w:p>
        </w:tc>
        <w:tc>
          <w:tcPr>
            <w:tcW w:w="1474" w:type="dxa"/>
            <w:vAlign w:val="center"/>
          </w:tcPr>
          <w:p w:rsidR="00760453" w:rsidRDefault="00EC6BCC">
            <w:pPr>
              <w:jc w:val="right"/>
            </w:pPr>
            <w:r>
              <w:rPr>
                <w:color w:val="000000"/>
                <w:kern w:val="0"/>
                <w:sz w:val="24"/>
                <w:szCs w:val="24"/>
              </w:rPr>
              <w:t>0.51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1,468,976.47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15,763,208.63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97,482,915.23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114,715,100.33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760453">
        <w:tc>
          <w:tcPr>
            <w:tcW w:w="1808" w:type="dxa"/>
            <w:vAlign w:val="center"/>
          </w:tcPr>
          <w:p w:rsidR="00760453" w:rsidRDefault="00EC6BCC">
            <w:pPr>
              <w:jc w:val="center"/>
            </w:pPr>
            <w:r>
              <w:rPr>
                <w:color w:val="000000"/>
                <w:kern w:val="0"/>
                <w:sz w:val="24"/>
                <w:szCs w:val="24"/>
              </w:rPr>
              <w:t>1</w:t>
            </w:r>
          </w:p>
        </w:tc>
        <w:tc>
          <w:tcPr>
            <w:tcW w:w="1729" w:type="dxa"/>
            <w:vAlign w:val="center"/>
          </w:tcPr>
          <w:p w:rsidR="00760453" w:rsidRDefault="00EC6BCC">
            <w:pPr>
              <w:jc w:val="center"/>
            </w:pPr>
            <w:r>
              <w:rPr>
                <w:color w:val="000000"/>
                <w:kern w:val="0"/>
                <w:sz w:val="24"/>
                <w:szCs w:val="24"/>
              </w:rPr>
              <w:t>128045</w:t>
            </w:r>
          </w:p>
        </w:tc>
        <w:tc>
          <w:tcPr>
            <w:tcW w:w="1658" w:type="dxa"/>
            <w:vAlign w:val="center"/>
          </w:tcPr>
          <w:p w:rsidR="00760453" w:rsidRDefault="00EC6BCC">
            <w:pPr>
              <w:jc w:val="center"/>
            </w:pPr>
            <w:r>
              <w:rPr>
                <w:color w:val="000000"/>
                <w:kern w:val="0"/>
                <w:sz w:val="24"/>
                <w:szCs w:val="24"/>
              </w:rPr>
              <w:t>机电转债</w:t>
            </w:r>
          </w:p>
        </w:tc>
        <w:tc>
          <w:tcPr>
            <w:tcW w:w="1697" w:type="dxa"/>
            <w:vAlign w:val="center"/>
          </w:tcPr>
          <w:p w:rsidR="00760453" w:rsidRDefault="00EC6BCC">
            <w:pPr>
              <w:jc w:val="right"/>
            </w:pPr>
            <w:r>
              <w:rPr>
                <w:color w:val="000000"/>
                <w:kern w:val="0"/>
                <w:sz w:val="24"/>
                <w:szCs w:val="24"/>
              </w:rPr>
              <w:t>2,461,320.00</w:t>
            </w:r>
          </w:p>
        </w:tc>
        <w:tc>
          <w:tcPr>
            <w:tcW w:w="1621" w:type="dxa"/>
            <w:vAlign w:val="center"/>
          </w:tcPr>
          <w:p w:rsidR="00760453" w:rsidRDefault="00EC6BCC">
            <w:pPr>
              <w:jc w:val="right"/>
            </w:pPr>
            <w:r>
              <w:rPr>
                <w:color w:val="000000"/>
                <w:kern w:val="0"/>
                <w:sz w:val="24"/>
                <w:szCs w:val="24"/>
              </w:rPr>
              <w:t>0.01</w:t>
            </w:r>
          </w:p>
        </w:tc>
      </w:tr>
      <w:tr w:rsidR="00760453">
        <w:tc>
          <w:tcPr>
            <w:tcW w:w="1808" w:type="dxa"/>
            <w:vAlign w:val="center"/>
          </w:tcPr>
          <w:p w:rsidR="00760453" w:rsidRDefault="00EC6BCC">
            <w:pPr>
              <w:jc w:val="center"/>
            </w:pPr>
            <w:r>
              <w:rPr>
                <w:color w:val="000000"/>
                <w:kern w:val="0"/>
                <w:sz w:val="24"/>
                <w:szCs w:val="24"/>
              </w:rPr>
              <w:t>2</w:t>
            </w:r>
          </w:p>
        </w:tc>
        <w:tc>
          <w:tcPr>
            <w:tcW w:w="1729" w:type="dxa"/>
            <w:vAlign w:val="center"/>
          </w:tcPr>
          <w:p w:rsidR="00760453" w:rsidRDefault="00EC6BCC">
            <w:pPr>
              <w:jc w:val="center"/>
            </w:pPr>
            <w:r>
              <w:rPr>
                <w:color w:val="000000"/>
                <w:kern w:val="0"/>
                <w:sz w:val="24"/>
                <w:szCs w:val="24"/>
              </w:rPr>
              <w:t>113021</w:t>
            </w:r>
          </w:p>
        </w:tc>
        <w:tc>
          <w:tcPr>
            <w:tcW w:w="1658" w:type="dxa"/>
            <w:vAlign w:val="center"/>
          </w:tcPr>
          <w:p w:rsidR="00760453" w:rsidRDefault="00EC6BCC">
            <w:pPr>
              <w:jc w:val="center"/>
            </w:pPr>
            <w:r>
              <w:rPr>
                <w:color w:val="000000"/>
                <w:kern w:val="0"/>
                <w:sz w:val="24"/>
                <w:szCs w:val="24"/>
              </w:rPr>
              <w:t>中信转债</w:t>
            </w:r>
          </w:p>
        </w:tc>
        <w:tc>
          <w:tcPr>
            <w:tcW w:w="1697" w:type="dxa"/>
            <w:vAlign w:val="center"/>
          </w:tcPr>
          <w:p w:rsidR="00760453" w:rsidRDefault="00EC6BCC">
            <w:pPr>
              <w:jc w:val="right"/>
            </w:pPr>
            <w:r>
              <w:rPr>
                <w:color w:val="000000"/>
                <w:kern w:val="0"/>
                <w:sz w:val="24"/>
                <w:szCs w:val="24"/>
              </w:rPr>
              <w:t>1,544,337.00</w:t>
            </w:r>
          </w:p>
        </w:tc>
        <w:tc>
          <w:tcPr>
            <w:tcW w:w="1621" w:type="dxa"/>
            <w:vAlign w:val="center"/>
          </w:tcPr>
          <w:p w:rsidR="00760453" w:rsidRDefault="00EC6BCC">
            <w:pPr>
              <w:jc w:val="right"/>
            </w:pPr>
            <w:r>
              <w:rPr>
                <w:color w:val="000000"/>
                <w:kern w:val="0"/>
                <w:sz w:val="24"/>
                <w:szCs w:val="24"/>
              </w:rPr>
              <w:t>0.01</w:t>
            </w:r>
          </w:p>
        </w:tc>
      </w:tr>
      <w:tr w:rsidR="00760453">
        <w:tc>
          <w:tcPr>
            <w:tcW w:w="1808" w:type="dxa"/>
            <w:vAlign w:val="center"/>
          </w:tcPr>
          <w:p w:rsidR="00760453" w:rsidRDefault="00EC6BCC">
            <w:pPr>
              <w:jc w:val="center"/>
            </w:pPr>
            <w:r>
              <w:rPr>
                <w:color w:val="000000"/>
                <w:kern w:val="0"/>
                <w:sz w:val="24"/>
                <w:szCs w:val="24"/>
              </w:rPr>
              <w:t>3</w:t>
            </w:r>
          </w:p>
        </w:tc>
        <w:tc>
          <w:tcPr>
            <w:tcW w:w="1729" w:type="dxa"/>
            <w:vAlign w:val="center"/>
          </w:tcPr>
          <w:p w:rsidR="00760453" w:rsidRDefault="00EC6BCC">
            <w:pPr>
              <w:jc w:val="center"/>
            </w:pPr>
            <w:r>
              <w:rPr>
                <w:color w:val="000000"/>
                <w:kern w:val="0"/>
                <w:sz w:val="24"/>
                <w:szCs w:val="24"/>
              </w:rPr>
              <w:t>123021</w:t>
            </w:r>
          </w:p>
        </w:tc>
        <w:tc>
          <w:tcPr>
            <w:tcW w:w="1658" w:type="dxa"/>
            <w:vAlign w:val="center"/>
          </w:tcPr>
          <w:p w:rsidR="00760453" w:rsidRDefault="00EC6BCC">
            <w:pPr>
              <w:jc w:val="center"/>
            </w:pPr>
            <w:r>
              <w:rPr>
                <w:color w:val="000000"/>
                <w:kern w:val="0"/>
                <w:sz w:val="24"/>
                <w:szCs w:val="24"/>
              </w:rPr>
              <w:t>万信转</w:t>
            </w:r>
            <w:r>
              <w:rPr>
                <w:color w:val="000000"/>
                <w:kern w:val="0"/>
                <w:sz w:val="24"/>
                <w:szCs w:val="24"/>
              </w:rPr>
              <w:t>2</w:t>
            </w:r>
          </w:p>
        </w:tc>
        <w:tc>
          <w:tcPr>
            <w:tcW w:w="1697" w:type="dxa"/>
            <w:vAlign w:val="center"/>
          </w:tcPr>
          <w:p w:rsidR="00760453" w:rsidRDefault="00EC6BCC">
            <w:pPr>
              <w:jc w:val="right"/>
            </w:pPr>
            <w:r>
              <w:rPr>
                <w:color w:val="000000"/>
                <w:kern w:val="0"/>
                <w:sz w:val="24"/>
                <w:szCs w:val="24"/>
              </w:rPr>
              <w:t>203,209.60</w:t>
            </w:r>
          </w:p>
        </w:tc>
        <w:tc>
          <w:tcPr>
            <w:tcW w:w="1621" w:type="dxa"/>
            <w:vAlign w:val="center"/>
          </w:tcPr>
          <w:p w:rsidR="00760453" w:rsidRDefault="00EC6BCC">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6,903,578,505.89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2,715,180,107.77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2,779,675,933.43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6,839,082,680.23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760453" w:rsidRDefault="00EC6BCC">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中国证监会核准易方达消费行业股票型证券投资基金募集的文件；</w:t>
      </w:r>
    </w:p>
    <w:p w:rsidR="00760453" w:rsidRDefault="00EC6BCC">
      <w:pPr>
        <w:spacing w:line="360" w:lineRule="auto"/>
        <w:ind w:firstLineChars="200" w:firstLine="480"/>
        <w:rPr>
          <w:color w:val="000000"/>
          <w:sz w:val="24"/>
          <w:szCs w:val="24"/>
        </w:rPr>
      </w:pPr>
      <w:r>
        <w:rPr>
          <w:color w:val="000000"/>
          <w:sz w:val="24"/>
          <w:szCs w:val="24"/>
        </w:rPr>
        <w:t>2.</w:t>
      </w:r>
      <w:r>
        <w:rPr>
          <w:color w:val="000000"/>
          <w:sz w:val="24"/>
          <w:szCs w:val="24"/>
        </w:rPr>
        <w:t>《易方达消费行业股票型证券投资基金基金合同》；</w:t>
      </w:r>
    </w:p>
    <w:p w:rsidR="00760453" w:rsidRDefault="00EC6BCC">
      <w:pPr>
        <w:spacing w:line="360" w:lineRule="auto"/>
        <w:ind w:firstLineChars="200" w:firstLine="480"/>
        <w:rPr>
          <w:color w:val="000000"/>
          <w:sz w:val="24"/>
          <w:szCs w:val="24"/>
        </w:rPr>
      </w:pPr>
      <w:r>
        <w:rPr>
          <w:color w:val="000000"/>
          <w:sz w:val="24"/>
          <w:szCs w:val="24"/>
        </w:rPr>
        <w:t>3.</w:t>
      </w:r>
      <w:r>
        <w:rPr>
          <w:color w:val="000000"/>
          <w:sz w:val="24"/>
          <w:szCs w:val="24"/>
        </w:rPr>
        <w:t>《易方达基金管理有限公司开放式基金业务规则》；</w:t>
      </w:r>
    </w:p>
    <w:p w:rsidR="00760453" w:rsidRDefault="00EC6BCC">
      <w:pPr>
        <w:spacing w:line="360" w:lineRule="auto"/>
        <w:ind w:firstLineChars="200" w:firstLine="480"/>
        <w:rPr>
          <w:color w:val="000000"/>
          <w:sz w:val="24"/>
          <w:szCs w:val="24"/>
        </w:rPr>
      </w:pPr>
      <w:r>
        <w:rPr>
          <w:color w:val="000000"/>
          <w:sz w:val="24"/>
          <w:szCs w:val="24"/>
        </w:rPr>
        <w:t>4.</w:t>
      </w:r>
      <w:r>
        <w:rPr>
          <w:color w:val="000000"/>
          <w:sz w:val="24"/>
          <w:szCs w:val="24"/>
        </w:rPr>
        <w:t>《易方达消费行业股票型证券投资基金托管协议》；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C6BCC">
      <w:rPr>
        <w:rStyle w:val="a7"/>
        <w:noProof/>
      </w:rPr>
      <w:t>1</w:t>
    </w:r>
    <w:r>
      <w:rPr>
        <w:rStyle w:val="a7"/>
      </w:rPr>
      <w:fldChar w:fldCharType="end"/>
    </w:r>
    <w:r>
      <w:rPr>
        <w:rStyle w:val="a7"/>
        <w:rFonts w:hint="eastAsia"/>
      </w:rPr>
      <w:t>页共</w:t>
    </w:r>
    <w:r w:rsidR="00EC6BCC">
      <w:fldChar w:fldCharType="begin"/>
    </w:r>
    <w:r w:rsidR="00EC6BCC">
      <w:instrText xml:space="preserve"> NUMPAGES  \* Arabic  \* MERGEFORMAT </w:instrText>
    </w:r>
    <w:r w:rsidR="00EC6BCC">
      <w:fldChar w:fldCharType="separate"/>
    </w:r>
    <w:r w:rsidR="00EC6BCC" w:rsidRPr="00EC6BCC">
      <w:rPr>
        <w:rStyle w:val="a7"/>
        <w:noProof/>
      </w:rPr>
      <w:t>3</w:t>
    </w:r>
    <w:r w:rsidR="00EC6BCC">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C6BCC">
      <w:rPr>
        <w:rStyle w:val="a7"/>
        <w:noProof/>
      </w:rPr>
      <w:t>11</w:t>
    </w:r>
    <w:r>
      <w:rPr>
        <w:rStyle w:val="a7"/>
      </w:rPr>
      <w:fldChar w:fldCharType="end"/>
    </w:r>
    <w:r>
      <w:rPr>
        <w:rStyle w:val="a7"/>
        <w:rFonts w:hint="eastAsia"/>
      </w:rPr>
      <w:t>页共</w:t>
    </w:r>
    <w:fldSimple w:instr=" NUMPAGES  \* Arabic  \* MERGEFORMAT ">
      <w:r w:rsidR="00EC6BCC" w:rsidRPr="00EC6BCC">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易方达消费行业股票型证券投资基金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0453"/>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C6BCC"/>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8004-0A51-4303-A123-0B84FC68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