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易方达上证中盘交易型开放式指数证券投资基金联接基金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中国工商银行股份有限公司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基金托管人中国工商银行股份有限公司根据本基金合同规定，于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易方达上证中盘</w:t>
            </w:r>
            <w:r w:rsidRPr="00B34368">
              <w:rPr>
                <w:rFonts w:eastAsiaTheme="minorEastAsia"/>
                <w:color w:val="000000" w:themeColor="text1"/>
                <w:kern w:val="0"/>
                <w:sz w:val="24"/>
              </w:rPr>
              <w:t>ETF</w:t>
            </w:r>
            <w:r w:rsidRPr="00B34368">
              <w:rPr>
                <w:rFonts w:eastAsiaTheme="minorEastAsia"/>
                <w:color w:val="000000" w:themeColor="text1"/>
                <w:kern w:val="0"/>
                <w:sz w:val="24"/>
              </w:rPr>
              <w:t>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110021</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2010</w:t>
            </w:r>
            <w:r w:rsidRPr="00B34368">
              <w:rPr>
                <w:rFonts w:eastAsiaTheme="minorEastAsia"/>
                <w:color w:val="000000" w:themeColor="text1"/>
                <w:kern w:val="0"/>
                <w:sz w:val="24"/>
              </w:rPr>
              <w:t>年</w:t>
            </w:r>
            <w:r w:rsidRPr="00B34368">
              <w:rPr>
                <w:rFonts w:eastAsiaTheme="minorEastAsia"/>
                <w:color w:val="000000" w:themeColor="text1"/>
                <w:kern w:val="0"/>
                <w:sz w:val="24"/>
              </w:rPr>
              <w:t>3</w:t>
            </w:r>
            <w:r w:rsidRPr="00B34368">
              <w:rPr>
                <w:rFonts w:eastAsiaTheme="minorEastAsia"/>
                <w:color w:val="000000" w:themeColor="text1"/>
                <w:kern w:val="0"/>
                <w:sz w:val="24"/>
              </w:rPr>
              <w:t>月</w:t>
            </w:r>
            <w:r w:rsidRPr="00B34368">
              <w:rPr>
                <w:rFonts w:eastAsiaTheme="minorEastAsia"/>
                <w:color w:val="000000" w:themeColor="text1"/>
                <w:kern w:val="0"/>
                <w:sz w:val="24"/>
              </w:rPr>
              <w:t>31</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159,244,079.34</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紧密跟踪业绩比较基准，追求跟踪偏离度及跟踪误差的最小化。力争将日均跟踪偏离度控制在</w:t>
            </w:r>
            <w:r w:rsidRPr="00B34368">
              <w:rPr>
                <w:rFonts w:eastAsiaTheme="minorEastAsia"/>
                <w:color w:val="000000" w:themeColor="text1"/>
                <w:kern w:val="0"/>
                <w:sz w:val="24"/>
              </w:rPr>
              <w:t>0.35%</w:t>
            </w:r>
            <w:r w:rsidRPr="00B34368">
              <w:rPr>
                <w:rFonts w:eastAsiaTheme="minorEastAsia"/>
                <w:color w:val="000000" w:themeColor="text1"/>
                <w:kern w:val="0"/>
                <w:sz w:val="24"/>
              </w:rPr>
              <w:t>以内，年化跟踪误差控制在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本基金为上证中盘</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的联接基金。上证中盘</w:t>
            </w:r>
            <w:r w:rsidRPr="00B34368">
              <w:rPr>
                <w:rFonts w:eastAsiaTheme="minorEastAsia"/>
                <w:color w:val="000000" w:themeColor="text1"/>
                <w:kern w:val="0"/>
                <w:sz w:val="24"/>
              </w:rPr>
              <w:t>ETF</w:t>
            </w:r>
            <w:r w:rsidRPr="00B34368">
              <w:rPr>
                <w:rFonts w:eastAsiaTheme="minorEastAsia"/>
                <w:color w:val="000000" w:themeColor="text1"/>
                <w:kern w:val="0"/>
                <w:sz w:val="24"/>
              </w:rPr>
              <w:t>是采用完全复制法实现对上证中盘指数紧密跟踪的全被动指数基金，本基金主要通过投资于上证中盘</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实现对业绩比较基准的紧密跟踪，力争将</w:t>
            </w:r>
            <w:r w:rsidRPr="00B34368">
              <w:rPr>
                <w:rFonts w:eastAsiaTheme="minorEastAsia"/>
                <w:color w:val="000000" w:themeColor="text1"/>
                <w:kern w:val="0"/>
                <w:sz w:val="24"/>
              </w:rPr>
              <w:lastRenderedPageBreak/>
              <w:t>日均跟踪偏离度控制在</w:t>
            </w:r>
            <w:r w:rsidRPr="00B34368">
              <w:rPr>
                <w:rFonts w:eastAsiaTheme="minorEastAsia"/>
                <w:color w:val="000000" w:themeColor="text1"/>
                <w:kern w:val="0"/>
                <w:sz w:val="24"/>
              </w:rPr>
              <w:t>0.35%</w:t>
            </w:r>
            <w:r w:rsidRPr="00B34368">
              <w:rPr>
                <w:rFonts w:eastAsiaTheme="minorEastAsia"/>
                <w:color w:val="000000" w:themeColor="text1"/>
                <w:kern w:val="0"/>
                <w:sz w:val="24"/>
              </w:rPr>
              <w:t>以内，年化跟踪误差控制在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以内。在投资运作过程中，本基金将在综合考虑合规、风险、效率、成本等因素的基础上，决定采用实物申赎的方式或证券二级市场交易的方式进行上证中盘</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的买卖。待指数衍生金融产品推出以后，基金管理人在履行适当程序后，本基金可以适度运用衍生金融产品进一步降低跟踪误差。</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上证中盘指数收益率</w:t>
            </w:r>
            <w:r w:rsidRPr="00B34368">
              <w:rPr>
                <w:rFonts w:eastAsiaTheme="minorEastAsia"/>
                <w:color w:val="000000" w:themeColor="text1"/>
                <w:kern w:val="0"/>
                <w:sz w:val="24"/>
              </w:rPr>
              <w:t>X95%+</w:t>
            </w:r>
            <w:r w:rsidRPr="00B34368">
              <w:rPr>
                <w:rFonts w:eastAsiaTheme="minorEastAsia"/>
                <w:color w:val="000000" w:themeColor="text1"/>
                <w:kern w:val="0"/>
                <w:sz w:val="24"/>
              </w:rPr>
              <w:t>活期存款利率</w:t>
            </w:r>
            <w:r w:rsidRPr="00B34368">
              <w:rPr>
                <w:rFonts w:eastAsiaTheme="minorEastAsia"/>
                <w:color w:val="000000" w:themeColor="text1"/>
                <w:kern w:val="0"/>
                <w:sz w:val="24"/>
              </w:rPr>
              <w:t>(</w:t>
            </w:r>
            <w:r w:rsidRPr="00B34368">
              <w:rPr>
                <w:rFonts w:eastAsiaTheme="minorEastAsia"/>
                <w:color w:val="000000" w:themeColor="text1"/>
                <w:kern w:val="0"/>
                <w:sz w:val="24"/>
              </w:rPr>
              <w:t>税后</w:t>
            </w:r>
            <w:r w:rsidRPr="00B34368">
              <w:rPr>
                <w:rFonts w:eastAsiaTheme="minorEastAsia"/>
                <w:color w:val="000000" w:themeColor="text1"/>
                <w:kern w:val="0"/>
                <w:sz w:val="24"/>
              </w:rPr>
              <w:t>)X5%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本基金为上证中盘</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的联接基金，其预期风险收益水平高于混合型基金、债券基金和货币市场基金。本基金主要通过投资于上证中盘</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追踪业绩比较基准，具有与业绩比较基准相似的风险收益特征。</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中国工商银行股份有限公司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110021</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004743</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155,440,995.86</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3,803,083.48</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2</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5</w:t>
      </w:r>
      <w:r w:rsidRPr="00B34368">
        <w:rPr>
          <w:rFonts w:eastAsiaTheme="minorEastAsia"/>
          <w:color w:val="000000" w:themeColor="text1"/>
          <w:sz w:val="24"/>
        </w:rPr>
        <w:t>日。</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易方达上证中盘交易型开放式指数证券投资基金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510130</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2010</w:t>
            </w:r>
            <w:r w:rsidRPr="00B34368">
              <w:rPr>
                <w:rFonts w:eastAsiaTheme="minorEastAsia"/>
                <w:color w:val="000000" w:themeColor="text1"/>
                <w:sz w:val="24"/>
              </w:rPr>
              <w:t>年</w:t>
            </w:r>
            <w:r w:rsidRPr="00B34368">
              <w:rPr>
                <w:rFonts w:eastAsiaTheme="minorEastAsia"/>
                <w:color w:val="000000" w:themeColor="text1"/>
                <w:sz w:val="24"/>
              </w:rPr>
              <w:t>3</w:t>
            </w:r>
            <w:r w:rsidRPr="00B34368">
              <w:rPr>
                <w:rFonts w:eastAsiaTheme="minorEastAsia"/>
                <w:color w:val="000000" w:themeColor="text1"/>
                <w:sz w:val="24"/>
              </w:rPr>
              <w:t>月</w:t>
            </w:r>
            <w:r w:rsidRPr="00B34368">
              <w:rPr>
                <w:rFonts w:eastAsiaTheme="minorEastAsia"/>
                <w:color w:val="000000" w:themeColor="text1"/>
                <w:sz w:val="24"/>
              </w:rPr>
              <w:t>29</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2010</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23</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中国工商银行股份有限公司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紧密跟踪标的指数，追求跟踪偏离度及跟踪误差的最小化。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采取完全复制法进行投资，即按照上证中盘指数的成份股组成及权重构建股票投资组合。但是当指数编制方法变更、成份股发生变更、成份股权重由于自由流通量发生变化、成份股派发现金股息、配股及增发、股票长期停牌、市场流动性不足等情况发生，基金管理人无法按照指数构成及权重进行同步调整时，基金管理人将对投资组合进行优化，尽量降低跟踪误差。</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上证中盘指数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本基金属股票型基金，预期风险与收益水平高于混合基金、债券基金与货币市场基金。本基金为指数型基金，采用完全复制法跟踪标的指数的表现，具有与标的指数相似的风险收益特征。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6,638,691.38</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147,976.63</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lastRenderedPageBreak/>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-3,519,605.73</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-36,770.28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-0.0206</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-0.0102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204,484,509.59</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5,135,385.41</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1.3155</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1.3503</w:t>
            </w:r>
          </w:p>
        </w:tc>
      </w:tr>
    </w:tbl>
    <w:p w:rsidR="00435009" w:rsidRDefault="00EC2CFD">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易方达上证中盘</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435009">
        <w:tc>
          <w:tcPr>
            <w:tcW w:w="1290" w:type="dxa"/>
            <w:vAlign w:val="center"/>
          </w:tcPr>
          <w:p w:rsidR="00435009" w:rsidRDefault="00EC2CFD">
            <w:pPr>
              <w:jc w:val="left"/>
            </w:pPr>
            <w:r>
              <w:rPr>
                <w:rFonts w:eastAsiaTheme="minorEastAsia"/>
                <w:color w:val="000000" w:themeColor="text1"/>
                <w:sz w:val="24"/>
              </w:rPr>
              <w:t>过去三个月</w:t>
            </w:r>
          </w:p>
        </w:tc>
        <w:tc>
          <w:tcPr>
            <w:tcW w:w="1291" w:type="dxa"/>
            <w:vAlign w:val="center"/>
          </w:tcPr>
          <w:p w:rsidR="00435009" w:rsidRDefault="00EC2CFD">
            <w:pPr>
              <w:jc w:val="right"/>
            </w:pPr>
            <w:r>
              <w:rPr>
                <w:rFonts w:eastAsiaTheme="minorEastAsia"/>
                <w:color w:val="000000" w:themeColor="text1"/>
                <w:sz w:val="24"/>
              </w:rPr>
              <w:t>-1.54%</w:t>
            </w:r>
          </w:p>
        </w:tc>
        <w:tc>
          <w:tcPr>
            <w:tcW w:w="1291" w:type="dxa"/>
            <w:vAlign w:val="center"/>
          </w:tcPr>
          <w:p w:rsidR="00435009" w:rsidRDefault="00EC2CFD">
            <w:pPr>
              <w:jc w:val="right"/>
            </w:pPr>
            <w:r>
              <w:rPr>
                <w:rFonts w:eastAsiaTheme="minorEastAsia"/>
                <w:color w:val="000000" w:themeColor="text1"/>
                <w:sz w:val="24"/>
              </w:rPr>
              <w:t>0.89%</w:t>
            </w:r>
          </w:p>
        </w:tc>
        <w:tc>
          <w:tcPr>
            <w:tcW w:w="1291" w:type="dxa"/>
            <w:vAlign w:val="center"/>
          </w:tcPr>
          <w:p w:rsidR="00435009" w:rsidRDefault="00EC2CFD">
            <w:pPr>
              <w:jc w:val="right"/>
            </w:pPr>
            <w:r>
              <w:rPr>
                <w:rFonts w:eastAsiaTheme="minorEastAsia"/>
                <w:color w:val="000000" w:themeColor="text1"/>
                <w:sz w:val="24"/>
              </w:rPr>
              <w:t>-3.45%</w:t>
            </w:r>
          </w:p>
        </w:tc>
        <w:tc>
          <w:tcPr>
            <w:tcW w:w="1291" w:type="dxa"/>
            <w:vAlign w:val="center"/>
          </w:tcPr>
          <w:p w:rsidR="00435009" w:rsidRDefault="00EC2CFD">
            <w:pPr>
              <w:jc w:val="right"/>
            </w:pPr>
            <w:r>
              <w:rPr>
                <w:rFonts w:eastAsiaTheme="minorEastAsia"/>
                <w:color w:val="000000" w:themeColor="text1"/>
                <w:sz w:val="24"/>
              </w:rPr>
              <w:t>0.90%</w:t>
            </w:r>
          </w:p>
        </w:tc>
        <w:tc>
          <w:tcPr>
            <w:tcW w:w="1291" w:type="dxa"/>
            <w:vAlign w:val="center"/>
          </w:tcPr>
          <w:p w:rsidR="00435009" w:rsidRDefault="00EC2CFD">
            <w:pPr>
              <w:jc w:val="right"/>
            </w:pPr>
            <w:r>
              <w:rPr>
                <w:rFonts w:eastAsiaTheme="minorEastAsia"/>
                <w:color w:val="000000" w:themeColor="text1"/>
                <w:sz w:val="24"/>
              </w:rPr>
              <w:t>1.91%</w:t>
            </w:r>
          </w:p>
        </w:tc>
        <w:tc>
          <w:tcPr>
            <w:tcW w:w="1291" w:type="dxa"/>
            <w:vAlign w:val="center"/>
          </w:tcPr>
          <w:p w:rsidR="00435009" w:rsidRDefault="00EC2CFD">
            <w:pPr>
              <w:jc w:val="right"/>
            </w:pPr>
            <w:r>
              <w:rPr>
                <w:rFonts w:eastAsiaTheme="minorEastAsia"/>
                <w:color w:val="000000" w:themeColor="text1"/>
                <w:sz w:val="24"/>
              </w:rPr>
              <w:t>-0.01%</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易方达上证中盘</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435009">
        <w:tc>
          <w:tcPr>
            <w:tcW w:w="1290" w:type="dxa"/>
            <w:vAlign w:val="center"/>
          </w:tcPr>
          <w:p w:rsidR="00435009" w:rsidRDefault="00EC2CFD">
            <w:pPr>
              <w:jc w:val="left"/>
            </w:pPr>
            <w:r>
              <w:rPr>
                <w:rFonts w:eastAsiaTheme="minorEastAsia"/>
                <w:color w:val="000000" w:themeColor="text1"/>
                <w:sz w:val="24"/>
              </w:rPr>
              <w:t>过去三个月</w:t>
            </w:r>
          </w:p>
        </w:tc>
        <w:tc>
          <w:tcPr>
            <w:tcW w:w="1291" w:type="dxa"/>
            <w:vAlign w:val="center"/>
          </w:tcPr>
          <w:p w:rsidR="00435009" w:rsidRDefault="00EC2CFD">
            <w:pPr>
              <w:jc w:val="right"/>
            </w:pPr>
            <w:r>
              <w:rPr>
                <w:rFonts w:eastAsiaTheme="minorEastAsia"/>
                <w:color w:val="000000" w:themeColor="text1"/>
                <w:sz w:val="24"/>
              </w:rPr>
              <w:t>-1.62%</w:t>
            </w:r>
          </w:p>
        </w:tc>
        <w:tc>
          <w:tcPr>
            <w:tcW w:w="1291" w:type="dxa"/>
            <w:vAlign w:val="center"/>
          </w:tcPr>
          <w:p w:rsidR="00435009" w:rsidRDefault="00EC2CFD">
            <w:pPr>
              <w:jc w:val="right"/>
            </w:pPr>
            <w:r>
              <w:rPr>
                <w:rFonts w:eastAsiaTheme="minorEastAsia"/>
                <w:color w:val="000000" w:themeColor="text1"/>
                <w:sz w:val="24"/>
              </w:rPr>
              <w:t>0.89%</w:t>
            </w:r>
          </w:p>
        </w:tc>
        <w:tc>
          <w:tcPr>
            <w:tcW w:w="1291" w:type="dxa"/>
            <w:vAlign w:val="center"/>
          </w:tcPr>
          <w:p w:rsidR="00435009" w:rsidRDefault="00EC2CFD">
            <w:pPr>
              <w:jc w:val="right"/>
            </w:pPr>
            <w:r>
              <w:rPr>
                <w:rFonts w:eastAsiaTheme="minorEastAsia"/>
                <w:color w:val="000000" w:themeColor="text1"/>
                <w:sz w:val="24"/>
              </w:rPr>
              <w:t>-3.45%</w:t>
            </w:r>
          </w:p>
        </w:tc>
        <w:tc>
          <w:tcPr>
            <w:tcW w:w="1291" w:type="dxa"/>
            <w:vAlign w:val="center"/>
          </w:tcPr>
          <w:p w:rsidR="00435009" w:rsidRDefault="00EC2CFD">
            <w:pPr>
              <w:jc w:val="right"/>
            </w:pPr>
            <w:r>
              <w:rPr>
                <w:rFonts w:eastAsiaTheme="minorEastAsia"/>
                <w:color w:val="000000" w:themeColor="text1"/>
                <w:sz w:val="24"/>
              </w:rPr>
              <w:t>0.90%</w:t>
            </w:r>
          </w:p>
        </w:tc>
        <w:tc>
          <w:tcPr>
            <w:tcW w:w="1291" w:type="dxa"/>
            <w:vAlign w:val="center"/>
          </w:tcPr>
          <w:p w:rsidR="00435009" w:rsidRDefault="00EC2CFD">
            <w:pPr>
              <w:jc w:val="right"/>
            </w:pPr>
            <w:r>
              <w:rPr>
                <w:rFonts w:eastAsiaTheme="minorEastAsia"/>
                <w:color w:val="000000" w:themeColor="text1"/>
                <w:sz w:val="24"/>
              </w:rPr>
              <w:t>1.83%</w:t>
            </w:r>
          </w:p>
        </w:tc>
        <w:tc>
          <w:tcPr>
            <w:tcW w:w="1291" w:type="dxa"/>
            <w:vAlign w:val="center"/>
          </w:tcPr>
          <w:p w:rsidR="00435009" w:rsidRDefault="00EC2CFD">
            <w:pPr>
              <w:jc w:val="right"/>
            </w:pPr>
            <w:r>
              <w:rPr>
                <w:rFonts w:eastAsiaTheme="minorEastAsia"/>
                <w:color w:val="000000" w:themeColor="text1"/>
                <w:sz w:val="24"/>
              </w:rPr>
              <w:t>-0.01%</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052972" w:rsidRPr="00052972">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易方达上证中盘交易型开放式指数证券投资基金联接基金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lastRenderedPageBreak/>
        <w:t>(2010</w:t>
      </w:r>
      <w:r w:rsidRPr="00B34368">
        <w:rPr>
          <w:rFonts w:eastAsiaTheme="minorEastAsia"/>
          <w:color w:val="000000" w:themeColor="text1"/>
          <w:sz w:val="24"/>
        </w:rPr>
        <w:t>年</w:t>
      </w:r>
      <w:r w:rsidRPr="00B34368">
        <w:rPr>
          <w:rFonts w:eastAsiaTheme="minorEastAsia"/>
          <w:color w:val="000000" w:themeColor="text1"/>
          <w:sz w:val="24"/>
        </w:rPr>
        <w:t>3</w:t>
      </w:r>
      <w:r w:rsidRPr="00B34368">
        <w:rPr>
          <w:rFonts w:eastAsiaTheme="minorEastAsia"/>
          <w:color w:val="000000" w:themeColor="text1"/>
          <w:sz w:val="24"/>
        </w:rPr>
        <w:t>月</w:t>
      </w:r>
      <w:r w:rsidRPr="00B34368">
        <w:rPr>
          <w:rFonts w:eastAsiaTheme="minorEastAsia"/>
          <w:color w:val="000000" w:themeColor="text1"/>
          <w:sz w:val="24"/>
        </w:rPr>
        <w:t>31</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Pr>
          <w:rFonts w:eastAsiaTheme="minorEastAsia" w:hint="eastAsia"/>
          <w:color w:val="000000" w:themeColor="text1"/>
          <w:sz w:val="24"/>
        </w:rPr>
        <w:t>2017</w:t>
      </w:r>
      <w:r>
        <w:rPr>
          <w:rFonts w:eastAsiaTheme="minorEastAsia" w:hint="eastAsia"/>
          <w:color w:val="000000" w:themeColor="text1"/>
          <w:sz w:val="24"/>
        </w:rPr>
        <w:t>年</w:t>
      </w:r>
      <w:r>
        <w:rPr>
          <w:rFonts w:eastAsiaTheme="minorEastAsia" w:hint="eastAsia"/>
          <w:color w:val="000000" w:themeColor="text1"/>
          <w:sz w:val="24"/>
        </w:rPr>
        <w:t>6</w:t>
      </w:r>
      <w:r>
        <w:rPr>
          <w:rFonts w:eastAsiaTheme="minorEastAsia" w:hint="eastAsia"/>
          <w:color w:val="000000" w:themeColor="text1"/>
          <w:sz w:val="24"/>
        </w:rPr>
        <w:t>月</w:t>
      </w:r>
      <w:r>
        <w:rPr>
          <w:rFonts w:eastAsiaTheme="minorEastAsia" w:hint="eastAsia"/>
          <w:color w:val="000000" w:themeColor="text1"/>
          <w:sz w:val="24"/>
        </w:rPr>
        <w:t>5</w:t>
      </w:r>
      <w:r>
        <w:rPr>
          <w:rFonts w:eastAsiaTheme="minorEastAsia" w:hint="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2</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5</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31.55%</w:t>
      </w:r>
      <w:r w:rsidRPr="00B34368">
        <w:rPr>
          <w:rFonts w:eastAsiaTheme="minorEastAsia"/>
          <w:color w:val="000000" w:themeColor="text1"/>
          <w:sz w:val="24"/>
        </w:rPr>
        <w:t>，同期业绩比</w:t>
      </w:r>
      <w:r w:rsidRPr="00B34368">
        <w:rPr>
          <w:rFonts w:eastAsiaTheme="minorEastAsia"/>
          <w:color w:val="000000" w:themeColor="text1"/>
          <w:sz w:val="24"/>
        </w:rPr>
        <w:lastRenderedPageBreak/>
        <w:t>较基准收益率为</w:t>
      </w:r>
      <w:r w:rsidRPr="00B34368">
        <w:rPr>
          <w:rFonts w:eastAsiaTheme="minorEastAsia"/>
          <w:color w:val="000000" w:themeColor="text1"/>
          <w:sz w:val="24"/>
        </w:rPr>
        <w:t>4.43%</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8.95%</w:t>
      </w:r>
      <w:r w:rsidRPr="00B34368">
        <w:rPr>
          <w:rFonts w:eastAsiaTheme="minorEastAsia"/>
          <w:color w:val="000000" w:themeColor="text1"/>
          <w:sz w:val="24"/>
        </w:rPr>
        <w:t>，同期业绩比较基准收益率为</w:t>
      </w:r>
      <w:r w:rsidRPr="00B34368">
        <w:rPr>
          <w:rFonts w:eastAsiaTheme="minorEastAsia"/>
          <w:color w:val="000000" w:themeColor="text1"/>
          <w:sz w:val="24"/>
        </w:rPr>
        <w:t>-1.25%</w:t>
      </w:r>
      <w:r w:rsidRPr="00B34368">
        <w:rPr>
          <w:rFonts w:eastAsiaTheme="minorEastAsia"/>
          <w:color w:val="000000" w:themeColor="text1"/>
          <w:sz w:val="24"/>
        </w:rPr>
        <w:t>。</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435009">
        <w:tc>
          <w:tcPr>
            <w:tcW w:w="566" w:type="dxa"/>
            <w:vAlign w:val="center"/>
          </w:tcPr>
          <w:p w:rsidR="00435009" w:rsidRDefault="00EC2CFD">
            <w:pPr>
              <w:jc w:val="center"/>
            </w:pPr>
            <w:r>
              <w:rPr>
                <w:color w:val="000000"/>
                <w:sz w:val="24"/>
              </w:rPr>
              <w:t>刘树荣</w:t>
            </w:r>
          </w:p>
        </w:tc>
        <w:tc>
          <w:tcPr>
            <w:tcW w:w="2832" w:type="dxa"/>
            <w:vAlign w:val="center"/>
          </w:tcPr>
          <w:p w:rsidR="00435009" w:rsidRDefault="00EC2CFD">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w:t>
            </w:r>
            <w:r>
              <w:rPr>
                <w:color w:val="000000"/>
                <w:sz w:val="24"/>
              </w:rPr>
              <w:t>投资基金联接基金的基金经理、易方达深证</w:t>
            </w:r>
            <w:r>
              <w:rPr>
                <w:color w:val="000000"/>
                <w:sz w:val="24"/>
              </w:rPr>
              <w:t>100</w:t>
            </w:r>
            <w:r>
              <w:rPr>
                <w:color w:val="000000"/>
                <w:sz w:val="24"/>
              </w:rPr>
              <w:t>交易型开放式指数基金的基金经理、易方达上证中盘交易型开放式指数证券投资基金的基金经理、易方达创业板交易型开放式指数</w:t>
            </w:r>
            <w:r>
              <w:rPr>
                <w:color w:val="000000"/>
                <w:sz w:val="24"/>
              </w:rPr>
              <w:lastRenderedPageBreak/>
              <w:t>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851" w:type="dxa"/>
            <w:vAlign w:val="center"/>
          </w:tcPr>
          <w:p w:rsidR="00435009" w:rsidRDefault="00EC2CFD">
            <w:pPr>
              <w:jc w:val="center"/>
            </w:pPr>
            <w:r>
              <w:rPr>
                <w:color w:val="000000"/>
                <w:sz w:val="24"/>
              </w:rPr>
              <w:lastRenderedPageBreak/>
              <w:t>2</w:t>
            </w:r>
            <w:r>
              <w:rPr>
                <w:color w:val="000000"/>
                <w:sz w:val="24"/>
              </w:rPr>
              <w:t>018-08-11</w:t>
            </w:r>
          </w:p>
        </w:tc>
        <w:tc>
          <w:tcPr>
            <w:tcW w:w="850" w:type="dxa"/>
            <w:vAlign w:val="center"/>
          </w:tcPr>
          <w:p w:rsidR="00435009" w:rsidRDefault="00EC2CFD">
            <w:pPr>
              <w:jc w:val="center"/>
            </w:pPr>
            <w:r>
              <w:rPr>
                <w:color w:val="000000"/>
                <w:sz w:val="24"/>
              </w:rPr>
              <w:t>-</w:t>
            </w:r>
          </w:p>
        </w:tc>
        <w:tc>
          <w:tcPr>
            <w:tcW w:w="851" w:type="dxa"/>
            <w:vAlign w:val="center"/>
          </w:tcPr>
          <w:p w:rsidR="00435009" w:rsidRDefault="00EC2CFD">
            <w:pPr>
              <w:jc w:val="center"/>
            </w:pPr>
            <w:r>
              <w:rPr>
                <w:color w:val="000000"/>
                <w:sz w:val="24"/>
              </w:rPr>
              <w:t>12</w:t>
            </w:r>
            <w:r>
              <w:rPr>
                <w:color w:val="000000"/>
                <w:sz w:val="24"/>
              </w:rPr>
              <w:t>年</w:t>
            </w:r>
          </w:p>
        </w:tc>
        <w:tc>
          <w:tcPr>
            <w:tcW w:w="2975" w:type="dxa"/>
            <w:vAlign w:val="center"/>
          </w:tcPr>
          <w:p w:rsidR="00435009" w:rsidRDefault="00EC2CFD">
            <w:r>
              <w:rPr>
                <w:color w:val="000000"/>
                <w:sz w:val="24"/>
              </w:rPr>
              <w:t>硕士研究生，曾任招商银行资产托管部基金会计，易方达基金管理有限公司核算部基金核算专员、指数与量化投资部运作支持专员、基金经理助理。</w:t>
            </w:r>
          </w:p>
        </w:tc>
      </w:tr>
    </w:tbl>
    <w:p w:rsidR="00435009" w:rsidRDefault="00EC2CFD">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w:t>
      </w:r>
      <w:r w:rsidRPr="00B34368">
        <w:rPr>
          <w:rFonts w:eastAsiaTheme="minorEastAsia"/>
          <w:color w:val="000000" w:themeColor="text1"/>
          <w:sz w:val="24"/>
        </w:rPr>
        <w:lastRenderedPageBreak/>
        <w:t>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w:t>
      </w:r>
      <w:r>
        <w:rPr>
          <w:rFonts w:eastAsiaTheme="minorEastAsia"/>
          <w:color w:val="000000" w:themeColor="text1"/>
          <w:sz w:val="24"/>
        </w:rPr>
        <w:t>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本基金跟踪的标的指数为上证中盘指数，上证中盘指数由上证</w:t>
      </w:r>
      <w:r>
        <w:rPr>
          <w:rFonts w:eastAsiaTheme="minorEastAsia"/>
          <w:color w:val="000000" w:themeColor="text1"/>
          <w:sz w:val="24"/>
        </w:rPr>
        <w:t>180</w:t>
      </w:r>
      <w:r>
        <w:rPr>
          <w:rFonts w:eastAsiaTheme="minorEastAsia"/>
          <w:color w:val="000000" w:themeColor="text1"/>
          <w:sz w:val="24"/>
        </w:rPr>
        <w:t>指数成份股中剔除</w:t>
      </w:r>
      <w:r>
        <w:rPr>
          <w:rFonts w:eastAsiaTheme="minorEastAsia"/>
          <w:color w:val="000000" w:themeColor="text1"/>
          <w:sz w:val="24"/>
        </w:rPr>
        <w:t>50</w:t>
      </w:r>
      <w:r>
        <w:rPr>
          <w:rFonts w:eastAsiaTheme="minorEastAsia"/>
          <w:color w:val="000000" w:themeColor="text1"/>
          <w:sz w:val="24"/>
        </w:rPr>
        <w:t>只上证</w:t>
      </w:r>
      <w:r>
        <w:rPr>
          <w:rFonts w:eastAsiaTheme="minorEastAsia"/>
          <w:color w:val="000000" w:themeColor="text1"/>
          <w:sz w:val="24"/>
        </w:rPr>
        <w:t>50</w:t>
      </w:r>
      <w:r>
        <w:rPr>
          <w:rFonts w:eastAsiaTheme="minorEastAsia"/>
          <w:color w:val="000000" w:themeColor="text1"/>
          <w:sz w:val="24"/>
        </w:rPr>
        <w:t>指数成份股后剩余的</w:t>
      </w:r>
      <w:r>
        <w:rPr>
          <w:rFonts w:eastAsiaTheme="minorEastAsia"/>
          <w:color w:val="000000" w:themeColor="text1"/>
          <w:sz w:val="24"/>
        </w:rPr>
        <w:t>130</w:t>
      </w:r>
      <w:r>
        <w:rPr>
          <w:rFonts w:eastAsiaTheme="minorEastAsia"/>
          <w:color w:val="000000" w:themeColor="text1"/>
          <w:sz w:val="24"/>
        </w:rPr>
        <w:t>家成份股构成，以综合反映沪市中盘公司的整体状况。</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三季度，在外部不确定性增加以及国内经济下行压力的影响下，国内股票市场波动较大。季初，上证中盘指数跟随市场下跌；</w:t>
      </w:r>
      <w:r>
        <w:rPr>
          <w:rFonts w:eastAsiaTheme="minorEastAsia"/>
          <w:color w:val="000000" w:themeColor="text1"/>
          <w:sz w:val="24"/>
        </w:rPr>
        <w:t>8</w:t>
      </w:r>
      <w:r>
        <w:rPr>
          <w:rFonts w:eastAsiaTheme="minorEastAsia"/>
          <w:color w:val="000000" w:themeColor="text1"/>
          <w:sz w:val="24"/>
        </w:rPr>
        <w:t>月上旬，在深圳建设中国特色社会主义先行示范区等系列改革、政策出台以及市场对货币环境的宽松预期下，市场做多情绪升温，上证中盘指数也一度反弹</w:t>
      </w:r>
      <w:r>
        <w:rPr>
          <w:rFonts w:eastAsiaTheme="minorEastAsia"/>
          <w:color w:val="000000" w:themeColor="text1"/>
          <w:sz w:val="24"/>
        </w:rPr>
        <w:t>10%</w:t>
      </w:r>
      <w:r>
        <w:rPr>
          <w:rFonts w:eastAsiaTheme="minorEastAsia"/>
          <w:color w:val="000000" w:themeColor="text1"/>
          <w:sz w:val="24"/>
        </w:rPr>
        <w:t>左右；</w:t>
      </w:r>
      <w:r>
        <w:rPr>
          <w:rFonts w:eastAsiaTheme="minorEastAsia"/>
          <w:color w:val="000000" w:themeColor="text1"/>
          <w:sz w:val="24"/>
        </w:rPr>
        <w:t>9</w:t>
      </w:r>
      <w:r>
        <w:rPr>
          <w:rFonts w:eastAsiaTheme="minorEastAsia"/>
          <w:color w:val="000000" w:themeColor="text1"/>
          <w:sz w:val="24"/>
        </w:rPr>
        <w:t>月中</w:t>
      </w:r>
      <w:r>
        <w:rPr>
          <w:rFonts w:eastAsiaTheme="minorEastAsia"/>
          <w:color w:val="000000" w:themeColor="text1"/>
          <w:sz w:val="24"/>
        </w:rPr>
        <w:t>MLF</w:t>
      </w:r>
      <w:r>
        <w:rPr>
          <w:rFonts w:eastAsiaTheme="minorEastAsia"/>
          <w:color w:val="000000" w:themeColor="text1"/>
          <w:sz w:val="24"/>
        </w:rPr>
        <w:t>中标利率维持</w:t>
      </w:r>
      <w:r>
        <w:rPr>
          <w:rFonts w:eastAsiaTheme="minorEastAsia"/>
          <w:color w:val="000000" w:themeColor="text1"/>
          <w:sz w:val="24"/>
        </w:rPr>
        <w:t>3.30%</w:t>
      </w:r>
      <w:r>
        <w:rPr>
          <w:rFonts w:eastAsiaTheme="minorEastAsia"/>
          <w:color w:val="000000" w:themeColor="text1"/>
          <w:sz w:val="24"/>
        </w:rPr>
        <w:t>不变，此前市场对本次</w:t>
      </w:r>
      <w:r>
        <w:rPr>
          <w:rFonts w:eastAsiaTheme="minorEastAsia"/>
          <w:color w:val="000000" w:themeColor="text1"/>
          <w:sz w:val="24"/>
        </w:rPr>
        <w:t>MLF</w:t>
      </w:r>
      <w:r>
        <w:rPr>
          <w:rFonts w:eastAsiaTheme="minorEastAsia"/>
          <w:color w:val="000000" w:themeColor="text1"/>
          <w:sz w:val="24"/>
        </w:rPr>
        <w:t>利率下降的预期被打破，国内货币政策宽松幅度低于市场预期，叠加市场前期连续上涨后的获利抛压，市场开始回调。报告期内，上证中盘指数涨幅为</w:t>
      </w:r>
      <w:r>
        <w:rPr>
          <w:rFonts w:eastAsiaTheme="minorEastAsia"/>
          <w:color w:val="000000" w:themeColor="text1"/>
          <w:sz w:val="24"/>
        </w:rPr>
        <w:t>-3.7%</w:t>
      </w:r>
      <w:r>
        <w:rPr>
          <w:rFonts w:eastAsiaTheme="minorEastAsia"/>
          <w:color w:val="000000" w:themeColor="text1"/>
          <w:sz w:val="24"/>
        </w:rPr>
        <w:t>。</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本基金易方达上证中盘</w:t>
      </w:r>
      <w:r w:rsidRPr="00B34368">
        <w:rPr>
          <w:rFonts w:eastAsiaTheme="minorEastAsia"/>
          <w:color w:val="000000" w:themeColor="text1"/>
          <w:sz w:val="24"/>
        </w:rPr>
        <w:t>ETF</w:t>
      </w:r>
      <w:r w:rsidRPr="00B34368">
        <w:rPr>
          <w:rFonts w:eastAsiaTheme="minorEastAsia"/>
          <w:color w:val="000000" w:themeColor="text1"/>
          <w:sz w:val="24"/>
        </w:rPr>
        <w:t>的联接基金，主要投资于上证中盘</w:t>
      </w:r>
      <w:r w:rsidRPr="00B34368">
        <w:rPr>
          <w:rFonts w:eastAsiaTheme="minorEastAsia"/>
          <w:color w:val="000000" w:themeColor="text1"/>
          <w:sz w:val="24"/>
        </w:rPr>
        <w:t>ETF</w:t>
      </w:r>
      <w:r w:rsidRPr="00B34368">
        <w:rPr>
          <w:rFonts w:eastAsiaTheme="minorEastAsia"/>
          <w:color w:val="000000" w:themeColor="text1"/>
          <w:sz w:val="24"/>
        </w:rPr>
        <w:t>。基金运作层面，报告期内，本基金严守基金合同认真对待投资者申购、赎回以及成分股调整事项，保障基金的正常运作，基金跟踪误差以及日均偏离度等指标控制在合同规定范围之内。</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截至报告期末，本基金</w:t>
      </w:r>
      <w:r w:rsidRPr="00B34368">
        <w:rPr>
          <w:rFonts w:eastAsiaTheme="minorEastAsia"/>
          <w:color w:val="000000" w:themeColor="text1"/>
          <w:sz w:val="24"/>
        </w:rPr>
        <w:t>A</w:t>
      </w:r>
      <w:r w:rsidRPr="00B34368">
        <w:rPr>
          <w:rFonts w:eastAsiaTheme="minorEastAsia"/>
          <w:color w:val="000000" w:themeColor="text1"/>
          <w:sz w:val="24"/>
        </w:rPr>
        <w:t>类基金份额净值为</w:t>
      </w:r>
      <w:r w:rsidRPr="00B34368">
        <w:rPr>
          <w:rFonts w:eastAsiaTheme="minorEastAsia"/>
          <w:color w:val="000000" w:themeColor="text1"/>
          <w:sz w:val="24"/>
        </w:rPr>
        <w:t>1.3155</w:t>
      </w:r>
      <w:r w:rsidRPr="00B34368">
        <w:rPr>
          <w:rFonts w:eastAsiaTheme="minorEastAsia"/>
          <w:color w:val="000000" w:themeColor="text1"/>
          <w:sz w:val="24"/>
        </w:rPr>
        <w:t>元，本报告期份额净值增长率为</w:t>
      </w:r>
      <w:r w:rsidRPr="00B34368">
        <w:rPr>
          <w:rFonts w:eastAsiaTheme="minorEastAsia"/>
          <w:color w:val="000000" w:themeColor="text1"/>
          <w:sz w:val="24"/>
        </w:rPr>
        <w:t>-1.54%</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类基金份额净值为</w:t>
      </w:r>
      <w:r w:rsidRPr="00B34368">
        <w:rPr>
          <w:rFonts w:eastAsiaTheme="minorEastAsia"/>
          <w:color w:val="000000" w:themeColor="text1"/>
          <w:sz w:val="24"/>
        </w:rPr>
        <w:t>1.3503</w:t>
      </w:r>
      <w:r w:rsidRPr="00B34368">
        <w:rPr>
          <w:rFonts w:eastAsiaTheme="minorEastAsia"/>
          <w:color w:val="000000" w:themeColor="text1"/>
          <w:sz w:val="24"/>
        </w:rPr>
        <w:t>元，本报告期份额净值增长率为</w:t>
      </w:r>
      <w:r w:rsidRPr="00B34368">
        <w:rPr>
          <w:rFonts w:eastAsiaTheme="minorEastAsia"/>
          <w:color w:val="000000" w:themeColor="text1"/>
          <w:sz w:val="24"/>
        </w:rPr>
        <w:t>-1.62%</w:t>
      </w:r>
      <w:r w:rsidRPr="00B34368">
        <w:rPr>
          <w:rFonts w:eastAsiaTheme="minorEastAsia"/>
          <w:color w:val="000000" w:themeColor="text1"/>
          <w:sz w:val="24"/>
        </w:rPr>
        <w:t>；同期业绩比较基准收益率为</w:t>
      </w:r>
      <w:r w:rsidRPr="00B34368">
        <w:rPr>
          <w:rFonts w:eastAsiaTheme="minorEastAsia"/>
          <w:color w:val="000000" w:themeColor="text1"/>
          <w:sz w:val="24"/>
        </w:rPr>
        <w:t>-3.45%</w:t>
      </w:r>
      <w:r w:rsidRPr="00B34368">
        <w:rPr>
          <w:rFonts w:eastAsiaTheme="minorEastAsia"/>
          <w:color w:val="000000" w:themeColor="text1"/>
          <w:sz w:val="24"/>
        </w:rPr>
        <w:t>。年化跟踪误差</w:t>
      </w:r>
      <w:r w:rsidRPr="00B34368">
        <w:rPr>
          <w:rFonts w:eastAsiaTheme="minorEastAsia"/>
          <w:color w:val="000000" w:themeColor="text1"/>
          <w:sz w:val="24"/>
        </w:rPr>
        <w:t>1.06%</w:t>
      </w:r>
      <w:r w:rsidRPr="00B34368">
        <w:rPr>
          <w:rFonts w:eastAsiaTheme="minorEastAsia"/>
          <w:color w:val="000000" w:themeColor="text1"/>
          <w:sz w:val="24"/>
        </w:rPr>
        <w:t>，在合同规定的目标控制范围之内。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lastRenderedPageBreak/>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198,227,972.81</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94.21</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11,839,691.53</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5.63</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340,508.84</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0.16</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210,408,173.18</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706"/>
        <w:gridCol w:w="1986"/>
        <w:gridCol w:w="707"/>
        <w:gridCol w:w="1579"/>
        <w:gridCol w:w="1226"/>
        <w:gridCol w:w="1716"/>
        <w:gridCol w:w="1008"/>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435009">
        <w:tc>
          <w:tcPr>
            <w:tcW w:w="0" w:type="auto"/>
            <w:vAlign w:val="center"/>
          </w:tcPr>
          <w:p w:rsidR="00435009" w:rsidRDefault="00EC2CFD">
            <w:pPr>
              <w:jc w:val="center"/>
            </w:pPr>
            <w:r>
              <w:rPr>
                <w:rFonts w:eastAsiaTheme="minorEastAsia"/>
                <w:color w:val="000000" w:themeColor="text1"/>
                <w:sz w:val="24"/>
              </w:rPr>
              <w:t>1</w:t>
            </w:r>
          </w:p>
        </w:tc>
        <w:tc>
          <w:tcPr>
            <w:tcW w:w="0" w:type="auto"/>
            <w:vAlign w:val="center"/>
          </w:tcPr>
          <w:p w:rsidR="00435009" w:rsidRDefault="00EC2CFD">
            <w:pPr>
              <w:jc w:val="center"/>
            </w:pPr>
            <w:r>
              <w:rPr>
                <w:rFonts w:eastAsiaTheme="minorEastAsia"/>
                <w:color w:val="000000" w:themeColor="text1"/>
                <w:sz w:val="24"/>
              </w:rPr>
              <w:t>易方达上证中盘交易型开放式指数证券投资基金</w:t>
            </w:r>
          </w:p>
        </w:tc>
        <w:tc>
          <w:tcPr>
            <w:tcW w:w="0" w:type="auto"/>
            <w:vAlign w:val="center"/>
          </w:tcPr>
          <w:p w:rsidR="00435009" w:rsidRDefault="00EC2CFD">
            <w:pPr>
              <w:jc w:val="center"/>
            </w:pPr>
            <w:r>
              <w:rPr>
                <w:rFonts w:eastAsiaTheme="minorEastAsia"/>
                <w:color w:val="000000" w:themeColor="text1"/>
                <w:sz w:val="24"/>
              </w:rPr>
              <w:t>股票型</w:t>
            </w:r>
          </w:p>
        </w:tc>
        <w:tc>
          <w:tcPr>
            <w:tcW w:w="0" w:type="auto"/>
            <w:vAlign w:val="center"/>
          </w:tcPr>
          <w:p w:rsidR="00435009" w:rsidRDefault="00EC2CFD">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435009" w:rsidRDefault="00EC2CFD">
            <w:pPr>
              <w:jc w:val="center"/>
            </w:pPr>
            <w:r>
              <w:rPr>
                <w:rFonts w:eastAsiaTheme="minorEastAsia"/>
                <w:color w:val="000000" w:themeColor="text1"/>
                <w:sz w:val="24"/>
              </w:rPr>
              <w:t>易方达基金管理有限公司</w:t>
            </w:r>
          </w:p>
        </w:tc>
        <w:tc>
          <w:tcPr>
            <w:tcW w:w="0" w:type="auto"/>
            <w:vAlign w:val="center"/>
          </w:tcPr>
          <w:p w:rsidR="00435009" w:rsidRDefault="00EC2CFD">
            <w:pPr>
              <w:jc w:val="right"/>
            </w:pPr>
            <w:r>
              <w:rPr>
                <w:rFonts w:eastAsiaTheme="minorEastAsia"/>
                <w:color w:val="000000" w:themeColor="text1"/>
                <w:sz w:val="24"/>
              </w:rPr>
              <w:t>198,227,972.81</w:t>
            </w:r>
          </w:p>
        </w:tc>
        <w:tc>
          <w:tcPr>
            <w:tcW w:w="0" w:type="auto"/>
            <w:vAlign w:val="center"/>
          </w:tcPr>
          <w:p w:rsidR="00435009" w:rsidRDefault="00EC2CFD">
            <w:pPr>
              <w:jc w:val="right"/>
            </w:pPr>
            <w:r>
              <w:rPr>
                <w:rFonts w:eastAsiaTheme="minorEastAsia"/>
                <w:color w:val="000000" w:themeColor="text1"/>
                <w:sz w:val="24"/>
              </w:rPr>
              <w:t>94.57</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lastRenderedPageBreak/>
        <w:t>5.3.1</w:t>
      </w:r>
      <w:r w:rsidRPr="00B34368">
        <w:rPr>
          <w:rFonts w:eastAsiaTheme="minorEastAsia" w:hAnsiTheme="minorEastAsia"/>
          <w:b/>
          <w:color w:val="000000" w:themeColor="text1"/>
          <w:kern w:val="0"/>
          <w:sz w:val="24"/>
        </w:rPr>
        <w:t>报告期末按行业分类的境内股票投资组合</w:t>
      </w:r>
    </w:p>
    <w:p w:rsidR="009238DB" w:rsidRPr="00B34368" w:rsidRDefault="000871DB"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本基金本报告期末未持有境内股票。</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p w:rsidR="009238DB" w:rsidRPr="00B34368" w:rsidRDefault="000871DB"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本基金本报告期末未持有股票。</w:t>
      </w:r>
    </w:p>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p w:rsidR="009238DB" w:rsidRPr="00B34368" w:rsidRDefault="00F21B6D"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p w:rsidR="009238DB" w:rsidRPr="00B34368" w:rsidRDefault="00296E4A"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BA4050" w:rsidRDefault="00BA4050" w:rsidP="00BA405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121C52" w:rsidRDefault="00121C52" w:rsidP="00121C52">
      <w:pPr>
        <w:spacing w:line="360" w:lineRule="auto"/>
        <w:ind w:firstLineChars="200" w:firstLine="480"/>
      </w:pPr>
      <w:r>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5.12.12019</w:t>
      </w:r>
      <w:r w:rsidRPr="00B34368">
        <w:rPr>
          <w:rFonts w:eastAsiaTheme="minorEastAsia"/>
          <w:color w:val="000000" w:themeColor="text1"/>
          <w:sz w:val="24"/>
        </w:rPr>
        <w:t>年</w:t>
      </w:r>
      <w:r w:rsidRPr="00B34368">
        <w:rPr>
          <w:rFonts w:eastAsiaTheme="minorEastAsia"/>
          <w:color w:val="000000" w:themeColor="text1"/>
          <w:sz w:val="24"/>
        </w:rPr>
        <w:t>1</w:t>
      </w:r>
      <w:r w:rsidRPr="00B34368">
        <w:rPr>
          <w:rFonts w:eastAsiaTheme="minorEastAsia"/>
          <w:color w:val="000000" w:themeColor="text1"/>
          <w:sz w:val="24"/>
        </w:rPr>
        <w:t>月</w:t>
      </w:r>
      <w:r w:rsidRPr="00B34368">
        <w:rPr>
          <w:rFonts w:eastAsiaTheme="minorEastAsia"/>
          <w:color w:val="000000" w:themeColor="text1"/>
          <w:sz w:val="24"/>
        </w:rPr>
        <w:t>25</w:t>
      </w:r>
      <w:r w:rsidRPr="00B34368">
        <w:rPr>
          <w:rFonts w:eastAsiaTheme="minorEastAsia"/>
          <w:color w:val="000000" w:themeColor="text1"/>
          <w:sz w:val="24"/>
        </w:rPr>
        <w:t>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w:t>
      </w:r>
      <w:r w:rsidRPr="00B34368">
        <w:rPr>
          <w:rFonts w:eastAsiaTheme="minorEastAsia"/>
          <w:color w:val="000000" w:themeColor="text1"/>
          <w:sz w:val="24"/>
        </w:rPr>
        <w:t>90</w:t>
      </w:r>
      <w:r w:rsidRPr="00B34368">
        <w:rPr>
          <w:rFonts w:eastAsiaTheme="minorEastAsia"/>
          <w:color w:val="000000" w:themeColor="text1"/>
          <w:sz w:val="24"/>
        </w:rPr>
        <w:t>万元行政罚款。</w:t>
      </w:r>
    </w:p>
    <w:p w:rsidR="00435009" w:rsidRDefault="00EC2CFD">
      <w:pPr>
        <w:widowControl/>
        <w:spacing w:line="360" w:lineRule="auto"/>
        <w:rPr>
          <w:rFonts w:eastAsiaTheme="minorEastAsia"/>
          <w:color w:val="000000" w:themeColor="text1"/>
          <w:sz w:val="24"/>
        </w:rPr>
      </w:pPr>
      <w:r>
        <w:rPr>
          <w:rFonts w:eastAsiaTheme="minorEastAsia"/>
          <w:color w:val="000000" w:themeColor="text1"/>
          <w:sz w:val="24"/>
        </w:rPr>
        <w:lastRenderedPageBreak/>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w:t>
      </w:r>
      <w:r>
        <w:rPr>
          <w:rFonts w:eastAsiaTheme="minorEastAsia"/>
          <w:color w:val="000000" w:themeColor="text1"/>
          <w:sz w:val="24"/>
        </w:rPr>
        <w:t>3</w:t>
      </w:r>
      <w:r>
        <w:rPr>
          <w:rFonts w:eastAsiaTheme="minorEastAsia"/>
          <w:color w:val="000000" w:themeColor="text1"/>
          <w:sz w:val="24"/>
        </w:rPr>
        <w:t>日，北京银保监局对北京银行股份有限公司个人消费贷款被挪用于支付购房首付款或投资股权、个别个人商办用房贷款违反房地产调控政策、同业投资通过信托通道违规发放土地储备贷款的行为的违法违规事实，责令改正，并处罚款</w:t>
      </w:r>
      <w:r>
        <w:rPr>
          <w:rFonts w:eastAsiaTheme="minorEastAsia"/>
          <w:color w:val="000000" w:themeColor="text1"/>
          <w:sz w:val="24"/>
        </w:rPr>
        <w:t>110</w:t>
      </w:r>
      <w:r>
        <w:rPr>
          <w:rFonts w:eastAsiaTheme="minorEastAsia"/>
          <w:color w:val="000000" w:themeColor="text1"/>
          <w:sz w:val="24"/>
        </w:rPr>
        <w:t>万元人民币。</w:t>
      </w:r>
    </w:p>
    <w:p w:rsidR="00435009" w:rsidRDefault="00EC2CFD">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日，北京银保监局对北京银行股份有限公司员工大额消费贷款违规行为长期未有效整改、同业业务专营部门制改革不到位、同业投资违规接受第三方金融机构信用担保的违法违规事实，责令改正，并给予合计</w:t>
      </w:r>
      <w:r>
        <w:rPr>
          <w:rFonts w:eastAsiaTheme="minorEastAsia"/>
          <w:color w:val="000000" w:themeColor="text1"/>
          <w:sz w:val="24"/>
        </w:rPr>
        <w:t>100</w:t>
      </w:r>
      <w:r>
        <w:rPr>
          <w:rFonts w:eastAsiaTheme="minorEastAsia"/>
          <w:color w:val="000000" w:themeColor="text1"/>
          <w:sz w:val="24"/>
        </w:rPr>
        <w:t>万元罚款的行政处罚。</w:t>
      </w:r>
    </w:p>
    <w:p w:rsidR="00435009" w:rsidRDefault="00EC2CFD">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28</w:t>
      </w:r>
      <w:r>
        <w:rPr>
          <w:rFonts w:eastAsiaTheme="minorEastAsia"/>
          <w:color w:val="000000" w:themeColor="text1"/>
          <w:sz w:val="24"/>
        </w:rPr>
        <w:t>日，宁波银保监局对华夏银行</w:t>
      </w:r>
      <w:r>
        <w:rPr>
          <w:rFonts w:eastAsiaTheme="minorEastAsia"/>
          <w:color w:val="000000" w:themeColor="text1"/>
          <w:sz w:val="24"/>
        </w:rPr>
        <w:t>股份有限公司信用卡中心信用卡业务管理严重不审慎的违法违规事实，罚款人民币</w:t>
      </w:r>
      <w:r>
        <w:rPr>
          <w:rFonts w:eastAsiaTheme="minorEastAsia"/>
          <w:color w:val="000000" w:themeColor="text1"/>
          <w:sz w:val="24"/>
        </w:rPr>
        <w:t>30</w:t>
      </w:r>
      <w:r>
        <w:rPr>
          <w:rFonts w:eastAsiaTheme="minorEastAsia"/>
          <w:color w:val="000000" w:themeColor="text1"/>
          <w:sz w:val="24"/>
        </w:rPr>
        <w:t>万元。</w:t>
      </w:r>
    </w:p>
    <w:p w:rsidR="00435009" w:rsidRDefault="00EC2CFD">
      <w:pPr>
        <w:widowControl/>
        <w:spacing w:line="360" w:lineRule="auto"/>
        <w:rPr>
          <w:rFonts w:eastAsiaTheme="minorEastAsia"/>
          <w:color w:val="000000" w:themeColor="text1"/>
          <w:sz w:val="24"/>
        </w:rPr>
      </w:pPr>
      <w:r>
        <w:rPr>
          <w:rFonts w:eastAsiaTheme="minorEastAsia"/>
          <w:color w:val="000000" w:themeColor="text1"/>
          <w:sz w:val="24"/>
        </w:rPr>
        <w:t>本基金为目标</w:t>
      </w:r>
      <w:r>
        <w:rPr>
          <w:rFonts w:eastAsiaTheme="minorEastAsia"/>
          <w:color w:val="000000" w:themeColor="text1"/>
          <w:sz w:val="24"/>
        </w:rPr>
        <w:t>ETF</w:t>
      </w:r>
      <w:r>
        <w:rPr>
          <w:rFonts w:eastAsiaTheme="minorEastAsia"/>
          <w:color w:val="000000" w:themeColor="text1"/>
          <w:sz w:val="24"/>
        </w:rPr>
        <w:t>的联接基金，上述股票系标的指数成份股，上述股票的投资决策程序符合公司投资制度的规定。除江苏银行、北京银行、华夏银行外，本基金目标</w:t>
      </w:r>
      <w:r>
        <w:rPr>
          <w:rFonts w:eastAsiaTheme="minorEastAsia"/>
          <w:color w:val="000000" w:themeColor="text1"/>
          <w:sz w:val="24"/>
        </w:rPr>
        <w:t>ETF</w:t>
      </w:r>
      <w:r>
        <w:rPr>
          <w:rFonts w:eastAsiaTheme="minorEastAsia"/>
          <w:color w:val="000000" w:themeColor="text1"/>
          <w:sz w:val="24"/>
        </w:rPr>
        <w:t>投资的前十名证券的发行主体本期没有出现被监管部门立案调查，或在报告编制日前一年内受到公开谴责、处罚的情形。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本基金本报告期末未持有股票。</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8,524.14</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2,246.32</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329,738.38</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340,508.84</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lastRenderedPageBreak/>
        <w:t>5.12.5</w:t>
      </w:r>
      <w:r w:rsidRPr="00B34368">
        <w:rPr>
          <w:rFonts w:eastAsiaTheme="minorEastAsia" w:hAnsiTheme="minorEastAsia"/>
          <w:b/>
          <w:bCs/>
          <w:color w:val="000000" w:themeColor="text1"/>
          <w:sz w:val="24"/>
        </w:rPr>
        <w:t>报告期末前十名股票中存在流通受限情况的说明</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本基金本报告期末未持有股票。</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易方达上证中盘</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178,906,723.49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2,854,362.37</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12,516,094.81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4,442,071.77</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35,981,822.44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3,493,350.66</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155,440,995.86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3,803,083.48</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中国证监会核准易方达上证中盘交易型开放式指数证券投资基金联接基金募集的文件；</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《易方达上证中盘交易型开放式指数证券投资基金联接基金基金合同》；</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《易方达基金管理有限公司开放式基金业务规则》；</w:t>
      </w:r>
    </w:p>
    <w:p w:rsidR="00435009" w:rsidRDefault="00EC2CFD">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《易方达上证中盘交易型开放式指数证券投资基金联接基金托管协议》；</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基金管理人业务资格批件和营业执照。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lastRenderedPageBreak/>
        <w:t>8.2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44" w:rsidRDefault="00807744">
      <w:r>
        <w:separator/>
      </w:r>
    </w:p>
  </w:endnote>
  <w:endnote w:type="continuationSeparator" w:id="0">
    <w:p w:rsidR="00807744" w:rsidRDefault="0080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EC2CFD">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EC2CFD">
      <w:rPr>
        <w:noProof/>
        <w:kern w:val="0"/>
        <w:szCs w:val="21"/>
      </w:rPr>
      <w:t>3</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EC2CFD">
      <w:rPr>
        <w:rStyle w:val="a7"/>
        <w:noProof/>
      </w:rPr>
      <w:t>14</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44" w:rsidRDefault="00807744">
      <w:r>
        <w:separator/>
      </w:r>
    </w:p>
  </w:footnote>
  <w:footnote w:type="continuationSeparator" w:id="0">
    <w:p w:rsidR="00807744" w:rsidRDefault="00807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易方达上证中盘交易型开放式指数证券投资基金联接基金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2972"/>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C52"/>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72F8"/>
    <w:rsid w:val="00296E4A"/>
    <w:rsid w:val="002976E5"/>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35009"/>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B711B"/>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744"/>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4050"/>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5579"/>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CFD"/>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64FA"/>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EF8D8D5-3DAF-4E4F-8779-7446F462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339739004">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737899657">
      <w:bodyDiv w:val="1"/>
      <w:marLeft w:val="0"/>
      <w:marRight w:val="0"/>
      <w:marTop w:val="0"/>
      <w:marBottom w:val="0"/>
      <w:divBdr>
        <w:top w:val="none" w:sz="0" w:space="0" w:color="auto"/>
        <w:left w:val="none" w:sz="0" w:space="0" w:color="auto"/>
        <w:bottom w:val="none" w:sz="0" w:space="0" w:color="auto"/>
        <w:right w:val="none" w:sz="0" w:space="0" w:color="auto"/>
      </w:divBdr>
    </w:div>
    <w:div w:id="797577160">
      <w:bodyDiv w:val="1"/>
      <w:marLeft w:val="0"/>
      <w:marRight w:val="0"/>
      <w:marTop w:val="0"/>
      <w:marBottom w:val="0"/>
      <w:divBdr>
        <w:top w:val="none" w:sz="0" w:space="0" w:color="auto"/>
        <w:left w:val="none" w:sz="0" w:space="0" w:color="auto"/>
        <w:bottom w:val="none" w:sz="0" w:space="0" w:color="auto"/>
        <w:right w:val="none" w:sz="0" w:space="0" w:color="auto"/>
      </w:divBdr>
    </w:div>
    <w:div w:id="910700266">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47105353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E681-1F36-4C87-8DC3-8B5F7F79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43</TotalTime>
  <Pages>3</Pages>
  <Words>1066</Words>
  <Characters>6081</Characters>
  <Application>Microsoft Office Word</Application>
  <DocSecurity>0</DocSecurity>
  <Lines>50</Lines>
  <Paragraphs>14</Paragraphs>
  <ScaleCrop>false</ScaleCrop>
  <Company>TRT. Ltd. Co.</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48</cp:revision>
  <cp:lastPrinted>2019-10-16T13:56:00Z</cp:lastPrinted>
  <dcterms:created xsi:type="dcterms:W3CDTF">2014-12-16T08:49:00Z</dcterms:created>
  <dcterms:modified xsi:type="dcterms:W3CDTF">2019-10-16T13:56:00Z</dcterms:modified>
</cp:coreProperties>
</file>