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易方达行业领先企业混合型证券投资基金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中国工商银行股份有限公司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DE47F0" w:rsidRDefault="000467D4">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DE47F0" w:rsidRDefault="000467D4">
      <w:pPr>
        <w:spacing w:line="360" w:lineRule="auto"/>
        <w:ind w:firstLineChars="200" w:firstLine="480"/>
        <w:rPr>
          <w:color w:val="000000"/>
          <w:sz w:val="24"/>
          <w:szCs w:val="24"/>
        </w:rPr>
      </w:pPr>
      <w:r>
        <w:rPr>
          <w:color w:val="000000"/>
          <w:sz w:val="24"/>
          <w:szCs w:val="24"/>
        </w:rPr>
        <w:t>基金托管人中国工商银行股份有限公司根据本基金合同规定，于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DE47F0" w:rsidRDefault="000467D4">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DE47F0" w:rsidRDefault="000467D4">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DE47F0" w:rsidRDefault="000467D4">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易方达行业领先混合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110015</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110015</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2009</w:t>
            </w:r>
            <w:r w:rsidRPr="00232B03">
              <w:rPr>
                <w:color w:val="000000"/>
                <w:kern w:val="0"/>
                <w:sz w:val="24"/>
                <w:szCs w:val="24"/>
              </w:rPr>
              <w:t>年</w:t>
            </w:r>
            <w:r w:rsidRPr="00232B03">
              <w:rPr>
                <w:color w:val="000000"/>
                <w:kern w:val="0"/>
                <w:sz w:val="24"/>
                <w:szCs w:val="24"/>
              </w:rPr>
              <w:t>3</w:t>
            </w:r>
            <w:r w:rsidRPr="00232B03">
              <w:rPr>
                <w:color w:val="000000"/>
                <w:kern w:val="0"/>
                <w:sz w:val="24"/>
                <w:szCs w:val="24"/>
              </w:rPr>
              <w:t>月</w:t>
            </w:r>
            <w:r w:rsidRPr="00232B03">
              <w:rPr>
                <w:color w:val="000000"/>
                <w:kern w:val="0"/>
                <w:sz w:val="24"/>
                <w:szCs w:val="24"/>
              </w:rPr>
              <w:t>26</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362,539,488.81</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在优化行业资产配置的基础上，从行业领先企业中精选行业龙头与高成长企业进行投资，力求基金资产的长期增值。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在行业配置的基础上，本基金将从各细分行业中选择行业领先企业，然后从行业领先企业中选择行业龙头企业和具有较高成长性的公司，构造股票组合。</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沪深</w:t>
            </w:r>
            <w:r w:rsidRPr="00232B03">
              <w:rPr>
                <w:color w:val="000000"/>
                <w:kern w:val="0"/>
                <w:sz w:val="24"/>
                <w:szCs w:val="24"/>
              </w:rPr>
              <w:t>300</w:t>
            </w:r>
            <w:r w:rsidRPr="00232B03">
              <w:rPr>
                <w:color w:val="000000"/>
                <w:kern w:val="0"/>
                <w:sz w:val="24"/>
                <w:szCs w:val="24"/>
              </w:rPr>
              <w:t>指数收益率</w:t>
            </w:r>
            <w:r w:rsidRPr="00232B03">
              <w:rPr>
                <w:color w:val="000000"/>
                <w:kern w:val="0"/>
                <w:sz w:val="24"/>
                <w:szCs w:val="24"/>
              </w:rPr>
              <w:t>×80%+</w:t>
            </w:r>
            <w:r w:rsidRPr="00232B03">
              <w:rPr>
                <w:color w:val="000000"/>
                <w:kern w:val="0"/>
                <w:sz w:val="24"/>
                <w:szCs w:val="24"/>
              </w:rPr>
              <w:t>中债总指数收益率</w:t>
            </w:r>
            <w:r w:rsidRPr="00232B03">
              <w:rPr>
                <w:color w:val="000000"/>
                <w:kern w:val="0"/>
                <w:sz w:val="24"/>
                <w:szCs w:val="24"/>
              </w:rPr>
              <w:t>×20%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本基金是混合基金，理论上其风险收益水平高于债券基金和货币市场基金，低于股票基金。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中国工商银行股份有限公司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31,420,256.77</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94,510,559.79</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0.2606</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957,436,014.34</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2.641</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DE47F0" w:rsidRDefault="000467D4">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DE47F0">
        <w:tc>
          <w:tcPr>
            <w:tcW w:w="1395" w:type="dxa"/>
            <w:vAlign w:val="center"/>
          </w:tcPr>
          <w:p w:rsidR="00DE47F0" w:rsidRDefault="000467D4">
            <w:pPr>
              <w:jc w:val="left"/>
            </w:pPr>
            <w:r>
              <w:rPr>
                <w:color w:val="000000"/>
                <w:kern w:val="0"/>
                <w:sz w:val="24"/>
                <w:szCs w:val="24"/>
              </w:rPr>
              <w:t>过去三个月</w:t>
            </w:r>
          </w:p>
        </w:tc>
        <w:tc>
          <w:tcPr>
            <w:tcW w:w="1092" w:type="dxa"/>
            <w:vAlign w:val="center"/>
          </w:tcPr>
          <w:p w:rsidR="00DE47F0" w:rsidRDefault="000467D4">
            <w:pPr>
              <w:jc w:val="center"/>
            </w:pPr>
            <w:r>
              <w:rPr>
                <w:color w:val="000000"/>
                <w:kern w:val="0"/>
                <w:sz w:val="24"/>
                <w:szCs w:val="24"/>
              </w:rPr>
              <w:t>11.01%</w:t>
            </w:r>
          </w:p>
        </w:tc>
        <w:tc>
          <w:tcPr>
            <w:tcW w:w="1161" w:type="dxa"/>
            <w:vAlign w:val="center"/>
          </w:tcPr>
          <w:p w:rsidR="00DE47F0" w:rsidRDefault="000467D4">
            <w:pPr>
              <w:jc w:val="center"/>
            </w:pPr>
            <w:r>
              <w:rPr>
                <w:color w:val="000000"/>
                <w:kern w:val="0"/>
                <w:sz w:val="24"/>
                <w:szCs w:val="24"/>
              </w:rPr>
              <w:t>1.10%</w:t>
            </w:r>
          </w:p>
        </w:tc>
        <w:tc>
          <w:tcPr>
            <w:tcW w:w="1181" w:type="dxa"/>
            <w:vAlign w:val="center"/>
          </w:tcPr>
          <w:p w:rsidR="00DE47F0" w:rsidRDefault="000467D4">
            <w:pPr>
              <w:jc w:val="center"/>
            </w:pPr>
            <w:r>
              <w:rPr>
                <w:color w:val="000000"/>
                <w:kern w:val="0"/>
                <w:sz w:val="24"/>
                <w:szCs w:val="24"/>
              </w:rPr>
              <w:t>-0.11%</w:t>
            </w:r>
          </w:p>
        </w:tc>
        <w:tc>
          <w:tcPr>
            <w:tcW w:w="1188" w:type="dxa"/>
            <w:vAlign w:val="center"/>
          </w:tcPr>
          <w:p w:rsidR="00DE47F0" w:rsidRDefault="000467D4">
            <w:pPr>
              <w:jc w:val="center"/>
            </w:pPr>
            <w:r>
              <w:rPr>
                <w:color w:val="000000"/>
                <w:kern w:val="0"/>
                <w:sz w:val="24"/>
                <w:szCs w:val="24"/>
              </w:rPr>
              <w:t>0.76%</w:t>
            </w:r>
          </w:p>
        </w:tc>
        <w:tc>
          <w:tcPr>
            <w:tcW w:w="1199" w:type="dxa"/>
            <w:vAlign w:val="center"/>
          </w:tcPr>
          <w:p w:rsidR="00DE47F0" w:rsidRDefault="000467D4">
            <w:pPr>
              <w:jc w:val="center"/>
            </w:pPr>
            <w:r>
              <w:rPr>
                <w:color w:val="000000"/>
                <w:kern w:val="0"/>
                <w:sz w:val="24"/>
                <w:szCs w:val="24"/>
              </w:rPr>
              <w:t>11.12%</w:t>
            </w:r>
          </w:p>
        </w:tc>
        <w:tc>
          <w:tcPr>
            <w:tcW w:w="1204" w:type="dxa"/>
            <w:vAlign w:val="center"/>
          </w:tcPr>
          <w:p w:rsidR="00DE47F0" w:rsidRDefault="000467D4">
            <w:pPr>
              <w:jc w:val="center"/>
            </w:pPr>
            <w:r>
              <w:rPr>
                <w:color w:val="000000"/>
                <w:kern w:val="0"/>
                <w:sz w:val="24"/>
                <w:szCs w:val="24"/>
              </w:rPr>
              <w:t>0.34%</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易方达行业领先企业混合型证券投资基金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2009</w:t>
      </w:r>
      <w:r w:rsidRPr="0074694E">
        <w:rPr>
          <w:rFonts w:ascii="Times New Roman" w:hAnsi="Times New Roman"/>
          <w:sz w:val="24"/>
          <w:szCs w:val="24"/>
        </w:rPr>
        <w:t>年</w:t>
      </w:r>
      <w:r w:rsidRPr="0074694E">
        <w:rPr>
          <w:rFonts w:ascii="Times New Roman" w:hAnsi="Times New Roman"/>
          <w:sz w:val="24"/>
          <w:szCs w:val="24"/>
        </w:rPr>
        <w:t>3</w:t>
      </w:r>
      <w:r w:rsidRPr="0074694E">
        <w:rPr>
          <w:rFonts w:ascii="Times New Roman" w:hAnsi="Times New Roman"/>
          <w:sz w:val="24"/>
          <w:szCs w:val="24"/>
        </w:rPr>
        <w:t>月</w:t>
      </w:r>
      <w:r w:rsidRPr="0074694E">
        <w:rPr>
          <w:rFonts w:ascii="Times New Roman" w:hAnsi="Times New Roman"/>
          <w:sz w:val="24"/>
          <w:szCs w:val="24"/>
        </w:rPr>
        <w:t>26</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0467D4"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220.31%</w:t>
      </w:r>
      <w:r w:rsidRPr="006C56AA">
        <w:rPr>
          <w:color w:val="000000"/>
          <w:sz w:val="24"/>
          <w:szCs w:val="24"/>
        </w:rPr>
        <w:t>，同期业绩比较基准收益率为</w:t>
      </w:r>
      <w:r w:rsidRPr="006C56AA">
        <w:rPr>
          <w:color w:val="000000"/>
          <w:sz w:val="24"/>
          <w:szCs w:val="24"/>
        </w:rPr>
        <w:t>48.08%</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DE47F0">
        <w:tc>
          <w:tcPr>
            <w:tcW w:w="567" w:type="dxa"/>
            <w:vAlign w:val="center"/>
          </w:tcPr>
          <w:p w:rsidR="00DE47F0" w:rsidRDefault="000467D4">
            <w:pPr>
              <w:jc w:val="center"/>
            </w:pPr>
            <w:r>
              <w:rPr>
                <w:color w:val="000000"/>
                <w:sz w:val="24"/>
              </w:rPr>
              <w:t>冯波</w:t>
            </w:r>
          </w:p>
        </w:tc>
        <w:tc>
          <w:tcPr>
            <w:tcW w:w="2835" w:type="dxa"/>
            <w:vAlign w:val="center"/>
          </w:tcPr>
          <w:p w:rsidR="00DE47F0" w:rsidRDefault="000467D4">
            <w:pPr>
              <w:jc w:val="center"/>
            </w:pPr>
            <w:r>
              <w:rPr>
                <w:color w:val="000000"/>
                <w:sz w:val="24"/>
              </w:rPr>
              <w:t>本基金的基金经理、易方达中盘成长混合型证券投资基金的基金经理、研究部总经理</w:t>
            </w:r>
          </w:p>
        </w:tc>
        <w:tc>
          <w:tcPr>
            <w:tcW w:w="851" w:type="dxa"/>
            <w:vAlign w:val="center"/>
          </w:tcPr>
          <w:p w:rsidR="00DE47F0" w:rsidRDefault="000467D4">
            <w:pPr>
              <w:jc w:val="center"/>
            </w:pPr>
            <w:r>
              <w:rPr>
                <w:color w:val="000000"/>
                <w:sz w:val="24"/>
              </w:rPr>
              <w:t>2010-01-01</w:t>
            </w:r>
          </w:p>
        </w:tc>
        <w:tc>
          <w:tcPr>
            <w:tcW w:w="850" w:type="dxa"/>
            <w:vAlign w:val="center"/>
          </w:tcPr>
          <w:p w:rsidR="00DE47F0" w:rsidRDefault="000467D4">
            <w:pPr>
              <w:jc w:val="center"/>
            </w:pPr>
            <w:r>
              <w:rPr>
                <w:color w:val="000000"/>
                <w:sz w:val="24"/>
              </w:rPr>
              <w:t>-</w:t>
            </w:r>
          </w:p>
        </w:tc>
        <w:tc>
          <w:tcPr>
            <w:tcW w:w="851" w:type="dxa"/>
            <w:vAlign w:val="center"/>
          </w:tcPr>
          <w:p w:rsidR="00DE47F0" w:rsidRDefault="000467D4">
            <w:pPr>
              <w:jc w:val="center"/>
            </w:pPr>
            <w:r>
              <w:rPr>
                <w:color w:val="000000"/>
                <w:sz w:val="24"/>
              </w:rPr>
              <w:t>18</w:t>
            </w:r>
            <w:r>
              <w:rPr>
                <w:color w:val="000000"/>
                <w:sz w:val="24"/>
              </w:rPr>
              <w:t>年</w:t>
            </w:r>
          </w:p>
        </w:tc>
        <w:tc>
          <w:tcPr>
            <w:tcW w:w="2977" w:type="dxa"/>
            <w:vAlign w:val="center"/>
          </w:tcPr>
          <w:p w:rsidR="00DE47F0" w:rsidRDefault="000467D4">
            <w:r>
              <w:rPr>
                <w:color w:val="000000"/>
                <w:sz w:val="24"/>
              </w:rPr>
              <w:t>硕士研究生，曾任广东发展银行行员，易方达基金管理有限公司市场拓展部研究员、市场拓展部副经理、市场部大区销售经理、北京分公司副总经理、研究部行业研究员、基金经理助理、研究部总经理助理、研究部副总经理、易方达科汇灵活配置混合型证券投资基金基金经理。</w:t>
            </w:r>
          </w:p>
        </w:tc>
      </w:tr>
    </w:tbl>
    <w:p w:rsidR="00DE47F0" w:rsidRDefault="000467D4">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DE47F0" w:rsidRDefault="000467D4">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DE47F0" w:rsidRDefault="000467D4">
      <w:pPr>
        <w:spacing w:line="360" w:lineRule="auto"/>
        <w:ind w:firstLineChars="200" w:firstLine="480"/>
        <w:rPr>
          <w:color w:val="000000"/>
          <w:sz w:val="24"/>
          <w:szCs w:val="24"/>
        </w:rPr>
      </w:pPr>
      <w:r>
        <w:rPr>
          <w:color w:val="000000"/>
          <w:sz w:val="24"/>
          <w:szCs w:val="24"/>
        </w:rPr>
        <w:t>三季度，国内外政治、经济环境继续呈现较大的不确定性。全球主要经济体经济数据疲软，货币政策由紧转松。中美贸易谈判一波三折，民粹主义在全球政治生态中影响持续扩大，经济全球化趋势面临严峻挑战。国内经济数据仍然较弱，房地产投资韧性较强，但调控力度持续加大；基建投资略有回升，制造业投资则面临较大压力，政府逆周期调节政策也进一步加大力度。从资本主场来看，</w:t>
      </w:r>
      <w:r>
        <w:rPr>
          <w:color w:val="000000"/>
          <w:sz w:val="24"/>
          <w:szCs w:val="24"/>
        </w:rPr>
        <w:t>A</w:t>
      </w:r>
      <w:r>
        <w:rPr>
          <w:color w:val="000000"/>
          <w:sz w:val="24"/>
          <w:szCs w:val="24"/>
        </w:rPr>
        <w:t>股市场整体表现较弱。截止季末，上证综指收于</w:t>
      </w:r>
      <w:r>
        <w:rPr>
          <w:color w:val="000000"/>
          <w:sz w:val="24"/>
          <w:szCs w:val="24"/>
        </w:rPr>
        <w:t>2905</w:t>
      </w:r>
      <w:r>
        <w:rPr>
          <w:color w:val="000000"/>
          <w:sz w:val="24"/>
          <w:szCs w:val="24"/>
        </w:rPr>
        <w:t>点，下跌</w:t>
      </w:r>
      <w:r>
        <w:rPr>
          <w:color w:val="000000"/>
          <w:sz w:val="24"/>
          <w:szCs w:val="24"/>
        </w:rPr>
        <w:t>2.47%</w:t>
      </w:r>
      <w:r>
        <w:rPr>
          <w:color w:val="000000"/>
          <w:sz w:val="24"/>
          <w:szCs w:val="24"/>
        </w:rPr>
        <w:t>。随着</w:t>
      </w:r>
      <w:r>
        <w:rPr>
          <w:color w:val="000000"/>
          <w:sz w:val="24"/>
          <w:szCs w:val="24"/>
        </w:rPr>
        <w:t>5G</w:t>
      </w:r>
      <w:r>
        <w:rPr>
          <w:color w:val="000000"/>
          <w:sz w:val="24"/>
          <w:szCs w:val="24"/>
        </w:rPr>
        <w:t>投资力度加大，投资者对相关行业预期乐观，通讯、电子等表现强势；受益于国产替代和自主可控进</w:t>
      </w:r>
      <w:r>
        <w:rPr>
          <w:color w:val="000000"/>
          <w:sz w:val="24"/>
          <w:szCs w:val="24"/>
        </w:rPr>
        <w:t>程，半导体、软件等行业涨幅巨大。这些因素共同导致中小市值公司表现相对较好。三季度，创业板指数收于</w:t>
      </w:r>
      <w:r>
        <w:rPr>
          <w:color w:val="000000"/>
          <w:sz w:val="24"/>
          <w:szCs w:val="24"/>
        </w:rPr>
        <w:t>1628</w:t>
      </w:r>
      <w:r>
        <w:rPr>
          <w:color w:val="000000"/>
          <w:sz w:val="24"/>
          <w:szCs w:val="24"/>
        </w:rPr>
        <w:t>点，涨幅达</w:t>
      </w:r>
      <w:r>
        <w:rPr>
          <w:color w:val="000000"/>
          <w:sz w:val="24"/>
          <w:szCs w:val="24"/>
        </w:rPr>
        <w:t>7.68%</w:t>
      </w:r>
      <w:r>
        <w:rPr>
          <w:color w:val="000000"/>
          <w:sz w:val="24"/>
          <w:szCs w:val="24"/>
        </w:rPr>
        <w:t>。</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基于上述变化，本基金三季度在资产配置上，保持了相对灵活的股票仓位，根据市场变化适当调整股票投资比例。在保持前期家电、金融、白酒、新能源发电、消费电子、医药等行业配置的基础上，进一步增加了软件、免税、消费电子的配置。个股方面，继续坚持配置核心竞争力强、成长性突出、与国际市场相比有较大低估的个股。同时，对一些涨幅较大、估值水平过高的个股行减持。</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2.641</w:t>
      </w:r>
      <w:r w:rsidRPr="006C56AA">
        <w:rPr>
          <w:color w:val="000000"/>
          <w:sz w:val="24"/>
          <w:szCs w:val="24"/>
        </w:rPr>
        <w:t>元，本报告期份额净值增长率为</w:t>
      </w:r>
      <w:r w:rsidRPr="006C56AA">
        <w:rPr>
          <w:color w:val="000000"/>
          <w:sz w:val="24"/>
          <w:szCs w:val="24"/>
        </w:rPr>
        <w:t>11.01%</w:t>
      </w:r>
      <w:r w:rsidRPr="006C56AA">
        <w:rPr>
          <w:color w:val="000000"/>
          <w:sz w:val="24"/>
          <w:szCs w:val="24"/>
        </w:rPr>
        <w:t>，同期业绩比较基准收益率为</w:t>
      </w:r>
      <w:r w:rsidRPr="006C56AA">
        <w:rPr>
          <w:color w:val="000000"/>
          <w:sz w:val="24"/>
          <w:szCs w:val="24"/>
        </w:rPr>
        <w:t>-0.11%</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869,595,665.51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90.39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869,595,665.51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90.39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29,988,000.00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3.12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29,988,000.00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3.12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59,308,752.72</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6.16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3,170,611.04</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0.33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962,063,029.27</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694,742,091.85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72.56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17,960,000.00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1.88</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24,291,107.46</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2.54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88,733,266.20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9.27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21,477,200.00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2.24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22,392,000.00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2.34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869,595,665.51</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90.83</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DE47F0">
        <w:tc>
          <w:tcPr>
            <w:tcW w:w="851" w:type="dxa"/>
            <w:vAlign w:val="center"/>
          </w:tcPr>
          <w:p w:rsidR="00DE47F0" w:rsidRDefault="000467D4">
            <w:pPr>
              <w:jc w:val="center"/>
            </w:pPr>
            <w:r>
              <w:rPr>
                <w:color w:val="000000"/>
                <w:kern w:val="0"/>
                <w:sz w:val="24"/>
                <w:szCs w:val="24"/>
              </w:rPr>
              <w:t>1</w:t>
            </w:r>
          </w:p>
        </w:tc>
        <w:tc>
          <w:tcPr>
            <w:tcW w:w="1276" w:type="dxa"/>
            <w:vAlign w:val="center"/>
          </w:tcPr>
          <w:p w:rsidR="00DE47F0" w:rsidRDefault="000467D4">
            <w:pPr>
              <w:jc w:val="center"/>
            </w:pPr>
            <w:r>
              <w:rPr>
                <w:color w:val="000000"/>
                <w:kern w:val="0"/>
                <w:sz w:val="24"/>
                <w:szCs w:val="24"/>
              </w:rPr>
              <w:t>000651</w:t>
            </w:r>
          </w:p>
        </w:tc>
        <w:tc>
          <w:tcPr>
            <w:tcW w:w="1418" w:type="dxa"/>
            <w:vAlign w:val="center"/>
          </w:tcPr>
          <w:p w:rsidR="00DE47F0" w:rsidRDefault="000467D4">
            <w:pPr>
              <w:jc w:val="center"/>
            </w:pPr>
            <w:r>
              <w:rPr>
                <w:color w:val="000000"/>
                <w:kern w:val="0"/>
                <w:sz w:val="24"/>
                <w:szCs w:val="24"/>
              </w:rPr>
              <w:t>格力电器</w:t>
            </w:r>
          </w:p>
        </w:tc>
        <w:tc>
          <w:tcPr>
            <w:tcW w:w="1701" w:type="dxa"/>
            <w:vAlign w:val="center"/>
          </w:tcPr>
          <w:p w:rsidR="00DE47F0" w:rsidRDefault="000467D4">
            <w:pPr>
              <w:jc w:val="right"/>
            </w:pPr>
            <w:r>
              <w:rPr>
                <w:color w:val="000000"/>
                <w:kern w:val="0"/>
                <w:sz w:val="24"/>
                <w:szCs w:val="24"/>
              </w:rPr>
              <w:t>1,500,000</w:t>
            </w:r>
          </w:p>
        </w:tc>
        <w:tc>
          <w:tcPr>
            <w:tcW w:w="1984" w:type="dxa"/>
            <w:vAlign w:val="center"/>
          </w:tcPr>
          <w:p w:rsidR="00DE47F0" w:rsidRDefault="000467D4">
            <w:pPr>
              <w:jc w:val="right"/>
            </w:pPr>
            <w:r>
              <w:rPr>
                <w:color w:val="000000"/>
                <w:kern w:val="0"/>
                <w:sz w:val="24"/>
                <w:szCs w:val="24"/>
              </w:rPr>
              <w:t>85,950,000.00</w:t>
            </w:r>
          </w:p>
        </w:tc>
        <w:tc>
          <w:tcPr>
            <w:tcW w:w="1559" w:type="dxa"/>
            <w:vAlign w:val="center"/>
          </w:tcPr>
          <w:p w:rsidR="00DE47F0" w:rsidRDefault="000467D4">
            <w:pPr>
              <w:jc w:val="right"/>
            </w:pPr>
            <w:r>
              <w:rPr>
                <w:color w:val="000000"/>
                <w:kern w:val="0"/>
                <w:sz w:val="24"/>
                <w:szCs w:val="24"/>
              </w:rPr>
              <w:t>8.98</w:t>
            </w:r>
          </w:p>
        </w:tc>
      </w:tr>
      <w:tr w:rsidR="00DE47F0">
        <w:tc>
          <w:tcPr>
            <w:tcW w:w="851" w:type="dxa"/>
            <w:vAlign w:val="center"/>
          </w:tcPr>
          <w:p w:rsidR="00DE47F0" w:rsidRDefault="000467D4">
            <w:pPr>
              <w:jc w:val="center"/>
            </w:pPr>
            <w:r>
              <w:rPr>
                <w:color w:val="000000"/>
                <w:kern w:val="0"/>
                <w:sz w:val="24"/>
                <w:szCs w:val="24"/>
              </w:rPr>
              <w:t>2</w:t>
            </w:r>
          </w:p>
        </w:tc>
        <w:tc>
          <w:tcPr>
            <w:tcW w:w="1276" w:type="dxa"/>
            <w:vAlign w:val="center"/>
          </w:tcPr>
          <w:p w:rsidR="00DE47F0" w:rsidRDefault="000467D4">
            <w:pPr>
              <w:jc w:val="center"/>
            </w:pPr>
            <w:r>
              <w:rPr>
                <w:color w:val="000000"/>
                <w:kern w:val="0"/>
                <w:sz w:val="24"/>
                <w:szCs w:val="24"/>
              </w:rPr>
              <w:t>600519</w:t>
            </w:r>
          </w:p>
        </w:tc>
        <w:tc>
          <w:tcPr>
            <w:tcW w:w="1418" w:type="dxa"/>
            <w:vAlign w:val="center"/>
          </w:tcPr>
          <w:p w:rsidR="00DE47F0" w:rsidRDefault="000467D4">
            <w:pPr>
              <w:jc w:val="center"/>
            </w:pPr>
            <w:r>
              <w:rPr>
                <w:color w:val="000000"/>
                <w:kern w:val="0"/>
                <w:sz w:val="24"/>
                <w:szCs w:val="24"/>
              </w:rPr>
              <w:t>贵州茅台</w:t>
            </w:r>
          </w:p>
        </w:tc>
        <w:tc>
          <w:tcPr>
            <w:tcW w:w="1701" w:type="dxa"/>
            <w:vAlign w:val="center"/>
          </w:tcPr>
          <w:p w:rsidR="00DE47F0" w:rsidRDefault="000467D4">
            <w:pPr>
              <w:jc w:val="right"/>
            </w:pPr>
            <w:r>
              <w:rPr>
                <w:color w:val="000000"/>
                <w:kern w:val="0"/>
                <w:sz w:val="24"/>
                <w:szCs w:val="24"/>
              </w:rPr>
              <w:t>70,000</w:t>
            </w:r>
          </w:p>
        </w:tc>
        <w:tc>
          <w:tcPr>
            <w:tcW w:w="1984" w:type="dxa"/>
            <w:vAlign w:val="center"/>
          </w:tcPr>
          <w:p w:rsidR="00DE47F0" w:rsidRDefault="000467D4">
            <w:pPr>
              <w:jc w:val="right"/>
            </w:pPr>
            <w:r>
              <w:rPr>
                <w:color w:val="000000"/>
                <w:kern w:val="0"/>
                <w:sz w:val="24"/>
                <w:szCs w:val="24"/>
              </w:rPr>
              <w:t>80,500,000.00</w:t>
            </w:r>
          </w:p>
        </w:tc>
        <w:tc>
          <w:tcPr>
            <w:tcW w:w="1559" w:type="dxa"/>
            <w:vAlign w:val="center"/>
          </w:tcPr>
          <w:p w:rsidR="00DE47F0" w:rsidRDefault="000467D4">
            <w:pPr>
              <w:jc w:val="right"/>
            </w:pPr>
            <w:r>
              <w:rPr>
                <w:color w:val="000000"/>
                <w:kern w:val="0"/>
                <w:sz w:val="24"/>
                <w:szCs w:val="24"/>
              </w:rPr>
              <w:t>8.41</w:t>
            </w:r>
          </w:p>
        </w:tc>
      </w:tr>
      <w:tr w:rsidR="00DE47F0">
        <w:tc>
          <w:tcPr>
            <w:tcW w:w="851" w:type="dxa"/>
            <w:vAlign w:val="center"/>
          </w:tcPr>
          <w:p w:rsidR="00DE47F0" w:rsidRDefault="000467D4">
            <w:pPr>
              <w:jc w:val="center"/>
            </w:pPr>
            <w:r>
              <w:rPr>
                <w:color w:val="000000"/>
                <w:kern w:val="0"/>
                <w:sz w:val="24"/>
                <w:szCs w:val="24"/>
              </w:rPr>
              <w:t>3</w:t>
            </w:r>
          </w:p>
        </w:tc>
        <w:tc>
          <w:tcPr>
            <w:tcW w:w="1276" w:type="dxa"/>
            <w:vAlign w:val="center"/>
          </w:tcPr>
          <w:p w:rsidR="00DE47F0" w:rsidRDefault="000467D4">
            <w:pPr>
              <w:jc w:val="center"/>
            </w:pPr>
            <w:r>
              <w:rPr>
                <w:color w:val="000000"/>
                <w:kern w:val="0"/>
                <w:sz w:val="24"/>
                <w:szCs w:val="24"/>
              </w:rPr>
              <w:t>601012</w:t>
            </w:r>
          </w:p>
        </w:tc>
        <w:tc>
          <w:tcPr>
            <w:tcW w:w="1418" w:type="dxa"/>
            <w:vAlign w:val="center"/>
          </w:tcPr>
          <w:p w:rsidR="00DE47F0" w:rsidRDefault="000467D4">
            <w:pPr>
              <w:jc w:val="center"/>
            </w:pPr>
            <w:r>
              <w:rPr>
                <w:color w:val="000000"/>
                <w:kern w:val="0"/>
                <w:sz w:val="24"/>
                <w:szCs w:val="24"/>
              </w:rPr>
              <w:t>隆基股份</w:t>
            </w:r>
          </w:p>
        </w:tc>
        <w:tc>
          <w:tcPr>
            <w:tcW w:w="1701" w:type="dxa"/>
            <w:vAlign w:val="center"/>
          </w:tcPr>
          <w:p w:rsidR="00DE47F0" w:rsidRDefault="000467D4">
            <w:pPr>
              <w:jc w:val="right"/>
            </w:pPr>
            <w:r>
              <w:rPr>
                <w:color w:val="000000"/>
                <w:kern w:val="0"/>
                <w:sz w:val="24"/>
                <w:szCs w:val="24"/>
              </w:rPr>
              <w:t>2,367,758</w:t>
            </w:r>
          </w:p>
        </w:tc>
        <w:tc>
          <w:tcPr>
            <w:tcW w:w="1984" w:type="dxa"/>
            <w:vAlign w:val="center"/>
          </w:tcPr>
          <w:p w:rsidR="00DE47F0" w:rsidRDefault="000467D4">
            <w:pPr>
              <w:jc w:val="right"/>
            </w:pPr>
            <w:r>
              <w:rPr>
                <w:color w:val="000000"/>
                <w:kern w:val="0"/>
                <w:sz w:val="24"/>
                <w:szCs w:val="24"/>
              </w:rPr>
              <w:t>62,106,292.34</w:t>
            </w:r>
          </w:p>
        </w:tc>
        <w:tc>
          <w:tcPr>
            <w:tcW w:w="1559" w:type="dxa"/>
            <w:vAlign w:val="center"/>
          </w:tcPr>
          <w:p w:rsidR="00DE47F0" w:rsidRDefault="000467D4">
            <w:pPr>
              <w:jc w:val="right"/>
            </w:pPr>
            <w:r>
              <w:rPr>
                <w:color w:val="000000"/>
                <w:kern w:val="0"/>
                <w:sz w:val="24"/>
                <w:szCs w:val="24"/>
              </w:rPr>
              <w:t>6.49</w:t>
            </w:r>
          </w:p>
        </w:tc>
      </w:tr>
      <w:tr w:rsidR="00DE47F0">
        <w:tc>
          <w:tcPr>
            <w:tcW w:w="851" w:type="dxa"/>
            <w:vAlign w:val="center"/>
          </w:tcPr>
          <w:p w:rsidR="00DE47F0" w:rsidRDefault="000467D4">
            <w:pPr>
              <w:jc w:val="center"/>
            </w:pPr>
            <w:r>
              <w:rPr>
                <w:color w:val="000000"/>
                <w:kern w:val="0"/>
                <w:sz w:val="24"/>
                <w:szCs w:val="24"/>
              </w:rPr>
              <w:t>4</w:t>
            </w:r>
          </w:p>
        </w:tc>
        <w:tc>
          <w:tcPr>
            <w:tcW w:w="1276" w:type="dxa"/>
            <w:vAlign w:val="center"/>
          </w:tcPr>
          <w:p w:rsidR="00DE47F0" w:rsidRDefault="000467D4">
            <w:pPr>
              <w:jc w:val="center"/>
            </w:pPr>
            <w:r>
              <w:rPr>
                <w:color w:val="000000"/>
                <w:kern w:val="0"/>
                <w:sz w:val="24"/>
                <w:szCs w:val="24"/>
              </w:rPr>
              <w:t>000568</w:t>
            </w:r>
          </w:p>
        </w:tc>
        <w:tc>
          <w:tcPr>
            <w:tcW w:w="1418" w:type="dxa"/>
            <w:vAlign w:val="center"/>
          </w:tcPr>
          <w:p w:rsidR="00DE47F0" w:rsidRDefault="000467D4">
            <w:pPr>
              <w:jc w:val="center"/>
            </w:pPr>
            <w:r>
              <w:rPr>
                <w:color w:val="000000"/>
                <w:kern w:val="0"/>
                <w:sz w:val="24"/>
                <w:szCs w:val="24"/>
              </w:rPr>
              <w:t>泸州老窖</w:t>
            </w:r>
          </w:p>
        </w:tc>
        <w:tc>
          <w:tcPr>
            <w:tcW w:w="1701" w:type="dxa"/>
            <w:vAlign w:val="center"/>
          </w:tcPr>
          <w:p w:rsidR="00DE47F0" w:rsidRDefault="000467D4">
            <w:pPr>
              <w:jc w:val="right"/>
            </w:pPr>
            <w:r>
              <w:rPr>
                <w:color w:val="000000"/>
                <w:kern w:val="0"/>
                <w:sz w:val="24"/>
                <w:szCs w:val="24"/>
              </w:rPr>
              <w:t>700,000</w:t>
            </w:r>
          </w:p>
        </w:tc>
        <w:tc>
          <w:tcPr>
            <w:tcW w:w="1984" w:type="dxa"/>
            <w:vAlign w:val="center"/>
          </w:tcPr>
          <w:p w:rsidR="00DE47F0" w:rsidRDefault="000467D4">
            <w:pPr>
              <w:jc w:val="right"/>
            </w:pPr>
            <w:r>
              <w:rPr>
                <w:color w:val="000000"/>
                <w:kern w:val="0"/>
                <w:sz w:val="24"/>
                <w:szCs w:val="24"/>
              </w:rPr>
              <w:t>59,654,000.00</w:t>
            </w:r>
          </w:p>
        </w:tc>
        <w:tc>
          <w:tcPr>
            <w:tcW w:w="1559" w:type="dxa"/>
            <w:vAlign w:val="center"/>
          </w:tcPr>
          <w:p w:rsidR="00DE47F0" w:rsidRDefault="000467D4">
            <w:pPr>
              <w:jc w:val="right"/>
            </w:pPr>
            <w:r>
              <w:rPr>
                <w:color w:val="000000"/>
                <w:kern w:val="0"/>
                <w:sz w:val="24"/>
                <w:szCs w:val="24"/>
              </w:rPr>
              <w:t>6.23</w:t>
            </w:r>
          </w:p>
        </w:tc>
      </w:tr>
      <w:tr w:rsidR="00DE47F0">
        <w:tc>
          <w:tcPr>
            <w:tcW w:w="851" w:type="dxa"/>
            <w:vAlign w:val="center"/>
          </w:tcPr>
          <w:p w:rsidR="00DE47F0" w:rsidRDefault="000467D4">
            <w:pPr>
              <w:jc w:val="center"/>
            </w:pPr>
            <w:r>
              <w:rPr>
                <w:color w:val="000000"/>
                <w:kern w:val="0"/>
                <w:sz w:val="24"/>
                <w:szCs w:val="24"/>
              </w:rPr>
              <w:t>5</w:t>
            </w:r>
          </w:p>
        </w:tc>
        <w:tc>
          <w:tcPr>
            <w:tcW w:w="1276" w:type="dxa"/>
            <w:vAlign w:val="center"/>
          </w:tcPr>
          <w:p w:rsidR="00DE47F0" w:rsidRDefault="000467D4">
            <w:pPr>
              <w:jc w:val="center"/>
            </w:pPr>
            <w:r>
              <w:rPr>
                <w:color w:val="000000"/>
                <w:kern w:val="0"/>
                <w:sz w:val="24"/>
                <w:szCs w:val="24"/>
              </w:rPr>
              <w:t>002202</w:t>
            </w:r>
          </w:p>
        </w:tc>
        <w:tc>
          <w:tcPr>
            <w:tcW w:w="1418" w:type="dxa"/>
            <w:vAlign w:val="center"/>
          </w:tcPr>
          <w:p w:rsidR="00DE47F0" w:rsidRDefault="000467D4">
            <w:pPr>
              <w:jc w:val="center"/>
            </w:pPr>
            <w:r>
              <w:rPr>
                <w:color w:val="000000"/>
                <w:kern w:val="0"/>
                <w:sz w:val="24"/>
                <w:szCs w:val="24"/>
              </w:rPr>
              <w:t>金风科技</w:t>
            </w:r>
          </w:p>
        </w:tc>
        <w:tc>
          <w:tcPr>
            <w:tcW w:w="1701" w:type="dxa"/>
            <w:vAlign w:val="center"/>
          </w:tcPr>
          <w:p w:rsidR="00DE47F0" w:rsidRDefault="000467D4">
            <w:pPr>
              <w:jc w:val="right"/>
            </w:pPr>
            <w:r>
              <w:rPr>
                <w:color w:val="000000"/>
                <w:kern w:val="0"/>
                <w:sz w:val="24"/>
                <w:szCs w:val="24"/>
              </w:rPr>
              <w:t>4,500,000</w:t>
            </w:r>
          </w:p>
        </w:tc>
        <w:tc>
          <w:tcPr>
            <w:tcW w:w="1984" w:type="dxa"/>
            <w:vAlign w:val="center"/>
          </w:tcPr>
          <w:p w:rsidR="00DE47F0" w:rsidRDefault="000467D4">
            <w:pPr>
              <w:jc w:val="right"/>
            </w:pPr>
            <w:r>
              <w:rPr>
                <w:color w:val="000000"/>
                <w:kern w:val="0"/>
                <w:sz w:val="24"/>
                <w:szCs w:val="24"/>
              </w:rPr>
              <w:t>56,340,000.00</w:t>
            </w:r>
          </w:p>
        </w:tc>
        <w:tc>
          <w:tcPr>
            <w:tcW w:w="1559" w:type="dxa"/>
            <w:vAlign w:val="center"/>
          </w:tcPr>
          <w:p w:rsidR="00DE47F0" w:rsidRDefault="000467D4">
            <w:pPr>
              <w:jc w:val="right"/>
            </w:pPr>
            <w:r>
              <w:rPr>
                <w:color w:val="000000"/>
                <w:kern w:val="0"/>
                <w:sz w:val="24"/>
                <w:szCs w:val="24"/>
              </w:rPr>
              <w:t>5.88</w:t>
            </w:r>
          </w:p>
        </w:tc>
      </w:tr>
      <w:tr w:rsidR="00DE47F0">
        <w:tc>
          <w:tcPr>
            <w:tcW w:w="851" w:type="dxa"/>
            <w:vAlign w:val="center"/>
          </w:tcPr>
          <w:p w:rsidR="00DE47F0" w:rsidRDefault="000467D4">
            <w:pPr>
              <w:jc w:val="center"/>
            </w:pPr>
            <w:r>
              <w:rPr>
                <w:color w:val="000000"/>
                <w:kern w:val="0"/>
                <w:sz w:val="24"/>
                <w:szCs w:val="24"/>
              </w:rPr>
              <w:t>6</w:t>
            </w:r>
          </w:p>
        </w:tc>
        <w:tc>
          <w:tcPr>
            <w:tcW w:w="1276" w:type="dxa"/>
            <w:vAlign w:val="center"/>
          </w:tcPr>
          <w:p w:rsidR="00DE47F0" w:rsidRDefault="000467D4">
            <w:pPr>
              <w:jc w:val="center"/>
            </w:pPr>
            <w:r>
              <w:rPr>
                <w:color w:val="000000"/>
                <w:kern w:val="0"/>
                <w:sz w:val="24"/>
                <w:szCs w:val="24"/>
              </w:rPr>
              <w:t>600036</w:t>
            </w:r>
          </w:p>
        </w:tc>
        <w:tc>
          <w:tcPr>
            <w:tcW w:w="1418" w:type="dxa"/>
            <w:vAlign w:val="center"/>
          </w:tcPr>
          <w:p w:rsidR="00DE47F0" w:rsidRDefault="000467D4">
            <w:pPr>
              <w:jc w:val="center"/>
            </w:pPr>
            <w:r>
              <w:rPr>
                <w:color w:val="000000"/>
                <w:kern w:val="0"/>
                <w:sz w:val="24"/>
                <w:szCs w:val="24"/>
              </w:rPr>
              <w:t>招商银行</w:t>
            </w:r>
          </w:p>
        </w:tc>
        <w:tc>
          <w:tcPr>
            <w:tcW w:w="1701" w:type="dxa"/>
            <w:vAlign w:val="center"/>
          </w:tcPr>
          <w:p w:rsidR="00DE47F0" w:rsidRDefault="000467D4">
            <w:pPr>
              <w:jc w:val="right"/>
            </w:pPr>
            <w:r>
              <w:rPr>
                <w:color w:val="000000"/>
                <w:kern w:val="0"/>
                <w:sz w:val="24"/>
                <w:szCs w:val="24"/>
              </w:rPr>
              <w:t>1,300,000</w:t>
            </w:r>
          </w:p>
        </w:tc>
        <w:tc>
          <w:tcPr>
            <w:tcW w:w="1984" w:type="dxa"/>
            <w:vAlign w:val="center"/>
          </w:tcPr>
          <w:p w:rsidR="00DE47F0" w:rsidRDefault="000467D4">
            <w:pPr>
              <w:jc w:val="right"/>
            </w:pPr>
            <w:r>
              <w:rPr>
                <w:color w:val="000000"/>
                <w:kern w:val="0"/>
                <w:sz w:val="24"/>
                <w:szCs w:val="24"/>
              </w:rPr>
              <w:t>45,175,000.00</w:t>
            </w:r>
          </w:p>
        </w:tc>
        <w:tc>
          <w:tcPr>
            <w:tcW w:w="1559" w:type="dxa"/>
            <w:vAlign w:val="center"/>
          </w:tcPr>
          <w:p w:rsidR="00DE47F0" w:rsidRDefault="000467D4">
            <w:pPr>
              <w:jc w:val="right"/>
            </w:pPr>
            <w:r>
              <w:rPr>
                <w:color w:val="000000"/>
                <w:kern w:val="0"/>
                <w:sz w:val="24"/>
                <w:szCs w:val="24"/>
              </w:rPr>
              <w:t>4.72</w:t>
            </w:r>
          </w:p>
        </w:tc>
      </w:tr>
      <w:tr w:rsidR="00DE47F0">
        <w:tc>
          <w:tcPr>
            <w:tcW w:w="851" w:type="dxa"/>
            <w:vAlign w:val="center"/>
          </w:tcPr>
          <w:p w:rsidR="00DE47F0" w:rsidRDefault="000467D4">
            <w:pPr>
              <w:jc w:val="center"/>
            </w:pPr>
            <w:r>
              <w:rPr>
                <w:color w:val="000000"/>
                <w:kern w:val="0"/>
                <w:sz w:val="24"/>
                <w:szCs w:val="24"/>
              </w:rPr>
              <w:t>7</w:t>
            </w:r>
          </w:p>
        </w:tc>
        <w:tc>
          <w:tcPr>
            <w:tcW w:w="1276" w:type="dxa"/>
            <w:vAlign w:val="center"/>
          </w:tcPr>
          <w:p w:rsidR="00DE47F0" w:rsidRDefault="000467D4">
            <w:pPr>
              <w:jc w:val="center"/>
            </w:pPr>
            <w:r>
              <w:rPr>
                <w:color w:val="000000"/>
                <w:kern w:val="0"/>
                <w:sz w:val="24"/>
                <w:szCs w:val="24"/>
              </w:rPr>
              <w:t>601318</w:t>
            </w:r>
          </w:p>
        </w:tc>
        <w:tc>
          <w:tcPr>
            <w:tcW w:w="1418" w:type="dxa"/>
            <w:vAlign w:val="center"/>
          </w:tcPr>
          <w:p w:rsidR="00DE47F0" w:rsidRDefault="000467D4">
            <w:pPr>
              <w:jc w:val="center"/>
            </w:pPr>
            <w:r>
              <w:rPr>
                <w:color w:val="000000"/>
                <w:kern w:val="0"/>
                <w:sz w:val="24"/>
                <w:szCs w:val="24"/>
              </w:rPr>
              <w:t>中国平安</w:t>
            </w:r>
          </w:p>
        </w:tc>
        <w:tc>
          <w:tcPr>
            <w:tcW w:w="1701" w:type="dxa"/>
            <w:vAlign w:val="center"/>
          </w:tcPr>
          <w:p w:rsidR="00DE47F0" w:rsidRDefault="000467D4">
            <w:pPr>
              <w:jc w:val="right"/>
            </w:pPr>
            <w:r>
              <w:rPr>
                <w:color w:val="000000"/>
                <w:kern w:val="0"/>
                <w:sz w:val="24"/>
                <w:szCs w:val="24"/>
              </w:rPr>
              <w:t>500,000</w:t>
            </w:r>
          </w:p>
        </w:tc>
        <w:tc>
          <w:tcPr>
            <w:tcW w:w="1984" w:type="dxa"/>
            <w:vAlign w:val="center"/>
          </w:tcPr>
          <w:p w:rsidR="00DE47F0" w:rsidRDefault="000467D4">
            <w:pPr>
              <w:jc w:val="right"/>
            </w:pPr>
            <w:r>
              <w:rPr>
                <w:color w:val="000000"/>
                <w:kern w:val="0"/>
                <w:sz w:val="24"/>
                <w:szCs w:val="24"/>
              </w:rPr>
              <w:t>43,520,000.00</w:t>
            </w:r>
          </w:p>
        </w:tc>
        <w:tc>
          <w:tcPr>
            <w:tcW w:w="1559" w:type="dxa"/>
            <w:vAlign w:val="center"/>
          </w:tcPr>
          <w:p w:rsidR="00DE47F0" w:rsidRDefault="000467D4">
            <w:pPr>
              <w:jc w:val="right"/>
            </w:pPr>
            <w:r>
              <w:rPr>
                <w:color w:val="000000"/>
                <w:kern w:val="0"/>
                <w:sz w:val="24"/>
                <w:szCs w:val="24"/>
              </w:rPr>
              <w:t>4.55</w:t>
            </w:r>
          </w:p>
        </w:tc>
      </w:tr>
      <w:tr w:rsidR="00DE47F0">
        <w:tc>
          <w:tcPr>
            <w:tcW w:w="851" w:type="dxa"/>
            <w:vAlign w:val="center"/>
          </w:tcPr>
          <w:p w:rsidR="00DE47F0" w:rsidRDefault="000467D4">
            <w:pPr>
              <w:jc w:val="center"/>
            </w:pPr>
            <w:r>
              <w:rPr>
                <w:color w:val="000000"/>
                <w:kern w:val="0"/>
                <w:sz w:val="24"/>
                <w:szCs w:val="24"/>
              </w:rPr>
              <w:t>8</w:t>
            </w:r>
          </w:p>
        </w:tc>
        <w:tc>
          <w:tcPr>
            <w:tcW w:w="1276" w:type="dxa"/>
            <w:vAlign w:val="center"/>
          </w:tcPr>
          <w:p w:rsidR="00DE47F0" w:rsidRDefault="000467D4">
            <w:pPr>
              <w:jc w:val="center"/>
            </w:pPr>
            <w:r>
              <w:rPr>
                <w:color w:val="000000"/>
                <w:kern w:val="0"/>
                <w:sz w:val="24"/>
                <w:szCs w:val="24"/>
              </w:rPr>
              <w:t>000661</w:t>
            </w:r>
          </w:p>
        </w:tc>
        <w:tc>
          <w:tcPr>
            <w:tcW w:w="1418" w:type="dxa"/>
            <w:vAlign w:val="center"/>
          </w:tcPr>
          <w:p w:rsidR="00DE47F0" w:rsidRDefault="000467D4">
            <w:pPr>
              <w:jc w:val="center"/>
            </w:pPr>
            <w:r>
              <w:rPr>
                <w:color w:val="000000"/>
                <w:kern w:val="0"/>
                <w:sz w:val="24"/>
                <w:szCs w:val="24"/>
              </w:rPr>
              <w:t>长春高新</w:t>
            </w:r>
          </w:p>
        </w:tc>
        <w:tc>
          <w:tcPr>
            <w:tcW w:w="1701" w:type="dxa"/>
            <w:vAlign w:val="center"/>
          </w:tcPr>
          <w:p w:rsidR="00DE47F0" w:rsidRDefault="000467D4">
            <w:pPr>
              <w:jc w:val="right"/>
            </w:pPr>
            <w:r>
              <w:rPr>
                <w:color w:val="000000"/>
                <w:kern w:val="0"/>
                <w:sz w:val="24"/>
                <w:szCs w:val="24"/>
              </w:rPr>
              <w:t>110,000</w:t>
            </w:r>
          </w:p>
        </w:tc>
        <w:tc>
          <w:tcPr>
            <w:tcW w:w="1984" w:type="dxa"/>
            <w:vAlign w:val="center"/>
          </w:tcPr>
          <w:p w:rsidR="00DE47F0" w:rsidRDefault="000467D4">
            <w:pPr>
              <w:jc w:val="right"/>
            </w:pPr>
            <w:r>
              <w:rPr>
                <w:color w:val="000000"/>
                <w:kern w:val="0"/>
                <w:sz w:val="24"/>
                <w:szCs w:val="24"/>
              </w:rPr>
              <w:t>43,379,600.00</w:t>
            </w:r>
          </w:p>
        </w:tc>
        <w:tc>
          <w:tcPr>
            <w:tcW w:w="1559" w:type="dxa"/>
            <w:vAlign w:val="center"/>
          </w:tcPr>
          <w:p w:rsidR="00DE47F0" w:rsidRDefault="000467D4">
            <w:pPr>
              <w:jc w:val="right"/>
            </w:pPr>
            <w:r>
              <w:rPr>
                <w:color w:val="000000"/>
                <w:kern w:val="0"/>
                <w:sz w:val="24"/>
                <w:szCs w:val="24"/>
              </w:rPr>
              <w:t>4.53</w:t>
            </w:r>
          </w:p>
        </w:tc>
      </w:tr>
      <w:tr w:rsidR="00DE47F0">
        <w:tc>
          <w:tcPr>
            <w:tcW w:w="851" w:type="dxa"/>
            <w:vAlign w:val="center"/>
          </w:tcPr>
          <w:p w:rsidR="00DE47F0" w:rsidRDefault="000467D4">
            <w:pPr>
              <w:jc w:val="center"/>
            </w:pPr>
            <w:r>
              <w:rPr>
                <w:color w:val="000000"/>
                <w:kern w:val="0"/>
                <w:sz w:val="24"/>
                <w:szCs w:val="24"/>
              </w:rPr>
              <w:t>9</w:t>
            </w:r>
          </w:p>
        </w:tc>
        <w:tc>
          <w:tcPr>
            <w:tcW w:w="1276" w:type="dxa"/>
            <w:vAlign w:val="center"/>
          </w:tcPr>
          <w:p w:rsidR="00DE47F0" w:rsidRDefault="000467D4">
            <w:pPr>
              <w:jc w:val="center"/>
            </w:pPr>
            <w:r>
              <w:rPr>
                <w:color w:val="000000"/>
                <w:kern w:val="0"/>
                <w:sz w:val="24"/>
                <w:szCs w:val="24"/>
              </w:rPr>
              <w:t>002475</w:t>
            </w:r>
          </w:p>
        </w:tc>
        <w:tc>
          <w:tcPr>
            <w:tcW w:w="1418" w:type="dxa"/>
            <w:vAlign w:val="center"/>
          </w:tcPr>
          <w:p w:rsidR="00DE47F0" w:rsidRDefault="000467D4">
            <w:pPr>
              <w:jc w:val="center"/>
            </w:pPr>
            <w:r>
              <w:rPr>
                <w:color w:val="000000"/>
                <w:kern w:val="0"/>
                <w:sz w:val="24"/>
                <w:szCs w:val="24"/>
              </w:rPr>
              <w:t>立讯精密</w:t>
            </w:r>
          </w:p>
        </w:tc>
        <w:tc>
          <w:tcPr>
            <w:tcW w:w="1701" w:type="dxa"/>
            <w:vAlign w:val="center"/>
          </w:tcPr>
          <w:p w:rsidR="00DE47F0" w:rsidRDefault="000467D4">
            <w:pPr>
              <w:jc w:val="right"/>
            </w:pPr>
            <w:r>
              <w:rPr>
                <w:color w:val="000000"/>
                <w:kern w:val="0"/>
                <w:sz w:val="24"/>
                <w:szCs w:val="24"/>
              </w:rPr>
              <w:t>1,400,000</w:t>
            </w:r>
          </w:p>
        </w:tc>
        <w:tc>
          <w:tcPr>
            <w:tcW w:w="1984" w:type="dxa"/>
            <w:vAlign w:val="center"/>
          </w:tcPr>
          <w:p w:rsidR="00DE47F0" w:rsidRDefault="000467D4">
            <w:pPr>
              <w:jc w:val="right"/>
            </w:pPr>
            <w:r>
              <w:rPr>
                <w:color w:val="000000"/>
                <w:kern w:val="0"/>
                <w:sz w:val="24"/>
                <w:szCs w:val="24"/>
              </w:rPr>
              <w:t>37,464,000.00</w:t>
            </w:r>
          </w:p>
        </w:tc>
        <w:tc>
          <w:tcPr>
            <w:tcW w:w="1559" w:type="dxa"/>
            <w:vAlign w:val="center"/>
          </w:tcPr>
          <w:p w:rsidR="00DE47F0" w:rsidRDefault="000467D4">
            <w:pPr>
              <w:jc w:val="right"/>
            </w:pPr>
            <w:r>
              <w:rPr>
                <w:color w:val="000000"/>
                <w:kern w:val="0"/>
                <w:sz w:val="24"/>
                <w:szCs w:val="24"/>
              </w:rPr>
              <w:t>3.91</w:t>
            </w:r>
          </w:p>
        </w:tc>
      </w:tr>
      <w:tr w:rsidR="00DE47F0">
        <w:tc>
          <w:tcPr>
            <w:tcW w:w="851" w:type="dxa"/>
            <w:vAlign w:val="center"/>
          </w:tcPr>
          <w:p w:rsidR="00DE47F0" w:rsidRDefault="000467D4">
            <w:pPr>
              <w:jc w:val="center"/>
            </w:pPr>
            <w:r>
              <w:rPr>
                <w:color w:val="000000"/>
                <w:kern w:val="0"/>
                <w:sz w:val="24"/>
                <w:szCs w:val="24"/>
              </w:rPr>
              <w:t>10</w:t>
            </w:r>
          </w:p>
        </w:tc>
        <w:tc>
          <w:tcPr>
            <w:tcW w:w="1276" w:type="dxa"/>
            <w:vAlign w:val="center"/>
          </w:tcPr>
          <w:p w:rsidR="00DE47F0" w:rsidRDefault="000467D4">
            <w:pPr>
              <w:jc w:val="center"/>
            </w:pPr>
            <w:r>
              <w:rPr>
                <w:color w:val="000000"/>
                <w:kern w:val="0"/>
                <w:sz w:val="24"/>
                <w:szCs w:val="24"/>
              </w:rPr>
              <w:t>600276</w:t>
            </w:r>
          </w:p>
        </w:tc>
        <w:tc>
          <w:tcPr>
            <w:tcW w:w="1418" w:type="dxa"/>
            <w:vAlign w:val="center"/>
          </w:tcPr>
          <w:p w:rsidR="00DE47F0" w:rsidRDefault="000467D4">
            <w:pPr>
              <w:jc w:val="center"/>
            </w:pPr>
            <w:r>
              <w:rPr>
                <w:color w:val="000000"/>
                <w:kern w:val="0"/>
                <w:sz w:val="24"/>
                <w:szCs w:val="24"/>
              </w:rPr>
              <w:t>恒瑞医药</w:t>
            </w:r>
          </w:p>
        </w:tc>
        <w:tc>
          <w:tcPr>
            <w:tcW w:w="1701" w:type="dxa"/>
            <w:vAlign w:val="center"/>
          </w:tcPr>
          <w:p w:rsidR="00DE47F0" w:rsidRDefault="000467D4">
            <w:pPr>
              <w:jc w:val="right"/>
            </w:pPr>
            <w:r>
              <w:rPr>
                <w:color w:val="000000"/>
                <w:kern w:val="0"/>
                <w:sz w:val="24"/>
                <w:szCs w:val="24"/>
              </w:rPr>
              <w:t>450,000</w:t>
            </w:r>
          </w:p>
        </w:tc>
        <w:tc>
          <w:tcPr>
            <w:tcW w:w="1984" w:type="dxa"/>
            <w:vAlign w:val="center"/>
          </w:tcPr>
          <w:p w:rsidR="00DE47F0" w:rsidRDefault="000467D4">
            <w:pPr>
              <w:jc w:val="right"/>
            </w:pPr>
            <w:r>
              <w:rPr>
                <w:color w:val="000000"/>
                <w:kern w:val="0"/>
                <w:sz w:val="24"/>
                <w:szCs w:val="24"/>
              </w:rPr>
              <w:t>36,306,000.00</w:t>
            </w:r>
          </w:p>
        </w:tc>
        <w:tc>
          <w:tcPr>
            <w:tcW w:w="1559" w:type="dxa"/>
            <w:vAlign w:val="center"/>
          </w:tcPr>
          <w:p w:rsidR="00DE47F0" w:rsidRDefault="000467D4">
            <w:pPr>
              <w:jc w:val="right"/>
            </w:pPr>
            <w:r>
              <w:rPr>
                <w:color w:val="000000"/>
                <w:kern w:val="0"/>
                <w:sz w:val="24"/>
                <w:szCs w:val="24"/>
              </w:rPr>
              <w:t>3.79</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29,988,000.00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3.13</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29,988,000.00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3.13</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29,988,000.00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3.13</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DE47F0">
        <w:tc>
          <w:tcPr>
            <w:tcW w:w="959" w:type="dxa"/>
            <w:vAlign w:val="center"/>
          </w:tcPr>
          <w:p w:rsidR="00DE47F0" w:rsidRDefault="000467D4">
            <w:pPr>
              <w:jc w:val="center"/>
            </w:pPr>
            <w:r>
              <w:rPr>
                <w:color w:val="000000"/>
                <w:kern w:val="0"/>
                <w:sz w:val="24"/>
                <w:szCs w:val="24"/>
              </w:rPr>
              <w:t>1</w:t>
            </w:r>
          </w:p>
        </w:tc>
        <w:tc>
          <w:tcPr>
            <w:tcW w:w="1276" w:type="dxa"/>
            <w:vAlign w:val="center"/>
          </w:tcPr>
          <w:p w:rsidR="00DE47F0" w:rsidRDefault="000467D4">
            <w:pPr>
              <w:jc w:val="center"/>
            </w:pPr>
            <w:r>
              <w:rPr>
                <w:color w:val="000000"/>
                <w:kern w:val="0"/>
                <w:sz w:val="24"/>
                <w:szCs w:val="24"/>
              </w:rPr>
              <w:t>190302</w:t>
            </w:r>
          </w:p>
        </w:tc>
        <w:tc>
          <w:tcPr>
            <w:tcW w:w="1275" w:type="dxa"/>
            <w:vAlign w:val="center"/>
          </w:tcPr>
          <w:p w:rsidR="00DE47F0" w:rsidRDefault="000467D4">
            <w:pPr>
              <w:jc w:val="center"/>
            </w:pPr>
            <w:r>
              <w:rPr>
                <w:color w:val="000000"/>
                <w:kern w:val="0"/>
                <w:sz w:val="24"/>
                <w:szCs w:val="24"/>
              </w:rPr>
              <w:t>19</w:t>
            </w:r>
            <w:r>
              <w:rPr>
                <w:color w:val="000000"/>
                <w:kern w:val="0"/>
                <w:sz w:val="24"/>
                <w:szCs w:val="24"/>
              </w:rPr>
              <w:t>进出</w:t>
            </w:r>
            <w:r>
              <w:rPr>
                <w:color w:val="000000"/>
                <w:kern w:val="0"/>
                <w:sz w:val="24"/>
                <w:szCs w:val="24"/>
              </w:rPr>
              <w:t>02</w:t>
            </w:r>
          </w:p>
        </w:tc>
        <w:tc>
          <w:tcPr>
            <w:tcW w:w="1560" w:type="dxa"/>
            <w:vAlign w:val="center"/>
          </w:tcPr>
          <w:p w:rsidR="00DE47F0" w:rsidRDefault="000467D4">
            <w:pPr>
              <w:jc w:val="right"/>
            </w:pPr>
            <w:r>
              <w:rPr>
                <w:color w:val="000000"/>
                <w:kern w:val="0"/>
                <w:sz w:val="24"/>
                <w:szCs w:val="24"/>
              </w:rPr>
              <w:t>300,000</w:t>
            </w:r>
          </w:p>
        </w:tc>
        <w:tc>
          <w:tcPr>
            <w:tcW w:w="1984" w:type="dxa"/>
            <w:vAlign w:val="center"/>
          </w:tcPr>
          <w:p w:rsidR="00DE47F0" w:rsidRDefault="000467D4">
            <w:pPr>
              <w:jc w:val="right"/>
            </w:pPr>
            <w:r>
              <w:rPr>
                <w:color w:val="000000"/>
                <w:kern w:val="0"/>
                <w:sz w:val="24"/>
                <w:szCs w:val="24"/>
              </w:rPr>
              <w:t>29,988,000.00</w:t>
            </w:r>
          </w:p>
        </w:tc>
        <w:tc>
          <w:tcPr>
            <w:tcW w:w="1474" w:type="dxa"/>
            <w:vAlign w:val="center"/>
          </w:tcPr>
          <w:p w:rsidR="00DE47F0" w:rsidRDefault="000467D4">
            <w:pPr>
              <w:jc w:val="right"/>
            </w:pPr>
            <w:r>
              <w:rPr>
                <w:color w:val="000000"/>
                <w:kern w:val="0"/>
                <w:sz w:val="24"/>
                <w:szCs w:val="24"/>
              </w:rPr>
              <w:t>3.13</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招商银行（代码：600036）为易方达行业领先企业混合型证券投资基金的前十大重仓证券之一。2019年7月8日，中国银行保险监督管理委员会上海监管局对招商银行股份有限公司信用卡中心2016年9月至2018年6月在为部分客户办理信用卡业务时，未遵守总授信额度管理制度的违法违规事实，处以责令改正，并处罚款20万元的行政处罚。</w:t>
      </w:r>
    </w:p>
    <w:p w:rsidR="00DE47F0" w:rsidRDefault="000467D4">
      <w:pPr>
        <w:spacing w:line="360" w:lineRule="auto"/>
        <w:rPr>
          <w:rFonts w:ascii="宋体" w:hAnsi="宋体"/>
          <w:color w:val="000000"/>
          <w:sz w:val="24"/>
          <w:szCs w:val="24"/>
        </w:rPr>
      </w:pPr>
      <w:r>
        <w:rPr>
          <w:rFonts w:ascii="宋体" w:hAnsi="宋体"/>
          <w:color w:val="000000"/>
          <w:sz w:val="24"/>
          <w:szCs w:val="24"/>
        </w:rPr>
        <w:t>本基金投资招商银行的投资决策程序符合公司投资制度的规定。</w:t>
      </w:r>
    </w:p>
    <w:p w:rsidR="00DE47F0" w:rsidRDefault="000467D4">
      <w:pPr>
        <w:spacing w:line="360" w:lineRule="auto"/>
        <w:rPr>
          <w:rFonts w:ascii="宋体" w:hAnsi="宋体"/>
          <w:color w:val="000000"/>
          <w:sz w:val="24"/>
          <w:szCs w:val="24"/>
        </w:rPr>
      </w:pPr>
      <w:r>
        <w:rPr>
          <w:rFonts w:ascii="宋体" w:hAnsi="宋体"/>
          <w:color w:val="000000"/>
          <w:sz w:val="24"/>
          <w:szCs w:val="24"/>
        </w:rPr>
        <w:t>除招商银行外，本基金投资的前十名证券的发行主体本期没有出现被监管部门立案调查，或在报告编制日前一年内受到公开谴责、处罚的情形。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64,335.46</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426,479.79</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2,679,795.79</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3,170,611.04</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366,408,805.87</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54,117,143.50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57,986,460.56</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362,539,488.81</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DE47F0" w:rsidRDefault="000467D4">
      <w:pPr>
        <w:spacing w:line="360" w:lineRule="auto"/>
        <w:ind w:firstLineChars="200" w:firstLine="480"/>
        <w:rPr>
          <w:color w:val="000000"/>
          <w:sz w:val="24"/>
          <w:szCs w:val="24"/>
        </w:rPr>
      </w:pPr>
      <w:r>
        <w:rPr>
          <w:color w:val="000000"/>
          <w:sz w:val="24"/>
          <w:szCs w:val="24"/>
        </w:rPr>
        <w:t>1.</w:t>
      </w:r>
      <w:r>
        <w:rPr>
          <w:color w:val="000000"/>
          <w:sz w:val="24"/>
          <w:szCs w:val="24"/>
        </w:rPr>
        <w:t>中国证监会核准易方达行业领先企业股票型证券投资基金募集的文件；</w:t>
      </w:r>
    </w:p>
    <w:p w:rsidR="00DE47F0" w:rsidRDefault="000467D4">
      <w:pPr>
        <w:spacing w:line="360" w:lineRule="auto"/>
        <w:ind w:firstLineChars="200" w:firstLine="480"/>
        <w:rPr>
          <w:color w:val="000000"/>
          <w:sz w:val="24"/>
          <w:szCs w:val="24"/>
        </w:rPr>
      </w:pPr>
      <w:r>
        <w:rPr>
          <w:color w:val="000000"/>
          <w:sz w:val="24"/>
          <w:szCs w:val="24"/>
        </w:rPr>
        <w:t>2.</w:t>
      </w:r>
      <w:r>
        <w:rPr>
          <w:color w:val="000000"/>
          <w:sz w:val="24"/>
          <w:szCs w:val="24"/>
        </w:rPr>
        <w:t>易方达基金管理有限公司关于旗下部分开放式基金更名及修改基金合同、托管协议的公告</w:t>
      </w:r>
    </w:p>
    <w:p w:rsidR="00DE47F0" w:rsidRDefault="000467D4">
      <w:pPr>
        <w:spacing w:line="360" w:lineRule="auto"/>
        <w:ind w:firstLineChars="200" w:firstLine="480"/>
        <w:rPr>
          <w:color w:val="000000"/>
          <w:sz w:val="24"/>
          <w:szCs w:val="24"/>
        </w:rPr>
      </w:pPr>
      <w:r>
        <w:rPr>
          <w:color w:val="000000"/>
          <w:sz w:val="24"/>
          <w:szCs w:val="24"/>
        </w:rPr>
        <w:t>3.</w:t>
      </w:r>
      <w:r>
        <w:rPr>
          <w:color w:val="000000"/>
          <w:sz w:val="24"/>
          <w:szCs w:val="24"/>
        </w:rPr>
        <w:t>《易方达行业领先企业混合型证券投资基金基金合同》；</w:t>
      </w:r>
    </w:p>
    <w:p w:rsidR="00DE47F0" w:rsidRDefault="000467D4">
      <w:pPr>
        <w:spacing w:line="360" w:lineRule="auto"/>
        <w:ind w:firstLineChars="200" w:firstLine="480"/>
        <w:rPr>
          <w:color w:val="000000"/>
          <w:sz w:val="24"/>
          <w:szCs w:val="24"/>
        </w:rPr>
      </w:pPr>
      <w:r>
        <w:rPr>
          <w:color w:val="000000"/>
          <w:sz w:val="24"/>
          <w:szCs w:val="24"/>
        </w:rPr>
        <w:t>4.</w:t>
      </w:r>
      <w:r>
        <w:rPr>
          <w:color w:val="000000"/>
          <w:sz w:val="24"/>
          <w:szCs w:val="24"/>
        </w:rPr>
        <w:t>《易方达行业领先企业混合型证券投资基金托管协议》；</w:t>
      </w:r>
    </w:p>
    <w:p w:rsidR="00DE47F0" w:rsidRDefault="000467D4">
      <w:pPr>
        <w:spacing w:line="360" w:lineRule="auto"/>
        <w:ind w:firstLineChars="200" w:firstLine="480"/>
        <w:rPr>
          <w:color w:val="000000"/>
          <w:sz w:val="24"/>
          <w:szCs w:val="24"/>
        </w:rPr>
      </w:pPr>
      <w:r>
        <w:rPr>
          <w:color w:val="000000"/>
          <w:sz w:val="24"/>
          <w:szCs w:val="24"/>
        </w:rPr>
        <w:t>5.</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6.</w:t>
      </w:r>
      <w:r w:rsidRPr="006C56AA">
        <w:rPr>
          <w:color w:val="000000"/>
          <w:sz w:val="24"/>
          <w:szCs w:val="24"/>
        </w:rPr>
        <w:t>基金管理人业务资格批件和营业执照。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0467D4">
      <w:rPr>
        <w:rStyle w:val="a7"/>
        <w:noProof/>
      </w:rPr>
      <w:t>1</w:t>
    </w:r>
    <w:r>
      <w:rPr>
        <w:rStyle w:val="a7"/>
      </w:rPr>
      <w:fldChar w:fldCharType="end"/>
    </w:r>
    <w:r>
      <w:rPr>
        <w:rStyle w:val="a7"/>
        <w:rFonts w:hint="eastAsia"/>
      </w:rPr>
      <w:t>页共</w:t>
    </w:r>
    <w:r w:rsidR="000467D4">
      <w:fldChar w:fldCharType="begin"/>
    </w:r>
    <w:r w:rsidR="000467D4">
      <w:instrText xml:space="preserve"> NUMPAGES  \* Arabic  \* MERGEFORMAT </w:instrText>
    </w:r>
    <w:r w:rsidR="000467D4">
      <w:fldChar w:fldCharType="separate"/>
    </w:r>
    <w:r w:rsidR="000467D4" w:rsidRPr="000467D4">
      <w:rPr>
        <w:rStyle w:val="a7"/>
        <w:noProof/>
      </w:rPr>
      <w:t>3</w:t>
    </w:r>
    <w:r w:rsidR="000467D4">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0467D4">
      <w:rPr>
        <w:rStyle w:val="a7"/>
        <w:noProof/>
      </w:rPr>
      <w:t>11</w:t>
    </w:r>
    <w:r>
      <w:rPr>
        <w:rStyle w:val="a7"/>
      </w:rPr>
      <w:fldChar w:fldCharType="end"/>
    </w:r>
    <w:r>
      <w:rPr>
        <w:rStyle w:val="a7"/>
        <w:rFonts w:hint="eastAsia"/>
      </w:rPr>
      <w:t>页共</w:t>
    </w:r>
    <w:fldSimple w:instr=" NUMPAGES  \* Arabic  \* MERGEFORMAT ">
      <w:r w:rsidR="000467D4" w:rsidRPr="000467D4">
        <w:rPr>
          <w:rStyle w:val="a7"/>
          <w:noProof/>
        </w:rPr>
        <w:t>11</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易方达行业领先企业混合型证券投资基金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467D4"/>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DE47F0"/>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39C4D-E0D1-4E53-89CF-585A8F144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910</Words>
  <Characters>5193</Characters>
  <Application>Microsoft Office Word</Application>
  <DocSecurity>0</DocSecurity>
  <Lines>43</Lines>
  <Paragraphs>12</Paragraphs>
  <ScaleCrop>false</ScaleCrop>
  <Company/>
  <LinksUpToDate>false</LinksUpToDate>
  <CharactersWithSpaces>6091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2019-10-16T13:56:00Z</cp:lastPrinted>
  <dcterms:created xsi:type="dcterms:W3CDTF">2012-10-16T06:07:00Z</dcterms:created>
  <dcterms:modified xsi:type="dcterms:W3CDTF">2019-10-16T13:56:00Z</dcterms:modified>
</cp:coreProperties>
</file>