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易方达科汇灵活配置混合型证券投资基金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交通银行股份有限公司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290B63" w:rsidRDefault="00BB5998">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90B63" w:rsidRDefault="00BB5998">
      <w:pPr>
        <w:spacing w:line="360" w:lineRule="auto"/>
        <w:ind w:firstLineChars="200" w:firstLine="480"/>
        <w:rPr>
          <w:color w:val="000000"/>
          <w:sz w:val="24"/>
          <w:szCs w:val="24"/>
        </w:rPr>
      </w:pPr>
      <w:r>
        <w:rPr>
          <w:color w:val="000000"/>
          <w:sz w:val="24"/>
          <w:szCs w:val="24"/>
        </w:rPr>
        <w:t>基金托管人交通银行股份有限公司根据本基金合同规定，于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90B63" w:rsidRDefault="00BB5998">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290B63" w:rsidRDefault="00BB5998">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290B63" w:rsidRDefault="00BB5998">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易方达科汇灵活配置混合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110012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110012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2008</w:t>
            </w:r>
            <w:r w:rsidRPr="00232B03">
              <w:rPr>
                <w:color w:val="000000"/>
                <w:kern w:val="0"/>
                <w:sz w:val="24"/>
                <w:szCs w:val="24"/>
              </w:rPr>
              <w:t>年</w:t>
            </w:r>
            <w:r w:rsidRPr="00232B03">
              <w:rPr>
                <w:color w:val="000000"/>
                <w:kern w:val="0"/>
                <w:sz w:val="24"/>
                <w:szCs w:val="24"/>
              </w:rPr>
              <w:t>10</w:t>
            </w:r>
            <w:r w:rsidRPr="00232B03">
              <w:rPr>
                <w:color w:val="000000"/>
                <w:kern w:val="0"/>
                <w:sz w:val="24"/>
                <w:szCs w:val="24"/>
              </w:rPr>
              <w:t>月</w:t>
            </w:r>
            <w:r w:rsidRPr="00232B03">
              <w:rPr>
                <w:color w:val="000000"/>
                <w:kern w:val="0"/>
                <w:sz w:val="24"/>
                <w:szCs w:val="24"/>
              </w:rPr>
              <w:t>9</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346,128,740.33</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本基金通过投资于价值型股票和固定收益品种，追求基金资产的持续稳健增值。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本基金基于定量与定性相结合的宏观及市场分析，进行战术性资产配置，确定组合中股票、债券、货币市场工具及其他金融工具的比例，追求更高收益，回避市场风险。</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价值指数收益率</w:t>
            </w:r>
            <w:r w:rsidRPr="00232B03">
              <w:rPr>
                <w:color w:val="000000"/>
                <w:kern w:val="0"/>
                <w:sz w:val="24"/>
                <w:szCs w:val="24"/>
              </w:rPr>
              <w:t>X60%+</w:t>
            </w:r>
            <w:r w:rsidRPr="00232B03">
              <w:rPr>
                <w:color w:val="000000"/>
                <w:kern w:val="0"/>
                <w:sz w:val="24"/>
                <w:szCs w:val="24"/>
              </w:rPr>
              <w:t>中债总指数收益</w:t>
            </w:r>
            <w:r w:rsidRPr="00232B03">
              <w:rPr>
                <w:color w:val="000000"/>
                <w:kern w:val="0"/>
                <w:sz w:val="24"/>
                <w:szCs w:val="24"/>
              </w:rPr>
              <w:lastRenderedPageBreak/>
              <w:t>率</w:t>
            </w:r>
            <w:r w:rsidRPr="00232B03">
              <w:rPr>
                <w:color w:val="000000"/>
                <w:kern w:val="0"/>
                <w:sz w:val="24"/>
                <w:szCs w:val="24"/>
              </w:rPr>
              <w:t>X40%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本基金是混合型基金，理论上其风险收益水平低于股票型基金，高于债券型基金和货币市场基金。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交通银行股份有限公司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54,454,031.92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37,669,245.09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0.0897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539,887,701.11</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1.560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290B63" w:rsidRDefault="00BB5998">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所述基金业绩指标不包括持有人交易基金的各项费用，计入费用后实际收益水平要低于所列数字。</w:t>
      </w:r>
    </w:p>
    <w:p w:rsidR="00290B63" w:rsidRDefault="00BB5998">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32B03" w:rsidRDefault="00392044" w:rsidP="00232B03">
      <w:pPr>
        <w:spacing w:line="360" w:lineRule="auto"/>
        <w:ind w:firstLineChars="200" w:firstLine="480"/>
        <w:rPr>
          <w:color w:val="000000"/>
          <w:sz w:val="24"/>
          <w:szCs w:val="24"/>
        </w:rPr>
      </w:pPr>
      <w:r w:rsidRPr="006506EF">
        <w:rPr>
          <w:color w:val="000000"/>
          <w:sz w:val="24"/>
        </w:rPr>
        <w:t>3.</w:t>
      </w:r>
      <w:r w:rsidRPr="006506EF">
        <w:rPr>
          <w:color w:val="000000"/>
          <w:sz w:val="24"/>
        </w:rPr>
        <w:t>本基金已于</w:t>
      </w:r>
      <w:r w:rsidRPr="006506EF">
        <w:rPr>
          <w:color w:val="000000"/>
          <w:sz w:val="24"/>
        </w:rPr>
        <w:t>2008</w:t>
      </w:r>
      <w:r w:rsidRPr="006506EF">
        <w:rPr>
          <w:color w:val="000000"/>
          <w:sz w:val="24"/>
        </w:rPr>
        <w:t>年</w:t>
      </w:r>
      <w:r w:rsidRPr="006506EF">
        <w:rPr>
          <w:color w:val="000000"/>
          <w:sz w:val="24"/>
        </w:rPr>
        <w:t>11</w:t>
      </w:r>
      <w:r w:rsidRPr="006506EF">
        <w:rPr>
          <w:color w:val="000000"/>
          <w:sz w:val="24"/>
        </w:rPr>
        <w:t>月</w:t>
      </w:r>
      <w:r w:rsidRPr="006506EF">
        <w:rPr>
          <w:color w:val="000000"/>
          <w:sz w:val="24"/>
        </w:rPr>
        <w:t>7</w:t>
      </w:r>
      <w:r w:rsidRPr="006506EF">
        <w:rPr>
          <w:color w:val="000000"/>
          <w:sz w:val="24"/>
        </w:rPr>
        <w:t>日对原基金科汇退市时的基金份额进行了拆分，基金拆分比例为</w:t>
      </w:r>
      <w:r w:rsidRPr="006506EF">
        <w:rPr>
          <w:color w:val="000000"/>
          <w:sz w:val="24"/>
        </w:rPr>
        <w:t>1</w:t>
      </w:r>
      <w:r w:rsidRPr="006506EF">
        <w:rPr>
          <w:color w:val="000000"/>
          <w:sz w:val="24"/>
        </w:rPr>
        <w:t>：</w:t>
      </w:r>
      <w:r w:rsidRPr="006506EF">
        <w:rPr>
          <w:color w:val="000000"/>
          <w:sz w:val="24"/>
        </w:rPr>
        <w:t>1.032996474</w:t>
      </w:r>
      <w:r w:rsidRPr="006506EF">
        <w:rPr>
          <w:color w:val="000000"/>
          <w:sz w:val="24"/>
        </w:rPr>
        <w:t>。</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290B63">
        <w:tc>
          <w:tcPr>
            <w:tcW w:w="1395" w:type="dxa"/>
            <w:vAlign w:val="center"/>
          </w:tcPr>
          <w:p w:rsidR="00290B63" w:rsidRDefault="00BB5998">
            <w:pPr>
              <w:jc w:val="left"/>
            </w:pPr>
            <w:r>
              <w:rPr>
                <w:color w:val="000000"/>
                <w:kern w:val="0"/>
                <w:sz w:val="24"/>
                <w:szCs w:val="24"/>
              </w:rPr>
              <w:t>过去三个月</w:t>
            </w:r>
          </w:p>
        </w:tc>
        <w:tc>
          <w:tcPr>
            <w:tcW w:w="1092" w:type="dxa"/>
            <w:vAlign w:val="center"/>
          </w:tcPr>
          <w:p w:rsidR="00290B63" w:rsidRDefault="00BB5998">
            <w:pPr>
              <w:jc w:val="center"/>
            </w:pPr>
            <w:r>
              <w:rPr>
                <w:color w:val="000000"/>
                <w:kern w:val="0"/>
                <w:sz w:val="24"/>
                <w:szCs w:val="24"/>
              </w:rPr>
              <w:t>6.41%</w:t>
            </w:r>
          </w:p>
        </w:tc>
        <w:tc>
          <w:tcPr>
            <w:tcW w:w="1161" w:type="dxa"/>
            <w:vAlign w:val="center"/>
          </w:tcPr>
          <w:p w:rsidR="00290B63" w:rsidRDefault="00BB5998">
            <w:pPr>
              <w:jc w:val="center"/>
            </w:pPr>
            <w:r>
              <w:rPr>
                <w:color w:val="000000"/>
                <w:kern w:val="0"/>
                <w:sz w:val="24"/>
                <w:szCs w:val="24"/>
              </w:rPr>
              <w:t>0.73%</w:t>
            </w:r>
          </w:p>
        </w:tc>
        <w:tc>
          <w:tcPr>
            <w:tcW w:w="1181" w:type="dxa"/>
            <w:vAlign w:val="center"/>
          </w:tcPr>
          <w:p w:rsidR="00290B63" w:rsidRDefault="00BB5998">
            <w:pPr>
              <w:jc w:val="center"/>
            </w:pPr>
            <w:r>
              <w:rPr>
                <w:color w:val="000000"/>
                <w:kern w:val="0"/>
                <w:sz w:val="24"/>
                <w:szCs w:val="24"/>
              </w:rPr>
              <w:t>-2.10%</w:t>
            </w:r>
          </w:p>
        </w:tc>
        <w:tc>
          <w:tcPr>
            <w:tcW w:w="1188" w:type="dxa"/>
            <w:vAlign w:val="center"/>
          </w:tcPr>
          <w:p w:rsidR="00290B63" w:rsidRDefault="00BB5998">
            <w:pPr>
              <w:jc w:val="center"/>
            </w:pPr>
            <w:r>
              <w:rPr>
                <w:color w:val="000000"/>
                <w:kern w:val="0"/>
                <w:sz w:val="24"/>
                <w:szCs w:val="24"/>
              </w:rPr>
              <w:t>0.52%</w:t>
            </w:r>
          </w:p>
        </w:tc>
        <w:tc>
          <w:tcPr>
            <w:tcW w:w="1199" w:type="dxa"/>
            <w:vAlign w:val="center"/>
          </w:tcPr>
          <w:p w:rsidR="00290B63" w:rsidRDefault="00BB5998">
            <w:pPr>
              <w:jc w:val="center"/>
            </w:pPr>
            <w:r>
              <w:rPr>
                <w:color w:val="000000"/>
                <w:kern w:val="0"/>
                <w:sz w:val="24"/>
                <w:szCs w:val="24"/>
              </w:rPr>
              <w:t>8.51%</w:t>
            </w:r>
          </w:p>
        </w:tc>
        <w:tc>
          <w:tcPr>
            <w:tcW w:w="1204" w:type="dxa"/>
            <w:vAlign w:val="center"/>
          </w:tcPr>
          <w:p w:rsidR="00290B63" w:rsidRDefault="00BB5998">
            <w:pPr>
              <w:jc w:val="center"/>
            </w:pPr>
            <w:r>
              <w:rPr>
                <w:color w:val="000000"/>
                <w:kern w:val="0"/>
                <w:sz w:val="24"/>
                <w:szCs w:val="24"/>
              </w:rPr>
              <w:t>0.21%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自基金转型以来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易方达科汇灵活配置混合型证券投资基金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2008</w:t>
      </w:r>
      <w:r w:rsidRPr="0074694E">
        <w:rPr>
          <w:rFonts w:ascii="Times New Roman" w:hAnsi="Times New Roman"/>
          <w:sz w:val="24"/>
          <w:szCs w:val="24"/>
        </w:rPr>
        <w:t>年</w:t>
      </w:r>
      <w:r w:rsidRPr="0074694E">
        <w:rPr>
          <w:rFonts w:ascii="Times New Roman" w:hAnsi="Times New Roman"/>
          <w:sz w:val="24"/>
          <w:szCs w:val="24"/>
        </w:rPr>
        <w:t>10</w:t>
      </w:r>
      <w:r w:rsidRPr="0074694E">
        <w:rPr>
          <w:rFonts w:ascii="Times New Roman" w:hAnsi="Times New Roman"/>
          <w:sz w:val="24"/>
          <w:szCs w:val="24"/>
        </w:rPr>
        <w:t>月</w:t>
      </w:r>
      <w:r w:rsidRPr="0074694E">
        <w:rPr>
          <w:rFonts w:ascii="Times New Roman" w:hAnsi="Times New Roman"/>
          <w:sz w:val="24"/>
          <w:szCs w:val="24"/>
        </w:rPr>
        <w:t>9</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BB5998"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290B63" w:rsidRDefault="00BB599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本基金由原基金科汇于</w:t>
      </w:r>
      <w:r>
        <w:rPr>
          <w:color w:val="000000"/>
          <w:sz w:val="24"/>
          <w:szCs w:val="24"/>
        </w:rPr>
        <w:t>2008</w:t>
      </w:r>
      <w:r>
        <w:rPr>
          <w:color w:val="000000"/>
          <w:sz w:val="24"/>
          <w:szCs w:val="24"/>
        </w:rPr>
        <w:t>年</w:t>
      </w:r>
      <w:r>
        <w:rPr>
          <w:color w:val="000000"/>
          <w:sz w:val="24"/>
          <w:szCs w:val="24"/>
        </w:rPr>
        <w:t>10</w:t>
      </w:r>
      <w:r>
        <w:rPr>
          <w:color w:val="000000"/>
          <w:sz w:val="24"/>
          <w:szCs w:val="24"/>
        </w:rPr>
        <w:t>月</w:t>
      </w:r>
      <w:r>
        <w:rPr>
          <w:color w:val="000000"/>
          <w:sz w:val="24"/>
          <w:szCs w:val="24"/>
        </w:rPr>
        <w:t>9</w:t>
      </w:r>
      <w:r>
        <w:rPr>
          <w:color w:val="000000"/>
          <w:sz w:val="24"/>
          <w:szCs w:val="24"/>
        </w:rPr>
        <w:t>日转型而来。</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自基金转型至报告期末，基金份额净值增长率为</w:t>
      </w:r>
      <w:r w:rsidRPr="006C56AA">
        <w:rPr>
          <w:color w:val="000000"/>
          <w:sz w:val="24"/>
          <w:szCs w:val="24"/>
        </w:rPr>
        <w:t>173.77%</w:t>
      </w:r>
      <w:r w:rsidRPr="006C56AA">
        <w:rPr>
          <w:color w:val="000000"/>
          <w:sz w:val="24"/>
          <w:szCs w:val="24"/>
        </w:rPr>
        <w:t>，同期业绩比较基准收益率为</w:t>
      </w:r>
      <w:r w:rsidRPr="006C56AA">
        <w:rPr>
          <w:color w:val="000000"/>
          <w:sz w:val="24"/>
          <w:szCs w:val="24"/>
        </w:rPr>
        <w:t>74.53%</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290B63">
        <w:tc>
          <w:tcPr>
            <w:tcW w:w="567" w:type="dxa"/>
            <w:vAlign w:val="center"/>
          </w:tcPr>
          <w:p w:rsidR="00290B63" w:rsidRDefault="00BB5998">
            <w:pPr>
              <w:jc w:val="center"/>
            </w:pPr>
            <w:r>
              <w:rPr>
                <w:color w:val="000000"/>
                <w:sz w:val="24"/>
              </w:rPr>
              <w:t>祁禾</w:t>
            </w:r>
          </w:p>
        </w:tc>
        <w:tc>
          <w:tcPr>
            <w:tcW w:w="2835" w:type="dxa"/>
            <w:vAlign w:val="center"/>
          </w:tcPr>
          <w:p w:rsidR="00290B63" w:rsidRDefault="00BB5998">
            <w:pPr>
              <w:jc w:val="center"/>
            </w:pPr>
            <w:r>
              <w:rPr>
                <w:color w:val="000000"/>
                <w:sz w:val="24"/>
              </w:rPr>
              <w:t>本基金的基金经理、易方达新丝路灵活配置混合型证券投资基金的基金经理、易方达环保主题灵活配置混合型证券投资基金的基金经理、易方达创新驱动灵活配置混合型证券投资基金的基金经理</w:t>
            </w:r>
          </w:p>
        </w:tc>
        <w:tc>
          <w:tcPr>
            <w:tcW w:w="851" w:type="dxa"/>
            <w:vAlign w:val="center"/>
          </w:tcPr>
          <w:p w:rsidR="00290B63" w:rsidRDefault="00BB5998">
            <w:pPr>
              <w:jc w:val="center"/>
            </w:pPr>
            <w:r>
              <w:rPr>
                <w:color w:val="000000"/>
                <w:sz w:val="24"/>
              </w:rPr>
              <w:t>2017-12-30</w:t>
            </w:r>
          </w:p>
        </w:tc>
        <w:tc>
          <w:tcPr>
            <w:tcW w:w="850" w:type="dxa"/>
            <w:vAlign w:val="center"/>
          </w:tcPr>
          <w:p w:rsidR="00290B63" w:rsidRDefault="00BB5998">
            <w:pPr>
              <w:jc w:val="center"/>
            </w:pPr>
            <w:r>
              <w:rPr>
                <w:color w:val="000000"/>
                <w:sz w:val="24"/>
              </w:rPr>
              <w:t>-</w:t>
            </w:r>
          </w:p>
        </w:tc>
        <w:tc>
          <w:tcPr>
            <w:tcW w:w="851" w:type="dxa"/>
            <w:vAlign w:val="center"/>
          </w:tcPr>
          <w:p w:rsidR="00290B63" w:rsidRDefault="00BB5998">
            <w:pPr>
              <w:jc w:val="center"/>
            </w:pPr>
            <w:r>
              <w:rPr>
                <w:color w:val="000000"/>
                <w:sz w:val="24"/>
              </w:rPr>
              <w:t>9</w:t>
            </w:r>
            <w:r>
              <w:rPr>
                <w:color w:val="000000"/>
                <w:sz w:val="24"/>
              </w:rPr>
              <w:t>年</w:t>
            </w:r>
          </w:p>
        </w:tc>
        <w:tc>
          <w:tcPr>
            <w:tcW w:w="2977" w:type="dxa"/>
            <w:vAlign w:val="center"/>
          </w:tcPr>
          <w:p w:rsidR="00290B63" w:rsidRDefault="00BB5998">
            <w:r>
              <w:rPr>
                <w:color w:val="000000"/>
                <w:sz w:val="24"/>
              </w:rPr>
              <w:t>硕士研究生，曾任华泰联合证券有限责任公司研究所研究员，博时基金管理有限公司研究部研究员、易方达基金管理有限公司行业研究员、易方达环保主题灵活配置混合型证券投资基金基金经理助理。</w:t>
            </w:r>
          </w:p>
        </w:tc>
      </w:tr>
      <w:tr w:rsidR="00290B63">
        <w:tc>
          <w:tcPr>
            <w:tcW w:w="567" w:type="dxa"/>
            <w:vAlign w:val="center"/>
          </w:tcPr>
          <w:p w:rsidR="00290B63" w:rsidRDefault="00BB5998">
            <w:pPr>
              <w:jc w:val="center"/>
            </w:pPr>
            <w:r>
              <w:rPr>
                <w:color w:val="000000"/>
                <w:sz w:val="24"/>
              </w:rPr>
              <w:t>付浩</w:t>
            </w:r>
          </w:p>
        </w:tc>
        <w:tc>
          <w:tcPr>
            <w:tcW w:w="2835" w:type="dxa"/>
            <w:vAlign w:val="center"/>
          </w:tcPr>
          <w:p w:rsidR="00290B63" w:rsidRDefault="00BB5998">
            <w:pPr>
              <w:jc w:val="center"/>
            </w:pPr>
            <w:r>
              <w:rPr>
                <w:color w:val="000000"/>
                <w:sz w:val="24"/>
              </w:rPr>
              <w:t>本基金的基金经理、易方达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的基金经理、权益投资管理部总经理、投资经理</w:t>
            </w:r>
          </w:p>
        </w:tc>
        <w:tc>
          <w:tcPr>
            <w:tcW w:w="851" w:type="dxa"/>
            <w:vAlign w:val="center"/>
          </w:tcPr>
          <w:p w:rsidR="00290B63" w:rsidRDefault="00BB5998">
            <w:pPr>
              <w:jc w:val="center"/>
            </w:pPr>
            <w:r>
              <w:rPr>
                <w:color w:val="000000"/>
                <w:sz w:val="24"/>
              </w:rPr>
              <w:t>2018-08-04</w:t>
            </w:r>
          </w:p>
        </w:tc>
        <w:tc>
          <w:tcPr>
            <w:tcW w:w="850" w:type="dxa"/>
            <w:vAlign w:val="center"/>
          </w:tcPr>
          <w:p w:rsidR="00290B63" w:rsidRDefault="00BB5998">
            <w:pPr>
              <w:jc w:val="center"/>
            </w:pPr>
            <w:r>
              <w:rPr>
                <w:color w:val="000000"/>
                <w:sz w:val="24"/>
              </w:rPr>
              <w:t>-</w:t>
            </w:r>
          </w:p>
        </w:tc>
        <w:tc>
          <w:tcPr>
            <w:tcW w:w="851" w:type="dxa"/>
            <w:vAlign w:val="center"/>
          </w:tcPr>
          <w:p w:rsidR="00290B63" w:rsidRDefault="00BB5998">
            <w:pPr>
              <w:jc w:val="center"/>
            </w:pPr>
            <w:r>
              <w:rPr>
                <w:color w:val="000000"/>
                <w:sz w:val="24"/>
              </w:rPr>
              <w:t>22</w:t>
            </w:r>
            <w:r>
              <w:rPr>
                <w:color w:val="000000"/>
                <w:sz w:val="24"/>
              </w:rPr>
              <w:t>年</w:t>
            </w:r>
          </w:p>
        </w:tc>
        <w:tc>
          <w:tcPr>
            <w:tcW w:w="2977" w:type="dxa"/>
            <w:vAlign w:val="center"/>
          </w:tcPr>
          <w:p w:rsidR="00290B63" w:rsidRDefault="00BB5998">
            <w:r>
              <w:rPr>
                <w:color w:val="000000"/>
                <w:sz w:val="24"/>
              </w:rPr>
              <w:t>硕士研究生，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易方达策略成长证券投资基金基金经理、科瑞证券投资基金基金经理、易方达科翔</w:t>
            </w:r>
            <w:r>
              <w:rPr>
                <w:color w:val="000000"/>
                <w:sz w:val="24"/>
              </w:rPr>
              <w:t>股票型证券投资基金基金经理。</w:t>
            </w:r>
          </w:p>
        </w:tc>
      </w:tr>
    </w:tbl>
    <w:p w:rsidR="00290B63" w:rsidRDefault="00BB599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290B63" w:rsidRDefault="00BB5998">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290B63" w:rsidRDefault="00BB5998">
      <w:pPr>
        <w:spacing w:line="360" w:lineRule="auto"/>
        <w:ind w:firstLineChars="200" w:firstLine="480"/>
        <w:rPr>
          <w:color w:val="000000"/>
          <w:sz w:val="24"/>
          <w:szCs w:val="24"/>
        </w:rPr>
      </w:pPr>
      <w:r>
        <w:rPr>
          <w:color w:val="000000"/>
          <w:sz w:val="24"/>
          <w:szCs w:val="24"/>
        </w:rPr>
        <w:t xml:space="preserve">2019 </w:t>
      </w:r>
      <w:r>
        <w:rPr>
          <w:color w:val="000000"/>
          <w:sz w:val="24"/>
          <w:szCs w:val="24"/>
        </w:rPr>
        <w:t>年三季度上证综指下跌</w:t>
      </w:r>
      <w:r>
        <w:rPr>
          <w:color w:val="000000"/>
          <w:sz w:val="24"/>
          <w:szCs w:val="24"/>
        </w:rPr>
        <w:t xml:space="preserve"> 2.47%</w:t>
      </w:r>
      <w:r>
        <w:rPr>
          <w:color w:val="000000"/>
          <w:sz w:val="24"/>
          <w:szCs w:val="24"/>
        </w:rPr>
        <w:t>，深证成指上涨</w:t>
      </w:r>
      <w:r>
        <w:rPr>
          <w:color w:val="000000"/>
          <w:sz w:val="24"/>
          <w:szCs w:val="24"/>
        </w:rPr>
        <w:t xml:space="preserve"> </w:t>
      </w:r>
      <w:r>
        <w:rPr>
          <w:color w:val="000000"/>
          <w:sz w:val="24"/>
          <w:szCs w:val="24"/>
        </w:rPr>
        <w:t>2.92%</w:t>
      </w:r>
      <w:r>
        <w:rPr>
          <w:color w:val="000000"/>
          <w:sz w:val="24"/>
          <w:szCs w:val="24"/>
        </w:rPr>
        <w:t>，创业板指数上涨</w:t>
      </w:r>
      <w:r>
        <w:rPr>
          <w:color w:val="000000"/>
          <w:sz w:val="24"/>
          <w:szCs w:val="24"/>
        </w:rPr>
        <w:t>7.68%</w:t>
      </w:r>
      <w:r>
        <w:rPr>
          <w:color w:val="000000"/>
          <w:sz w:val="24"/>
          <w:szCs w:val="24"/>
        </w:rPr>
        <w:t>。市场整个季度基本围绕上证</w:t>
      </w:r>
      <w:r>
        <w:rPr>
          <w:color w:val="000000"/>
          <w:sz w:val="24"/>
          <w:szCs w:val="24"/>
        </w:rPr>
        <w:t>2900</w:t>
      </w:r>
      <w:r>
        <w:rPr>
          <w:color w:val="000000"/>
          <w:sz w:val="24"/>
          <w:szCs w:val="24"/>
        </w:rPr>
        <w:t>点箱体波动，表现既受到中美贸易摩擦的影响，又对宏观经济和政府刺激政策产生反应。指数波动不大，但结构分化相当激烈，特别是部分信息产业相关的股票，短期涨幅惊人。</w:t>
      </w:r>
    </w:p>
    <w:p w:rsidR="00290B63" w:rsidRDefault="00BB5998">
      <w:pPr>
        <w:spacing w:line="360" w:lineRule="auto"/>
        <w:ind w:firstLineChars="200" w:firstLine="480"/>
        <w:rPr>
          <w:color w:val="000000"/>
          <w:sz w:val="24"/>
          <w:szCs w:val="24"/>
        </w:rPr>
      </w:pPr>
      <w:r>
        <w:rPr>
          <w:color w:val="000000"/>
          <w:sz w:val="24"/>
          <w:szCs w:val="24"/>
        </w:rPr>
        <w:t>2019</w:t>
      </w:r>
      <w:r>
        <w:rPr>
          <w:color w:val="000000"/>
          <w:sz w:val="24"/>
          <w:szCs w:val="24"/>
        </w:rPr>
        <w:t>年三季度，宏观经济的表现符合市场预期，受到中美贸易摩擦、全球经济放缓、内地严控房地产等多方面因素的影响，整体经济走势较弱。政府继续去年开始的刺激经济和开放政策，对内减税、降准，对外开放、扶持经济。贸易摩擦仍然困扰市场，但投资者的免疫能力越来越强，愈发认识到这是长期影响巨大的过</w:t>
      </w:r>
      <w:r>
        <w:rPr>
          <w:color w:val="000000"/>
          <w:sz w:val="24"/>
          <w:szCs w:val="24"/>
        </w:rPr>
        <w:t>程，但却对我国社会和经济发展是一个重要推动，社会更具凝聚力，做多中国的信心越来越强。华为在美国的极大压力下，表现非常鼓舞人心，扛住所有打击，坚强而自信的前行，这也给二级市场做多信息产业类股票带来信心，芯片、</w:t>
      </w:r>
      <w:r>
        <w:rPr>
          <w:color w:val="000000"/>
          <w:sz w:val="24"/>
          <w:szCs w:val="24"/>
        </w:rPr>
        <w:t>5G</w:t>
      </w:r>
      <w:r>
        <w:rPr>
          <w:color w:val="000000"/>
          <w:sz w:val="24"/>
          <w:szCs w:val="24"/>
        </w:rPr>
        <w:t>等相关类股票三季度涨幅巨大。一、二季度表现良好的优质蓝筹股表现一般，不算亮眼。</w:t>
      </w:r>
    </w:p>
    <w:p w:rsidR="00290B63" w:rsidRDefault="00BB5998">
      <w:pPr>
        <w:spacing w:line="360" w:lineRule="auto"/>
        <w:ind w:firstLineChars="200" w:firstLine="480"/>
        <w:rPr>
          <w:color w:val="000000"/>
          <w:sz w:val="24"/>
          <w:szCs w:val="24"/>
        </w:rPr>
      </w:pPr>
      <w:r>
        <w:rPr>
          <w:color w:val="000000"/>
          <w:sz w:val="24"/>
          <w:szCs w:val="24"/>
        </w:rPr>
        <w:t>科创板于七月份正式引来首批上市公司，上市前的披露、问询、报价等环节进展顺利，上市后的表现也符合预期，内地股市虽然多年来指数表现差强人意，但因为经济总量巨大、上市公司数量较多，所以总有相当数量的优秀公司脱颖而出，给投资者带来</w:t>
      </w:r>
      <w:r>
        <w:rPr>
          <w:color w:val="000000"/>
          <w:sz w:val="24"/>
          <w:szCs w:val="24"/>
        </w:rPr>
        <w:t>丰厚回报。随着科创板的顺利推出，预计大面积的注册制也渐行渐近，内地股市将引来巨大变化，这对二级市场投资者是一个福音。</w:t>
      </w:r>
    </w:p>
    <w:p w:rsidR="00290B63" w:rsidRDefault="00BB5998">
      <w:pPr>
        <w:spacing w:line="360" w:lineRule="auto"/>
        <w:ind w:firstLineChars="200" w:firstLine="480"/>
        <w:rPr>
          <w:color w:val="000000"/>
          <w:sz w:val="24"/>
          <w:szCs w:val="24"/>
        </w:rPr>
      </w:pPr>
      <w:r>
        <w:rPr>
          <w:color w:val="000000"/>
          <w:sz w:val="24"/>
          <w:szCs w:val="24"/>
        </w:rPr>
        <w:t>世界各主要经济体进入新一轮的宽松，</w:t>
      </w:r>
      <w:r>
        <w:rPr>
          <w:color w:val="000000"/>
          <w:sz w:val="24"/>
          <w:szCs w:val="24"/>
        </w:rPr>
        <w:t>“</w:t>
      </w:r>
      <w:r>
        <w:rPr>
          <w:color w:val="000000"/>
          <w:sz w:val="24"/>
          <w:szCs w:val="24"/>
        </w:rPr>
        <w:t>由简入奢易，由奢入简难</w:t>
      </w:r>
      <w:r>
        <w:rPr>
          <w:color w:val="000000"/>
          <w:sz w:val="24"/>
          <w:szCs w:val="24"/>
        </w:rPr>
        <w:t>”</w:t>
      </w:r>
      <w:r>
        <w:rPr>
          <w:color w:val="000000"/>
          <w:sz w:val="24"/>
          <w:szCs w:val="24"/>
        </w:rPr>
        <w:t>，习惯了好日子的全球经济，可能只能靠不断放水来维持增速，世界经济未来如何很难预测，但过多的货币供应下，优秀企业的二级市场吸引力将会越来越大。</w:t>
      </w:r>
      <w:r>
        <w:rPr>
          <w:color w:val="000000"/>
          <w:sz w:val="24"/>
          <w:szCs w:val="24"/>
        </w:rPr>
        <w:t xml:space="preserve"> </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三季度，本基金坚持一贯的投资理念和投资风格，持续寻找</w:t>
      </w:r>
      <w:r w:rsidRPr="006C56AA">
        <w:rPr>
          <w:color w:val="000000"/>
          <w:sz w:val="24"/>
          <w:szCs w:val="24"/>
        </w:rPr>
        <w:t>“</w:t>
      </w:r>
      <w:r w:rsidRPr="006C56AA">
        <w:rPr>
          <w:color w:val="000000"/>
          <w:sz w:val="24"/>
          <w:szCs w:val="24"/>
        </w:rPr>
        <w:t>简单、持续、</w:t>
      </w:r>
      <w:r w:rsidRPr="006C56AA">
        <w:rPr>
          <w:color w:val="000000"/>
          <w:sz w:val="24"/>
          <w:szCs w:val="24"/>
        </w:rPr>
        <w:t xml:space="preserve"> </w:t>
      </w:r>
      <w:r w:rsidRPr="006C56AA">
        <w:rPr>
          <w:color w:val="000000"/>
          <w:sz w:val="24"/>
          <w:szCs w:val="24"/>
        </w:rPr>
        <w:t>可复制</w:t>
      </w:r>
      <w:r w:rsidRPr="006C56AA">
        <w:rPr>
          <w:color w:val="000000"/>
          <w:sz w:val="24"/>
          <w:szCs w:val="24"/>
        </w:rPr>
        <w:t>”</w:t>
      </w:r>
      <w:r w:rsidRPr="006C56AA">
        <w:rPr>
          <w:color w:val="000000"/>
          <w:sz w:val="24"/>
          <w:szCs w:val="24"/>
        </w:rPr>
        <w:t>、估值合理、安全边际高的股票进行投资。在市场波动中，本基金不断寻找符合投资理念的股票，持续优化组合，取得了一定的效果。</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1.560</w:t>
      </w:r>
      <w:r w:rsidRPr="006C56AA">
        <w:rPr>
          <w:color w:val="000000"/>
          <w:sz w:val="24"/>
          <w:szCs w:val="24"/>
        </w:rPr>
        <w:t>元，本报告期份额净值增长率为</w:t>
      </w:r>
      <w:r w:rsidRPr="006C56AA">
        <w:rPr>
          <w:color w:val="000000"/>
          <w:sz w:val="24"/>
          <w:szCs w:val="24"/>
        </w:rPr>
        <w:t>6.41%</w:t>
      </w:r>
      <w:r w:rsidRPr="006C56AA">
        <w:rPr>
          <w:color w:val="000000"/>
          <w:sz w:val="24"/>
          <w:szCs w:val="24"/>
        </w:rPr>
        <w:t>，同期业绩比较基准收益率为</w:t>
      </w:r>
      <w:r w:rsidRPr="006C56AA">
        <w:rPr>
          <w:color w:val="000000"/>
          <w:sz w:val="24"/>
          <w:szCs w:val="24"/>
        </w:rPr>
        <w:t>-2.10%</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392,631,752.18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71.78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392,631,752.18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71.78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40,244,000.00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40,244,000.00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7.36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113,039,652.87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20.67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1,056,649.54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546,972,054.59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220,521,967.09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40.85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0.40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29,120,084.00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5.39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98,159,382.85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18.18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12,138,336.00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30,474,543.20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5.64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392,631,752.18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72.72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90B63">
        <w:tc>
          <w:tcPr>
            <w:tcW w:w="851" w:type="dxa"/>
            <w:vAlign w:val="center"/>
          </w:tcPr>
          <w:p w:rsidR="00290B63" w:rsidRDefault="00BB5998">
            <w:pPr>
              <w:jc w:val="center"/>
            </w:pPr>
            <w:r>
              <w:rPr>
                <w:color w:val="000000"/>
                <w:kern w:val="0"/>
                <w:sz w:val="24"/>
                <w:szCs w:val="24"/>
              </w:rPr>
              <w:t>1</w:t>
            </w:r>
          </w:p>
        </w:tc>
        <w:tc>
          <w:tcPr>
            <w:tcW w:w="1276" w:type="dxa"/>
            <w:vAlign w:val="center"/>
          </w:tcPr>
          <w:p w:rsidR="00290B63" w:rsidRDefault="00BB5998">
            <w:pPr>
              <w:jc w:val="center"/>
            </w:pPr>
            <w:r>
              <w:rPr>
                <w:color w:val="000000"/>
                <w:kern w:val="0"/>
                <w:sz w:val="24"/>
                <w:szCs w:val="24"/>
              </w:rPr>
              <w:t>600276</w:t>
            </w:r>
          </w:p>
        </w:tc>
        <w:tc>
          <w:tcPr>
            <w:tcW w:w="1418" w:type="dxa"/>
            <w:vAlign w:val="center"/>
          </w:tcPr>
          <w:p w:rsidR="00290B63" w:rsidRDefault="00BB5998">
            <w:pPr>
              <w:jc w:val="center"/>
            </w:pPr>
            <w:r>
              <w:rPr>
                <w:color w:val="000000"/>
                <w:kern w:val="0"/>
                <w:sz w:val="24"/>
                <w:szCs w:val="24"/>
              </w:rPr>
              <w:t>恒瑞医药</w:t>
            </w:r>
          </w:p>
        </w:tc>
        <w:tc>
          <w:tcPr>
            <w:tcW w:w="1701" w:type="dxa"/>
            <w:vAlign w:val="center"/>
          </w:tcPr>
          <w:p w:rsidR="00290B63" w:rsidRDefault="00BB5998">
            <w:pPr>
              <w:jc w:val="right"/>
            </w:pPr>
            <w:r>
              <w:rPr>
                <w:color w:val="000000"/>
                <w:kern w:val="0"/>
                <w:sz w:val="24"/>
                <w:szCs w:val="24"/>
              </w:rPr>
              <w:t>629,537</w:t>
            </w:r>
          </w:p>
        </w:tc>
        <w:tc>
          <w:tcPr>
            <w:tcW w:w="1984" w:type="dxa"/>
            <w:vAlign w:val="center"/>
          </w:tcPr>
          <w:p w:rsidR="00290B63" w:rsidRDefault="00BB5998">
            <w:pPr>
              <w:jc w:val="right"/>
            </w:pPr>
            <w:r>
              <w:rPr>
                <w:color w:val="000000"/>
                <w:kern w:val="0"/>
                <w:sz w:val="24"/>
                <w:szCs w:val="24"/>
              </w:rPr>
              <w:t>50,791,045.16</w:t>
            </w:r>
          </w:p>
        </w:tc>
        <w:tc>
          <w:tcPr>
            <w:tcW w:w="1559" w:type="dxa"/>
            <w:vAlign w:val="center"/>
          </w:tcPr>
          <w:p w:rsidR="00290B63" w:rsidRDefault="00BB5998">
            <w:pPr>
              <w:jc w:val="right"/>
            </w:pPr>
            <w:r>
              <w:rPr>
                <w:color w:val="000000"/>
                <w:kern w:val="0"/>
                <w:sz w:val="24"/>
                <w:szCs w:val="24"/>
              </w:rPr>
              <w:t>9.41</w:t>
            </w:r>
          </w:p>
        </w:tc>
      </w:tr>
      <w:tr w:rsidR="00290B63">
        <w:tc>
          <w:tcPr>
            <w:tcW w:w="851" w:type="dxa"/>
            <w:vAlign w:val="center"/>
          </w:tcPr>
          <w:p w:rsidR="00290B63" w:rsidRDefault="00BB5998">
            <w:pPr>
              <w:jc w:val="center"/>
            </w:pPr>
            <w:r>
              <w:rPr>
                <w:color w:val="000000"/>
                <w:kern w:val="0"/>
                <w:sz w:val="24"/>
                <w:szCs w:val="24"/>
              </w:rPr>
              <w:t>2</w:t>
            </w:r>
          </w:p>
        </w:tc>
        <w:tc>
          <w:tcPr>
            <w:tcW w:w="1276" w:type="dxa"/>
            <w:vAlign w:val="center"/>
          </w:tcPr>
          <w:p w:rsidR="00290B63" w:rsidRDefault="00BB5998">
            <w:pPr>
              <w:jc w:val="center"/>
            </w:pPr>
            <w:r>
              <w:rPr>
                <w:color w:val="000000"/>
                <w:kern w:val="0"/>
                <w:sz w:val="24"/>
                <w:szCs w:val="24"/>
              </w:rPr>
              <w:t>002142</w:t>
            </w:r>
          </w:p>
        </w:tc>
        <w:tc>
          <w:tcPr>
            <w:tcW w:w="1418" w:type="dxa"/>
            <w:vAlign w:val="center"/>
          </w:tcPr>
          <w:p w:rsidR="00290B63" w:rsidRDefault="00BB5998">
            <w:pPr>
              <w:jc w:val="center"/>
            </w:pPr>
            <w:r>
              <w:rPr>
                <w:color w:val="000000"/>
                <w:kern w:val="0"/>
                <w:sz w:val="24"/>
                <w:szCs w:val="24"/>
              </w:rPr>
              <w:t>宁波银行</w:t>
            </w:r>
          </w:p>
        </w:tc>
        <w:tc>
          <w:tcPr>
            <w:tcW w:w="1701" w:type="dxa"/>
            <w:vAlign w:val="center"/>
          </w:tcPr>
          <w:p w:rsidR="00290B63" w:rsidRDefault="00BB5998">
            <w:pPr>
              <w:jc w:val="right"/>
            </w:pPr>
            <w:r>
              <w:rPr>
                <w:color w:val="000000"/>
                <w:kern w:val="0"/>
                <w:sz w:val="24"/>
                <w:szCs w:val="24"/>
              </w:rPr>
              <w:t>1,323,263</w:t>
            </w:r>
          </w:p>
        </w:tc>
        <w:tc>
          <w:tcPr>
            <w:tcW w:w="1984" w:type="dxa"/>
            <w:vAlign w:val="center"/>
          </w:tcPr>
          <w:p w:rsidR="00290B63" w:rsidRDefault="00BB5998">
            <w:pPr>
              <w:jc w:val="right"/>
            </w:pPr>
            <w:r>
              <w:rPr>
                <w:color w:val="000000"/>
                <w:kern w:val="0"/>
                <w:sz w:val="24"/>
                <w:szCs w:val="24"/>
              </w:rPr>
              <w:t>33,359,460.23</w:t>
            </w:r>
          </w:p>
        </w:tc>
        <w:tc>
          <w:tcPr>
            <w:tcW w:w="1559" w:type="dxa"/>
            <w:vAlign w:val="center"/>
          </w:tcPr>
          <w:p w:rsidR="00290B63" w:rsidRDefault="00BB5998">
            <w:pPr>
              <w:jc w:val="right"/>
            </w:pPr>
            <w:r>
              <w:rPr>
                <w:color w:val="000000"/>
                <w:kern w:val="0"/>
                <w:sz w:val="24"/>
                <w:szCs w:val="24"/>
              </w:rPr>
              <w:t>6.18</w:t>
            </w:r>
          </w:p>
        </w:tc>
      </w:tr>
      <w:tr w:rsidR="00290B63">
        <w:tc>
          <w:tcPr>
            <w:tcW w:w="851" w:type="dxa"/>
            <w:vAlign w:val="center"/>
          </w:tcPr>
          <w:p w:rsidR="00290B63" w:rsidRDefault="00BB5998">
            <w:pPr>
              <w:jc w:val="center"/>
            </w:pPr>
            <w:r>
              <w:rPr>
                <w:color w:val="000000"/>
                <w:kern w:val="0"/>
                <w:sz w:val="24"/>
                <w:szCs w:val="24"/>
              </w:rPr>
              <w:t>3</w:t>
            </w:r>
          </w:p>
        </w:tc>
        <w:tc>
          <w:tcPr>
            <w:tcW w:w="1276" w:type="dxa"/>
            <w:vAlign w:val="center"/>
          </w:tcPr>
          <w:p w:rsidR="00290B63" w:rsidRDefault="00BB5998">
            <w:pPr>
              <w:jc w:val="center"/>
            </w:pPr>
            <w:r>
              <w:rPr>
                <w:color w:val="000000"/>
                <w:kern w:val="0"/>
                <w:sz w:val="24"/>
                <w:szCs w:val="24"/>
              </w:rPr>
              <w:t>600036</w:t>
            </w:r>
          </w:p>
        </w:tc>
        <w:tc>
          <w:tcPr>
            <w:tcW w:w="1418" w:type="dxa"/>
            <w:vAlign w:val="center"/>
          </w:tcPr>
          <w:p w:rsidR="00290B63" w:rsidRDefault="00BB5998">
            <w:pPr>
              <w:jc w:val="center"/>
            </w:pPr>
            <w:r>
              <w:rPr>
                <w:color w:val="000000"/>
                <w:kern w:val="0"/>
                <w:sz w:val="24"/>
                <w:szCs w:val="24"/>
              </w:rPr>
              <w:t>招商银行</w:t>
            </w:r>
          </w:p>
        </w:tc>
        <w:tc>
          <w:tcPr>
            <w:tcW w:w="1701" w:type="dxa"/>
            <w:vAlign w:val="center"/>
          </w:tcPr>
          <w:p w:rsidR="00290B63" w:rsidRDefault="00BB5998">
            <w:pPr>
              <w:jc w:val="right"/>
            </w:pPr>
            <w:r>
              <w:rPr>
                <w:color w:val="000000"/>
                <w:kern w:val="0"/>
                <w:sz w:val="24"/>
                <w:szCs w:val="24"/>
              </w:rPr>
              <w:t>939,234</w:t>
            </w:r>
          </w:p>
        </w:tc>
        <w:tc>
          <w:tcPr>
            <w:tcW w:w="1984" w:type="dxa"/>
            <w:vAlign w:val="center"/>
          </w:tcPr>
          <w:p w:rsidR="00290B63" w:rsidRDefault="00BB5998">
            <w:pPr>
              <w:jc w:val="right"/>
            </w:pPr>
            <w:r>
              <w:rPr>
                <w:color w:val="000000"/>
                <w:kern w:val="0"/>
                <w:sz w:val="24"/>
                <w:szCs w:val="24"/>
              </w:rPr>
              <w:t>32,638,381.50</w:t>
            </w:r>
          </w:p>
        </w:tc>
        <w:tc>
          <w:tcPr>
            <w:tcW w:w="1559" w:type="dxa"/>
            <w:vAlign w:val="center"/>
          </w:tcPr>
          <w:p w:rsidR="00290B63" w:rsidRDefault="00BB5998">
            <w:pPr>
              <w:jc w:val="right"/>
            </w:pPr>
            <w:r>
              <w:rPr>
                <w:color w:val="000000"/>
                <w:kern w:val="0"/>
                <w:sz w:val="24"/>
                <w:szCs w:val="24"/>
              </w:rPr>
              <w:t>6.05</w:t>
            </w:r>
          </w:p>
        </w:tc>
      </w:tr>
      <w:tr w:rsidR="00290B63">
        <w:tc>
          <w:tcPr>
            <w:tcW w:w="851" w:type="dxa"/>
            <w:vAlign w:val="center"/>
          </w:tcPr>
          <w:p w:rsidR="00290B63" w:rsidRDefault="00BB5998">
            <w:pPr>
              <w:jc w:val="center"/>
            </w:pPr>
            <w:r>
              <w:rPr>
                <w:color w:val="000000"/>
                <w:kern w:val="0"/>
                <w:sz w:val="24"/>
                <w:szCs w:val="24"/>
              </w:rPr>
              <w:t>4</w:t>
            </w:r>
          </w:p>
        </w:tc>
        <w:tc>
          <w:tcPr>
            <w:tcW w:w="1276" w:type="dxa"/>
            <w:vAlign w:val="center"/>
          </w:tcPr>
          <w:p w:rsidR="00290B63" w:rsidRDefault="00BB5998">
            <w:pPr>
              <w:jc w:val="center"/>
            </w:pPr>
            <w:r>
              <w:rPr>
                <w:color w:val="000000"/>
                <w:kern w:val="0"/>
                <w:sz w:val="24"/>
                <w:szCs w:val="24"/>
              </w:rPr>
              <w:t>601318</w:t>
            </w:r>
          </w:p>
        </w:tc>
        <w:tc>
          <w:tcPr>
            <w:tcW w:w="1418" w:type="dxa"/>
            <w:vAlign w:val="center"/>
          </w:tcPr>
          <w:p w:rsidR="00290B63" w:rsidRDefault="00BB5998">
            <w:pPr>
              <w:jc w:val="center"/>
            </w:pPr>
            <w:r>
              <w:rPr>
                <w:color w:val="000000"/>
                <w:kern w:val="0"/>
                <w:sz w:val="24"/>
                <w:szCs w:val="24"/>
              </w:rPr>
              <w:t>中国平安</w:t>
            </w:r>
          </w:p>
        </w:tc>
        <w:tc>
          <w:tcPr>
            <w:tcW w:w="1701" w:type="dxa"/>
            <w:vAlign w:val="center"/>
          </w:tcPr>
          <w:p w:rsidR="00290B63" w:rsidRDefault="00BB5998">
            <w:pPr>
              <w:jc w:val="right"/>
            </w:pPr>
            <w:r>
              <w:rPr>
                <w:color w:val="000000"/>
                <w:kern w:val="0"/>
                <w:sz w:val="24"/>
                <w:szCs w:val="24"/>
              </w:rPr>
              <w:t>369,503</w:t>
            </w:r>
          </w:p>
        </w:tc>
        <w:tc>
          <w:tcPr>
            <w:tcW w:w="1984" w:type="dxa"/>
            <w:vAlign w:val="center"/>
          </w:tcPr>
          <w:p w:rsidR="00290B63" w:rsidRDefault="00BB5998">
            <w:pPr>
              <w:jc w:val="right"/>
            </w:pPr>
            <w:r>
              <w:rPr>
                <w:color w:val="000000"/>
                <w:kern w:val="0"/>
                <w:sz w:val="24"/>
                <w:szCs w:val="24"/>
              </w:rPr>
              <w:t>32,161,541.12</w:t>
            </w:r>
          </w:p>
        </w:tc>
        <w:tc>
          <w:tcPr>
            <w:tcW w:w="1559" w:type="dxa"/>
            <w:vAlign w:val="center"/>
          </w:tcPr>
          <w:p w:rsidR="00290B63" w:rsidRDefault="00BB5998">
            <w:pPr>
              <w:jc w:val="right"/>
            </w:pPr>
            <w:r>
              <w:rPr>
                <w:color w:val="000000"/>
                <w:kern w:val="0"/>
                <w:sz w:val="24"/>
                <w:szCs w:val="24"/>
              </w:rPr>
              <w:t>5.96</w:t>
            </w:r>
          </w:p>
        </w:tc>
      </w:tr>
      <w:tr w:rsidR="00290B63">
        <w:tc>
          <w:tcPr>
            <w:tcW w:w="851" w:type="dxa"/>
            <w:vAlign w:val="center"/>
          </w:tcPr>
          <w:p w:rsidR="00290B63" w:rsidRDefault="00BB5998">
            <w:pPr>
              <w:jc w:val="center"/>
            </w:pPr>
            <w:r>
              <w:rPr>
                <w:color w:val="000000"/>
                <w:kern w:val="0"/>
                <w:sz w:val="24"/>
                <w:szCs w:val="24"/>
              </w:rPr>
              <w:t>5</w:t>
            </w:r>
          </w:p>
        </w:tc>
        <w:tc>
          <w:tcPr>
            <w:tcW w:w="1276" w:type="dxa"/>
            <w:vAlign w:val="center"/>
          </w:tcPr>
          <w:p w:rsidR="00290B63" w:rsidRDefault="00BB5998">
            <w:pPr>
              <w:jc w:val="center"/>
            </w:pPr>
            <w:r>
              <w:rPr>
                <w:color w:val="000000"/>
                <w:kern w:val="0"/>
                <w:sz w:val="24"/>
                <w:szCs w:val="24"/>
              </w:rPr>
              <w:t>000568</w:t>
            </w:r>
          </w:p>
        </w:tc>
        <w:tc>
          <w:tcPr>
            <w:tcW w:w="1418" w:type="dxa"/>
            <w:vAlign w:val="center"/>
          </w:tcPr>
          <w:p w:rsidR="00290B63" w:rsidRDefault="00BB5998">
            <w:pPr>
              <w:jc w:val="center"/>
            </w:pPr>
            <w:r>
              <w:rPr>
                <w:color w:val="000000"/>
                <w:kern w:val="0"/>
                <w:sz w:val="24"/>
                <w:szCs w:val="24"/>
              </w:rPr>
              <w:t>泸州老窖</w:t>
            </w:r>
          </w:p>
        </w:tc>
        <w:tc>
          <w:tcPr>
            <w:tcW w:w="1701" w:type="dxa"/>
            <w:vAlign w:val="center"/>
          </w:tcPr>
          <w:p w:rsidR="00290B63" w:rsidRDefault="00BB5998">
            <w:pPr>
              <w:jc w:val="right"/>
            </w:pPr>
            <w:r>
              <w:rPr>
                <w:color w:val="000000"/>
                <w:kern w:val="0"/>
                <w:sz w:val="24"/>
                <w:szCs w:val="24"/>
              </w:rPr>
              <w:t>361,500</w:t>
            </w:r>
          </w:p>
        </w:tc>
        <w:tc>
          <w:tcPr>
            <w:tcW w:w="1984" w:type="dxa"/>
            <w:vAlign w:val="center"/>
          </w:tcPr>
          <w:p w:rsidR="00290B63" w:rsidRDefault="00BB5998">
            <w:pPr>
              <w:jc w:val="right"/>
            </w:pPr>
            <w:r>
              <w:rPr>
                <w:color w:val="000000"/>
                <w:kern w:val="0"/>
                <w:sz w:val="24"/>
                <w:szCs w:val="24"/>
              </w:rPr>
              <w:t>30,807,030.00</w:t>
            </w:r>
          </w:p>
        </w:tc>
        <w:tc>
          <w:tcPr>
            <w:tcW w:w="1559" w:type="dxa"/>
            <w:vAlign w:val="center"/>
          </w:tcPr>
          <w:p w:rsidR="00290B63" w:rsidRDefault="00BB5998">
            <w:pPr>
              <w:jc w:val="right"/>
            </w:pPr>
            <w:r>
              <w:rPr>
                <w:color w:val="000000"/>
                <w:kern w:val="0"/>
                <w:sz w:val="24"/>
                <w:szCs w:val="24"/>
              </w:rPr>
              <w:t>5.71</w:t>
            </w:r>
          </w:p>
        </w:tc>
      </w:tr>
      <w:tr w:rsidR="00290B63">
        <w:tc>
          <w:tcPr>
            <w:tcW w:w="851" w:type="dxa"/>
            <w:vAlign w:val="center"/>
          </w:tcPr>
          <w:p w:rsidR="00290B63" w:rsidRDefault="00BB5998">
            <w:pPr>
              <w:jc w:val="center"/>
            </w:pPr>
            <w:r>
              <w:rPr>
                <w:color w:val="000000"/>
                <w:kern w:val="0"/>
                <w:sz w:val="24"/>
                <w:szCs w:val="24"/>
              </w:rPr>
              <w:t>6</w:t>
            </w:r>
          </w:p>
        </w:tc>
        <w:tc>
          <w:tcPr>
            <w:tcW w:w="1276" w:type="dxa"/>
            <w:vAlign w:val="center"/>
          </w:tcPr>
          <w:p w:rsidR="00290B63" w:rsidRDefault="00BB5998">
            <w:pPr>
              <w:jc w:val="center"/>
            </w:pPr>
            <w:r>
              <w:rPr>
                <w:color w:val="000000"/>
                <w:kern w:val="0"/>
                <w:sz w:val="24"/>
                <w:szCs w:val="24"/>
              </w:rPr>
              <w:t>002007</w:t>
            </w:r>
          </w:p>
        </w:tc>
        <w:tc>
          <w:tcPr>
            <w:tcW w:w="1418" w:type="dxa"/>
            <w:vAlign w:val="center"/>
          </w:tcPr>
          <w:p w:rsidR="00290B63" w:rsidRDefault="00BB5998">
            <w:pPr>
              <w:jc w:val="center"/>
            </w:pPr>
            <w:r>
              <w:rPr>
                <w:color w:val="000000"/>
                <w:kern w:val="0"/>
                <w:sz w:val="24"/>
                <w:szCs w:val="24"/>
              </w:rPr>
              <w:t>华兰生物</w:t>
            </w:r>
          </w:p>
        </w:tc>
        <w:tc>
          <w:tcPr>
            <w:tcW w:w="1701" w:type="dxa"/>
            <w:vAlign w:val="center"/>
          </w:tcPr>
          <w:p w:rsidR="00290B63" w:rsidRDefault="00BB5998">
            <w:pPr>
              <w:jc w:val="right"/>
            </w:pPr>
            <w:r>
              <w:rPr>
                <w:color w:val="000000"/>
                <w:kern w:val="0"/>
                <w:sz w:val="24"/>
                <w:szCs w:val="24"/>
              </w:rPr>
              <w:t>878,349</w:t>
            </w:r>
          </w:p>
        </w:tc>
        <w:tc>
          <w:tcPr>
            <w:tcW w:w="1984" w:type="dxa"/>
            <w:vAlign w:val="center"/>
          </w:tcPr>
          <w:p w:rsidR="00290B63" w:rsidRDefault="00BB5998">
            <w:pPr>
              <w:jc w:val="right"/>
            </w:pPr>
            <w:r>
              <w:rPr>
                <w:color w:val="000000"/>
                <w:kern w:val="0"/>
                <w:sz w:val="24"/>
                <w:szCs w:val="24"/>
              </w:rPr>
              <w:t>30,127,370.70</w:t>
            </w:r>
          </w:p>
        </w:tc>
        <w:tc>
          <w:tcPr>
            <w:tcW w:w="1559" w:type="dxa"/>
            <w:vAlign w:val="center"/>
          </w:tcPr>
          <w:p w:rsidR="00290B63" w:rsidRDefault="00BB5998">
            <w:pPr>
              <w:jc w:val="right"/>
            </w:pPr>
            <w:r>
              <w:rPr>
                <w:color w:val="000000"/>
                <w:kern w:val="0"/>
                <w:sz w:val="24"/>
                <w:szCs w:val="24"/>
              </w:rPr>
              <w:t>5.58</w:t>
            </w:r>
          </w:p>
        </w:tc>
      </w:tr>
      <w:tr w:rsidR="00290B63">
        <w:tc>
          <w:tcPr>
            <w:tcW w:w="851" w:type="dxa"/>
            <w:vAlign w:val="center"/>
          </w:tcPr>
          <w:p w:rsidR="00290B63" w:rsidRDefault="00BB5998">
            <w:pPr>
              <w:jc w:val="center"/>
            </w:pPr>
            <w:r>
              <w:rPr>
                <w:color w:val="000000"/>
                <w:kern w:val="0"/>
                <w:sz w:val="24"/>
                <w:szCs w:val="24"/>
              </w:rPr>
              <w:t>7</w:t>
            </w:r>
          </w:p>
        </w:tc>
        <w:tc>
          <w:tcPr>
            <w:tcW w:w="1276" w:type="dxa"/>
            <w:vAlign w:val="center"/>
          </w:tcPr>
          <w:p w:rsidR="00290B63" w:rsidRDefault="00BB5998">
            <w:pPr>
              <w:jc w:val="center"/>
            </w:pPr>
            <w:r>
              <w:rPr>
                <w:color w:val="000000"/>
                <w:kern w:val="0"/>
                <w:sz w:val="24"/>
                <w:szCs w:val="24"/>
              </w:rPr>
              <w:t>601933</w:t>
            </w:r>
          </w:p>
        </w:tc>
        <w:tc>
          <w:tcPr>
            <w:tcW w:w="1418" w:type="dxa"/>
            <w:vAlign w:val="center"/>
          </w:tcPr>
          <w:p w:rsidR="00290B63" w:rsidRDefault="00BB5998">
            <w:pPr>
              <w:jc w:val="center"/>
            </w:pPr>
            <w:r>
              <w:rPr>
                <w:color w:val="000000"/>
                <w:kern w:val="0"/>
                <w:sz w:val="24"/>
                <w:szCs w:val="24"/>
              </w:rPr>
              <w:t>永辉超市</w:t>
            </w:r>
          </w:p>
        </w:tc>
        <w:tc>
          <w:tcPr>
            <w:tcW w:w="1701" w:type="dxa"/>
            <w:vAlign w:val="center"/>
          </w:tcPr>
          <w:p w:rsidR="00290B63" w:rsidRDefault="00BB5998">
            <w:pPr>
              <w:jc w:val="right"/>
            </w:pPr>
            <w:r>
              <w:rPr>
                <w:color w:val="000000"/>
                <w:kern w:val="0"/>
                <w:sz w:val="24"/>
                <w:szCs w:val="24"/>
              </w:rPr>
              <w:t>3,275,600</w:t>
            </w:r>
          </w:p>
        </w:tc>
        <w:tc>
          <w:tcPr>
            <w:tcW w:w="1984" w:type="dxa"/>
            <w:vAlign w:val="center"/>
          </w:tcPr>
          <w:p w:rsidR="00290B63" w:rsidRDefault="00BB5998">
            <w:pPr>
              <w:jc w:val="right"/>
            </w:pPr>
            <w:r>
              <w:rPr>
                <w:color w:val="000000"/>
                <w:kern w:val="0"/>
                <w:sz w:val="24"/>
                <w:szCs w:val="24"/>
              </w:rPr>
              <w:t>29,120,084.00</w:t>
            </w:r>
          </w:p>
        </w:tc>
        <w:tc>
          <w:tcPr>
            <w:tcW w:w="1559" w:type="dxa"/>
            <w:vAlign w:val="center"/>
          </w:tcPr>
          <w:p w:rsidR="00290B63" w:rsidRDefault="00BB5998">
            <w:pPr>
              <w:jc w:val="right"/>
            </w:pPr>
            <w:r>
              <w:rPr>
                <w:color w:val="000000"/>
                <w:kern w:val="0"/>
                <w:sz w:val="24"/>
                <w:szCs w:val="24"/>
              </w:rPr>
              <w:t>5.39</w:t>
            </w:r>
          </w:p>
        </w:tc>
      </w:tr>
      <w:tr w:rsidR="00290B63">
        <w:tc>
          <w:tcPr>
            <w:tcW w:w="851" w:type="dxa"/>
            <w:vAlign w:val="center"/>
          </w:tcPr>
          <w:p w:rsidR="00290B63" w:rsidRDefault="00BB5998">
            <w:pPr>
              <w:jc w:val="center"/>
            </w:pPr>
            <w:r>
              <w:rPr>
                <w:color w:val="000000"/>
                <w:kern w:val="0"/>
                <w:sz w:val="24"/>
                <w:szCs w:val="24"/>
              </w:rPr>
              <w:t>8</w:t>
            </w:r>
          </w:p>
        </w:tc>
        <w:tc>
          <w:tcPr>
            <w:tcW w:w="1276" w:type="dxa"/>
            <w:vAlign w:val="center"/>
          </w:tcPr>
          <w:p w:rsidR="00290B63" w:rsidRDefault="00BB5998">
            <w:pPr>
              <w:jc w:val="center"/>
            </w:pPr>
            <w:r>
              <w:rPr>
                <w:color w:val="000000"/>
                <w:kern w:val="0"/>
                <w:sz w:val="24"/>
                <w:szCs w:val="24"/>
              </w:rPr>
              <w:t>600519</w:t>
            </w:r>
          </w:p>
        </w:tc>
        <w:tc>
          <w:tcPr>
            <w:tcW w:w="1418" w:type="dxa"/>
            <w:vAlign w:val="center"/>
          </w:tcPr>
          <w:p w:rsidR="00290B63" w:rsidRDefault="00BB5998">
            <w:pPr>
              <w:jc w:val="center"/>
            </w:pPr>
            <w:r>
              <w:rPr>
                <w:color w:val="000000"/>
                <w:kern w:val="0"/>
                <w:sz w:val="24"/>
                <w:szCs w:val="24"/>
              </w:rPr>
              <w:t>贵州茅台</w:t>
            </w:r>
          </w:p>
        </w:tc>
        <w:tc>
          <w:tcPr>
            <w:tcW w:w="1701" w:type="dxa"/>
            <w:vAlign w:val="center"/>
          </w:tcPr>
          <w:p w:rsidR="00290B63" w:rsidRDefault="00BB5998">
            <w:pPr>
              <w:jc w:val="right"/>
            </w:pPr>
            <w:r>
              <w:rPr>
                <w:color w:val="000000"/>
                <w:kern w:val="0"/>
                <w:sz w:val="24"/>
                <w:szCs w:val="24"/>
              </w:rPr>
              <w:t>19,600</w:t>
            </w:r>
          </w:p>
        </w:tc>
        <w:tc>
          <w:tcPr>
            <w:tcW w:w="1984" w:type="dxa"/>
            <w:vAlign w:val="center"/>
          </w:tcPr>
          <w:p w:rsidR="00290B63" w:rsidRDefault="00BB5998">
            <w:pPr>
              <w:jc w:val="right"/>
            </w:pPr>
            <w:r>
              <w:rPr>
                <w:color w:val="000000"/>
                <w:kern w:val="0"/>
                <w:sz w:val="24"/>
                <w:szCs w:val="24"/>
              </w:rPr>
              <w:t>22,540,000.00</w:t>
            </w:r>
          </w:p>
        </w:tc>
        <w:tc>
          <w:tcPr>
            <w:tcW w:w="1559" w:type="dxa"/>
            <w:vAlign w:val="center"/>
          </w:tcPr>
          <w:p w:rsidR="00290B63" w:rsidRDefault="00BB5998">
            <w:pPr>
              <w:jc w:val="right"/>
            </w:pPr>
            <w:r>
              <w:rPr>
                <w:color w:val="000000"/>
                <w:kern w:val="0"/>
                <w:sz w:val="24"/>
                <w:szCs w:val="24"/>
              </w:rPr>
              <w:t>4.17</w:t>
            </w:r>
          </w:p>
        </w:tc>
      </w:tr>
      <w:tr w:rsidR="00290B63">
        <w:tc>
          <w:tcPr>
            <w:tcW w:w="851" w:type="dxa"/>
            <w:vAlign w:val="center"/>
          </w:tcPr>
          <w:p w:rsidR="00290B63" w:rsidRDefault="00BB5998">
            <w:pPr>
              <w:jc w:val="center"/>
            </w:pPr>
            <w:r>
              <w:rPr>
                <w:color w:val="000000"/>
                <w:kern w:val="0"/>
                <w:sz w:val="24"/>
                <w:szCs w:val="24"/>
              </w:rPr>
              <w:t>9</w:t>
            </w:r>
          </w:p>
        </w:tc>
        <w:tc>
          <w:tcPr>
            <w:tcW w:w="1276" w:type="dxa"/>
            <w:vAlign w:val="center"/>
          </w:tcPr>
          <w:p w:rsidR="00290B63" w:rsidRDefault="00BB5998">
            <w:pPr>
              <w:jc w:val="center"/>
            </w:pPr>
            <w:r>
              <w:rPr>
                <w:color w:val="000000"/>
                <w:kern w:val="0"/>
                <w:sz w:val="24"/>
                <w:szCs w:val="24"/>
              </w:rPr>
              <w:t>000651</w:t>
            </w:r>
          </w:p>
        </w:tc>
        <w:tc>
          <w:tcPr>
            <w:tcW w:w="1418" w:type="dxa"/>
            <w:vAlign w:val="center"/>
          </w:tcPr>
          <w:p w:rsidR="00290B63" w:rsidRDefault="00BB5998">
            <w:pPr>
              <w:jc w:val="center"/>
            </w:pPr>
            <w:r>
              <w:rPr>
                <w:color w:val="000000"/>
                <w:kern w:val="0"/>
                <w:sz w:val="24"/>
                <w:szCs w:val="24"/>
              </w:rPr>
              <w:t>格力电器</w:t>
            </w:r>
          </w:p>
        </w:tc>
        <w:tc>
          <w:tcPr>
            <w:tcW w:w="1701" w:type="dxa"/>
            <w:vAlign w:val="center"/>
          </w:tcPr>
          <w:p w:rsidR="00290B63" w:rsidRDefault="00BB5998">
            <w:pPr>
              <w:jc w:val="right"/>
            </w:pPr>
            <w:r>
              <w:rPr>
                <w:color w:val="000000"/>
                <w:kern w:val="0"/>
                <w:sz w:val="24"/>
                <w:szCs w:val="24"/>
              </w:rPr>
              <w:t>380,440</w:t>
            </w:r>
          </w:p>
        </w:tc>
        <w:tc>
          <w:tcPr>
            <w:tcW w:w="1984" w:type="dxa"/>
            <w:vAlign w:val="center"/>
          </w:tcPr>
          <w:p w:rsidR="00290B63" w:rsidRDefault="00BB5998">
            <w:pPr>
              <w:jc w:val="right"/>
            </w:pPr>
            <w:r>
              <w:rPr>
                <w:color w:val="000000"/>
                <w:kern w:val="0"/>
                <w:sz w:val="24"/>
                <w:szCs w:val="24"/>
              </w:rPr>
              <w:t>21,799,212.00</w:t>
            </w:r>
          </w:p>
        </w:tc>
        <w:tc>
          <w:tcPr>
            <w:tcW w:w="1559" w:type="dxa"/>
            <w:vAlign w:val="center"/>
          </w:tcPr>
          <w:p w:rsidR="00290B63" w:rsidRDefault="00BB5998">
            <w:pPr>
              <w:jc w:val="right"/>
            </w:pPr>
            <w:r>
              <w:rPr>
                <w:color w:val="000000"/>
                <w:kern w:val="0"/>
                <w:sz w:val="24"/>
                <w:szCs w:val="24"/>
              </w:rPr>
              <w:t>4.04</w:t>
            </w:r>
          </w:p>
        </w:tc>
      </w:tr>
      <w:tr w:rsidR="00290B63">
        <w:tc>
          <w:tcPr>
            <w:tcW w:w="851" w:type="dxa"/>
            <w:vAlign w:val="center"/>
          </w:tcPr>
          <w:p w:rsidR="00290B63" w:rsidRDefault="00BB5998">
            <w:pPr>
              <w:jc w:val="center"/>
            </w:pPr>
            <w:r>
              <w:rPr>
                <w:color w:val="000000"/>
                <w:kern w:val="0"/>
                <w:sz w:val="24"/>
                <w:szCs w:val="24"/>
              </w:rPr>
              <w:t>10</w:t>
            </w:r>
          </w:p>
        </w:tc>
        <w:tc>
          <w:tcPr>
            <w:tcW w:w="1276" w:type="dxa"/>
            <w:vAlign w:val="center"/>
          </w:tcPr>
          <w:p w:rsidR="00290B63" w:rsidRDefault="00BB5998">
            <w:pPr>
              <w:jc w:val="center"/>
            </w:pPr>
            <w:r>
              <w:rPr>
                <w:color w:val="000000"/>
                <w:kern w:val="0"/>
                <w:sz w:val="24"/>
                <w:szCs w:val="24"/>
              </w:rPr>
              <w:t>000423</w:t>
            </w:r>
          </w:p>
        </w:tc>
        <w:tc>
          <w:tcPr>
            <w:tcW w:w="1418" w:type="dxa"/>
            <w:vAlign w:val="center"/>
          </w:tcPr>
          <w:p w:rsidR="00290B63" w:rsidRDefault="00BB5998">
            <w:pPr>
              <w:jc w:val="center"/>
            </w:pPr>
            <w:r>
              <w:rPr>
                <w:color w:val="000000"/>
                <w:kern w:val="0"/>
                <w:sz w:val="24"/>
                <w:szCs w:val="24"/>
              </w:rPr>
              <w:t>东阿阿胶</w:t>
            </w:r>
          </w:p>
        </w:tc>
        <w:tc>
          <w:tcPr>
            <w:tcW w:w="1701" w:type="dxa"/>
            <w:vAlign w:val="center"/>
          </w:tcPr>
          <w:p w:rsidR="00290B63" w:rsidRDefault="00BB5998">
            <w:pPr>
              <w:jc w:val="right"/>
            </w:pPr>
            <w:r>
              <w:rPr>
                <w:color w:val="000000"/>
                <w:kern w:val="0"/>
                <w:sz w:val="24"/>
                <w:szCs w:val="24"/>
              </w:rPr>
              <w:t>678,000</w:t>
            </w:r>
          </w:p>
        </w:tc>
        <w:tc>
          <w:tcPr>
            <w:tcW w:w="1984" w:type="dxa"/>
            <w:vAlign w:val="center"/>
          </w:tcPr>
          <w:p w:rsidR="00290B63" w:rsidRDefault="00BB5998">
            <w:pPr>
              <w:jc w:val="right"/>
            </w:pPr>
            <w:r>
              <w:rPr>
                <w:color w:val="000000"/>
                <w:kern w:val="0"/>
                <w:sz w:val="24"/>
                <w:szCs w:val="24"/>
              </w:rPr>
              <w:t>20,665,440.00</w:t>
            </w:r>
          </w:p>
        </w:tc>
        <w:tc>
          <w:tcPr>
            <w:tcW w:w="1559" w:type="dxa"/>
            <w:vAlign w:val="center"/>
          </w:tcPr>
          <w:p w:rsidR="00290B63" w:rsidRDefault="00BB5998">
            <w:pPr>
              <w:jc w:val="right"/>
            </w:pPr>
            <w:r>
              <w:rPr>
                <w:color w:val="000000"/>
                <w:kern w:val="0"/>
                <w:sz w:val="24"/>
                <w:szCs w:val="24"/>
              </w:rPr>
              <w:t>3.83</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40,244,000.00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7.45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40,244,000.00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7.45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40,244,000.00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7.45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290B63">
        <w:tc>
          <w:tcPr>
            <w:tcW w:w="959" w:type="dxa"/>
            <w:vAlign w:val="center"/>
          </w:tcPr>
          <w:p w:rsidR="00290B63" w:rsidRDefault="00BB5998">
            <w:pPr>
              <w:jc w:val="center"/>
            </w:pPr>
            <w:r>
              <w:rPr>
                <w:color w:val="000000"/>
                <w:kern w:val="0"/>
                <w:sz w:val="24"/>
                <w:szCs w:val="24"/>
              </w:rPr>
              <w:t>1</w:t>
            </w:r>
          </w:p>
        </w:tc>
        <w:tc>
          <w:tcPr>
            <w:tcW w:w="1276" w:type="dxa"/>
            <w:vAlign w:val="center"/>
          </w:tcPr>
          <w:p w:rsidR="00290B63" w:rsidRDefault="00BB5998">
            <w:pPr>
              <w:jc w:val="center"/>
            </w:pPr>
            <w:r>
              <w:rPr>
                <w:color w:val="000000"/>
                <w:kern w:val="0"/>
                <w:sz w:val="24"/>
                <w:szCs w:val="24"/>
              </w:rPr>
              <w:t>150415</w:t>
            </w:r>
          </w:p>
        </w:tc>
        <w:tc>
          <w:tcPr>
            <w:tcW w:w="1275" w:type="dxa"/>
            <w:vAlign w:val="center"/>
          </w:tcPr>
          <w:p w:rsidR="00290B63" w:rsidRDefault="00BB5998">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290B63" w:rsidRDefault="00BB5998">
            <w:pPr>
              <w:jc w:val="right"/>
            </w:pPr>
            <w:r>
              <w:rPr>
                <w:color w:val="000000"/>
                <w:kern w:val="0"/>
                <w:sz w:val="24"/>
                <w:szCs w:val="24"/>
              </w:rPr>
              <w:t>400,000</w:t>
            </w:r>
          </w:p>
        </w:tc>
        <w:tc>
          <w:tcPr>
            <w:tcW w:w="1984" w:type="dxa"/>
            <w:vAlign w:val="center"/>
          </w:tcPr>
          <w:p w:rsidR="00290B63" w:rsidRDefault="00BB5998">
            <w:pPr>
              <w:jc w:val="right"/>
            </w:pPr>
            <w:r>
              <w:rPr>
                <w:color w:val="000000"/>
                <w:kern w:val="0"/>
                <w:sz w:val="24"/>
                <w:szCs w:val="24"/>
              </w:rPr>
              <w:t>40,244,000.00</w:t>
            </w:r>
          </w:p>
        </w:tc>
        <w:tc>
          <w:tcPr>
            <w:tcW w:w="1474" w:type="dxa"/>
            <w:vAlign w:val="center"/>
          </w:tcPr>
          <w:p w:rsidR="00290B63" w:rsidRDefault="00BB5998">
            <w:pPr>
              <w:jc w:val="right"/>
            </w:pPr>
            <w:r>
              <w:rPr>
                <w:color w:val="000000"/>
                <w:kern w:val="0"/>
                <w:sz w:val="24"/>
                <w:szCs w:val="24"/>
              </w:rPr>
              <w:t>7.45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招商银行（代码：600036）为易方达科汇灵活配置混合型证券投资基金的前十大重仓证券之一。2019年7月8日，中国银行保险监督管理委员会上海监管局对招商银行股份有限公司信用卡中心2016年9月至2018年6月在为部分客户办理信用卡业务时，未遵守总授信额度管理制度的违法违规事实，处以责令改正，并处罚款20万元的行政处罚。</w:t>
      </w:r>
    </w:p>
    <w:p w:rsidR="00290B63" w:rsidRDefault="00BB5998">
      <w:pPr>
        <w:spacing w:line="360" w:lineRule="auto"/>
        <w:rPr>
          <w:rFonts w:ascii="宋体" w:hAnsi="宋体"/>
          <w:color w:val="000000"/>
          <w:sz w:val="24"/>
          <w:szCs w:val="24"/>
        </w:rPr>
      </w:pPr>
      <w:r>
        <w:rPr>
          <w:rFonts w:ascii="宋体" w:hAnsi="宋体"/>
          <w:color w:val="000000"/>
          <w:sz w:val="24"/>
          <w:szCs w:val="24"/>
        </w:rPr>
        <w:t>宁波银行（代码：</w:t>
      </w:r>
      <w:r>
        <w:rPr>
          <w:rFonts w:ascii="宋体" w:hAnsi="宋体"/>
          <w:color w:val="000000"/>
          <w:sz w:val="24"/>
          <w:szCs w:val="24"/>
        </w:rPr>
        <w:t>002142</w:t>
      </w:r>
      <w:r>
        <w:rPr>
          <w:rFonts w:ascii="宋体" w:hAnsi="宋体"/>
          <w:color w:val="000000"/>
          <w:sz w:val="24"/>
          <w:szCs w:val="24"/>
        </w:rPr>
        <w:t>）为易方达科汇灵活配置混合型证券投资基金的前十大重仓证券之一。</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12</w:t>
      </w:r>
      <w:r>
        <w:rPr>
          <w:rFonts w:ascii="宋体" w:hAnsi="宋体"/>
          <w:color w:val="000000"/>
          <w:sz w:val="24"/>
          <w:szCs w:val="24"/>
        </w:rPr>
        <w:t>月</w:t>
      </w:r>
      <w:r>
        <w:rPr>
          <w:rFonts w:ascii="宋体" w:hAnsi="宋体"/>
          <w:color w:val="000000"/>
          <w:sz w:val="24"/>
          <w:szCs w:val="24"/>
        </w:rPr>
        <w:t>13</w:t>
      </w:r>
      <w:r>
        <w:rPr>
          <w:rFonts w:ascii="宋体" w:hAnsi="宋体"/>
          <w:color w:val="000000"/>
          <w:sz w:val="24"/>
          <w:szCs w:val="24"/>
        </w:rPr>
        <w:t>日，宁波银监局针对宁波银行个人贷款资金违规流入房市、购买理财的违法违规事实，处以人民币</w:t>
      </w:r>
      <w:r>
        <w:rPr>
          <w:rFonts w:ascii="宋体" w:hAnsi="宋体"/>
          <w:color w:val="000000"/>
          <w:sz w:val="24"/>
          <w:szCs w:val="24"/>
        </w:rPr>
        <w:t>20</w:t>
      </w:r>
      <w:r>
        <w:rPr>
          <w:rFonts w:ascii="宋体" w:hAnsi="宋体"/>
          <w:color w:val="000000"/>
          <w:sz w:val="24"/>
          <w:szCs w:val="24"/>
        </w:rPr>
        <w:t>万元的行政处罚。</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3</w:t>
      </w:r>
      <w:r>
        <w:rPr>
          <w:rFonts w:ascii="宋体" w:hAnsi="宋体"/>
          <w:color w:val="000000"/>
          <w:sz w:val="24"/>
          <w:szCs w:val="24"/>
        </w:rPr>
        <w:t>月</w:t>
      </w:r>
      <w:r>
        <w:rPr>
          <w:rFonts w:ascii="宋体" w:hAnsi="宋体"/>
          <w:color w:val="000000"/>
          <w:sz w:val="24"/>
          <w:szCs w:val="24"/>
        </w:rPr>
        <w:t>3</w:t>
      </w:r>
      <w:r>
        <w:rPr>
          <w:rFonts w:ascii="宋体" w:hAnsi="宋体"/>
          <w:color w:val="000000"/>
          <w:sz w:val="24"/>
          <w:szCs w:val="24"/>
        </w:rPr>
        <w:t>日，宁波银保监局针对宁波银行违规将同业存款变为一般性存款的违法违规事实，处以人民币</w:t>
      </w:r>
      <w:r>
        <w:rPr>
          <w:rFonts w:ascii="宋体" w:hAnsi="宋体"/>
          <w:color w:val="000000"/>
          <w:sz w:val="24"/>
          <w:szCs w:val="24"/>
        </w:rPr>
        <w:t>20</w:t>
      </w:r>
      <w:r>
        <w:rPr>
          <w:rFonts w:ascii="宋体" w:hAnsi="宋体"/>
          <w:color w:val="000000"/>
          <w:sz w:val="24"/>
          <w:szCs w:val="24"/>
        </w:rPr>
        <w:t>万元的行政处罚。</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28</w:t>
      </w:r>
      <w:r>
        <w:rPr>
          <w:rFonts w:ascii="宋体" w:hAnsi="宋体"/>
          <w:color w:val="000000"/>
          <w:sz w:val="24"/>
          <w:szCs w:val="24"/>
        </w:rPr>
        <w:t>日，宁波银保监局针对宁波银行违反信贷政策、违反房地产行业政策、违规开展存贷业务、员工管理不到位、向监管部门报送的报表不准确等违法违规事实，处以罚款人民币</w:t>
      </w:r>
      <w:r>
        <w:rPr>
          <w:rFonts w:ascii="宋体" w:hAnsi="宋体"/>
          <w:color w:val="000000"/>
          <w:sz w:val="24"/>
          <w:szCs w:val="24"/>
        </w:rPr>
        <w:t>270</w:t>
      </w:r>
      <w:r>
        <w:rPr>
          <w:rFonts w:ascii="宋体" w:hAnsi="宋体"/>
          <w:color w:val="000000"/>
          <w:sz w:val="24"/>
          <w:szCs w:val="24"/>
        </w:rPr>
        <w:t>万</w:t>
      </w:r>
      <w:r>
        <w:rPr>
          <w:rFonts w:ascii="宋体" w:hAnsi="宋体"/>
          <w:color w:val="000000"/>
          <w:sz w:val="24"/>
          <w:szCs w:val="24"/>
        </w:rPr>
        <w:t>元，并责令该行对相关直接责任人给予纪律处分的行政处罚。</w:t>
      </w: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6</w:t>
      </w:r>
      <w:r>
        <w:rPr>
          <w:rFonts w:ascii="宋体" w:hAnsi="宋体"/>
          <w:color w:val="000000"/>
          <w:sz w:val="24"/>
          <w:szCs w:val="24"/>
        </w:rPr>
        <w:t>月</w:t>
      </w:r>
      <w:r>
        <w:rPr>
          <w:rFonts w:ascii="宋体" w:hAnsi="宋体"/>
          <w:color w:val="000000"/>
          <w:sz w:val="24"/>
          <w:szCs w:val="24"/>
        </w:rPr>
        <w:t>28</w:t>
      </w:r>
      <w:r>
        <w:rPr>
          <w:rFonts w:ascii="宋体" w:hAnsi="宋体"/>
          <w:color w:val="000000"/>
          <w:sz w:val="24"/>
          <w:szCs w:val="24"/>
        </w:rPr>
        <w:t>日，宁波银保监局针对宁波银行销售行为不合规、双录管理不到位的违法违规事实，处以罚款人民币</w:t>
      </w:r>
      <w:r>
        <w:rPr>
          <w:rFonts w:ascii="宋体" w:hAnsi="宋体"/>
          <w:color w:val="000000"/>
          <w:sz w:val="24"/>
          <w:szCs w:val="24"/>
        </w:rPr>
        <w:t>30</w:t>
      </w:r>
      <w:r>
        <w:rPr>
          <w:rFonts w:ascii="宋体" w:hAnsi="宋体"/>
          <w:color w:val="000000"/>
          <w:sz w:val="24"/>
          <w:szCs w:val="24"/>
        </w:rPr>
        <w:t>万元，并责令该行对相关直接责任人给予纪律处分的行政处罚。</w:t>
      </w:r>
    </w:p>
    <w:p w:rsidR="00290B63" w:rsidRDefault="00BB5998">
      <w:pPr>
        <w:spacing w:line="360" w:lineRule="auto"/>
        <w:rPr>
          <w:rFonts w:ascii="宋体" w:hAnsi="宋体"/>
          <w:color w:val="000000"/>
          <w:sz w:val="24"/>
          <w:szCs w:val="24"/>
        </w:rPr>
      </w:pPr>
      <w:r>
        <w:rPr>
          <w:rFonts w:ascii="宋体" w:hAnsi="宋体"/>
          <w:color w:val="000000"/>
          <w:sz w:val="24"/>
          <w:szCs w:val="24"/>
        </w:rPr>
        <w:t>本基金投资招商银行、宁波银行的投资决策程序符合公司投资制度的规定。</w:t>
      </w:r>
    </w:p>
    <w:p w:rsidR="00290B63" w:rsidRDefault="00BB5998">
      <w:pPr>
        <w:spacing w:line="360" w:lineRule="auto"/>
        <w:rPr>
          <w:rFonts w:ascii="宋体" w:hAnsi="宋体"/>
          <w:color w:val="000000"/>
          <w:sz w:val="24"/>
          <w:szCs w:val="24"/>
        </w:rPr>
      </w:pPr>
      <w:r>
        <w:rPr>
          <w:rFonts w:ascii="宋体" w:hAnsi="宋体"/>
          <w:color w:val="000000"/>
          <w:sz w:val="24"/>
          <w:szCs w:val="24"/>
        </w:rPr>
        <w:t>除招商银行、宁波银行外，本基金投资的前十名证券的发行主体本期没有出现被监管部门立案调查，或在报告编制日前一年内受到公开谴责、处罚的情形。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312,920.98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113,670.18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555,621.55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74,436.83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1,056,649.54</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559,685,291.68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6,953,899.01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220,510,450.36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346,128,740.33</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290B63">
        <w:trPr>
          <w:jc w:val="center"/>
        </w:trPr>
        <w:tc>
          <w:tcPr>
            <w:tcW w:w="1798" w:type="dxa"/>
            <w:vMerge w:val="restart"/>
            <w:vAlign w:val="center"/>
          </w:tcPr>
          <w:p w:rsidR="00290B63" w:rsidRDefault="00BB5998">
            <w:r>
              <w:rPr>
                <w:rFonts w:eastAsiaTheme="minorEastAsia"/>
                <w:bCs/>
                <w:color w:val="000000" w:themeColor="text1"/>
                <w:sz w:val="24"/>
                <w:szCs w:val="24"/>
              </w:rPr>
              <w:t>机构</w:t>
            </w:r>
          </w:p>
        </w:tc>
        <w:tc>
          <w:tcPr>
            <w:tcW w:w="709" w:type="dxa"/>
            <w:vAlign w:val="center"/>
          </w:tcPr>
          <w:p w:rsidR="00290B63" w:rsidRDefault="00BB5998">
            <w:pPr>
              <w:jc w:val="center"/>
            </w:pPr>
            <w:r>
              <w:rPr>
                <w:sz w:val="24"/>
                <w:szCs w:val="24"/>
              </w:rPr>
              <w:t>1</w:t>
            </w:r>
          </w:p>
        </w:tc>
        <w:tc>
          <w:tcPr>
            <w:tcW w:w="1985" w:type="dxa"/>
            <w:vAlign w:val="center"/>
          </w:tcPr>
          <w:p w:rsidR="00290B63" w:rsidRDefault="00BB5998">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290B63" w:rsidRDefault="00BB5998">
            <w:pPr>
              <w:jc w:val="center"/>
            </w:pPr>
            <w:r>
              <w:rPr>
                <w:sz w:val="24"/>
                <w:szCs w:val="24"/>
              </w:rPr>
              <w:t>329,963,849.02</w:t>
            </w:r>
          </w:p>
        </w:tc>
        <w:tc>
          <w:tcPr>
            <w:tcW w:w="992" w:type="dxa"/>
            <w:vAlign w:val="center"/>
          </w:tcPr>
          <w:p w:rsidR="00290B63" w:rsidRDefault="00BB5998">
            <w:pPr>
              <w:jc w:val="center"/>
            </w:pPr>
            <w:r>
              <w:rPr>
                <w:sz w:val="24"/>
                <w:szCs w:val="24"/>
              </w:rPr>
              <w:t>-</w:t>
            </w:r>
          </w:p>
        </w:tc>
        <w:tc>
          <w:tcPr>
            <w:tcW w:w="1134" w:type="dxa"/>
            <w:vAlign w:val="center"/>
          </w:tcPr>
          <w:p w:rsidR="00290B63" w:rsidRDefault="00BB5998">
            <w:pPr>
              <w:jc w:val="center"/>
            </w:pPr>
            <w:r>
              <w:rPr>
                <w:sz w:val="24"/>
                <w:szCs w:val="24"/>
              </w:rPr>
              <w:t>203,000,000.00</w:t>
            </w:r>
          </w:p>
        </w:tc>
        <w:tc>
          <w:tcPr>
            <w:tcW w:w="1037" w:type="dxa"/>
            <w:vAlign w:val="center"/>
          </w:tcPr>
          <w:p w:rsidR="00290B63" w:rsidRDefault="00BB5998">
            <w:pPr>
              <w:jc w:val="center"/>
            </w:pPr>
            <w:r>
              <w:rPr>
                <w:sz w:val="24"/>
                <w:szCs w:val="24"/>
              </w:rPr>
              <w:t>126,963,849.02</w:t>
            </w:r>
          </w:p>
        </w:tc>
        <w:tc>
          <w:tcPr>
            <w:tcW w:w="851" w:type="dxa"/>
            <w:vAlign w:val="center"/>
          </w:tcPr>
          <w:p w:rsidR="00290B63" w:rsidRDefault="00BB5998">
            <w:pPr>
              <w:jc w:val="center"/>
            </w:pPr>
            <w:r>
              <w:rPr>
                <w:sz w:val="24"/>
                <w:szCs w:val="24"/>
              </w:rPr>
              <w:t>36.68%</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290B63" w:rsidRDefault="00BB5998">
      <w:pPr>
        <w:spacing w:line="360" w:lineRule="auto"/>
        <w:ind w:firstLineChars="200" w:firstLine="480"/>
        <w:rPr>
          <w:color w:val="000000"/>
          <w:sz w:val="24"/>
          <w:szCs w:val="24"/>
        </w:rPr>
      </w:pPr>
      <w:r>
        <w:rPr>
          <w:color w:val="000000"/>
          <w:sz w:val="24"/>
          <w:szCs w:val="24"/>
        </w:rPr>
        <w:t>1.</w:t>
      </w:r>
      <w:r>
        <w:rPr>
          <w:color w:val="000000"/>
          <w:sz w:val="24"/>
          <w:szCs w:val="24"/>
        </w:rPr>
        <w:t>科汇证券投资基金基金份额持有人大会决议生效公告；</w:t>
      </w:r>
    </w:p>
    <w:p w:rsidR="00290B63" w:rsidRDefault="00BB5998">
      <w:pPr>
        <w:spacing w:line="360" w:lineRule="auto"/>
        <w:ind w:firstLineChars="200" w:firstLine="480"/>
        <w:rPr>
          <w:color w:val="000000"/>
          <w:sz w:val="24"/>
          <w:szCs w:val="24"/>
        </w:rPr>
      </w:pPr>
      <w:r>
        <w:rPr>
          <w:color w:val="000000"/>
          <w:sz w:val="24"/>
          <w:szCs w:val="24"/>
        </w:rPr>
        <w:t>2.</w:t>
      </w:r>
      <w:r>
        <w:rPr>
          <w:color w:val="000000"/>
          <w:sz w:val="24"/>
          <w:szCs w:val="24"/>
        </w:rPr>
        <w:t>中国证监会《关于核准科汇证券投资基金基金份额持有人大会有关转换基金运作方式决议的批复》（证监许可</w:t>
      </w:r>
      <w:r>
        <w:rPr>
          <w:color w:val="000000"/>
          <w:sz w:val="24"/>
          <w:szCs w:val="24"/>
        </w:rPr>
        <w:t>[2008]1140</w:t>
      </w:r>
      <w:r>
        <w:rPr>
          <w:color w:val="000000"/>
          <w:sz w:val="24"/>
          <w:szCs w:val="24"/>
        </w:rPr>
        <w:t>号）；</w:t>
      </w:r>
    </w:p>
    <w:p w:rsidR="00290B63" w:rsidRDefault="00BB5998">
      <w:pPr>
        <w:spacing w:line="360" w:lineRule="auto"/>
        <w:ind w:firstLineChars="200" w:firstLine="480"/>
        <w:rPr>
          <w:color w:val="000000"/>
          <w:sz w:val="24"/>
          <w:szCs w:val="24"/>
        </w:rPr>
      </w:pPr>
      <w:r>
        <w:rPr>
          <w:color w:val="000000"/>
          <w:sz w:val="24"/>
          <w:szCs w:val="24"/>
        </w:rPr>
        <w:t>3.</w:t>
      </w:r>
      <w:r>
        <w:rPr>
          <w:color w:val="000000"/>
          <w:sz w:val="24"/>
          <w:szCs w:val="24"/>
        </w:rPr>
        <w:t>《易方达科汇灵活配置混合型证券投资基金基金合同》；</w:t>
      </w:r>
    </w:p>
    <w:p w:rsidR="00290B63" w:rsidRDefault="00BB5998">
      <w:pPr>
        <w:spacing w:line="360" w:lineRule="auto"/>
        <w:ind w:firstLineChars="200" w:firstLine="480"/>
        <w:rPr>
          <w:color w:val="000000"/>
          <w:sz w:val="24"/>
          <w:szCs w:val="24"/>
        </w:rPr>
      </w:pPr>
      <w:r>
        <w:rPr>
          <w:color w:val="000000"/>
          <w:sz w:val="24"/>
          <w:szCs w:val="24"/>
        </w:rPr>
        <w:t>4.</w:t>
      </w:r>
      <w:r>
        <w:rPr>
          <w:color w:val="000000"/>
          <w:sz w:val="24"/>
          <w:szCs w:val="24"/>
        </w:rPr>
        <w:t>《易方达科汇灵活配置混合型证券投资基金托管协议》；</w:t>
      </w:r>
    </w:p>
    <w:p w:rsidR="00290B63" w:rsidRDefault="00BB5998">
      <w:pPr>
        <w:spacing w:line="360" w:lineRule="auto"/>
        <w:ind w:firstLineChars="200" w:firstLine="480"/>
        <w:rPr>
          <w:color w:val="000000"/>
          <w:sz w:val="24"/>
          <w:szCs w:val="24"/>
        </w:rPr>
      </w:pPr>
      <w:r>
        <w:rPr>
          <w:color w:val="000000"/>
          <w:sz w:val="24"/>
          <w:szCs w:val="24"/>
        </w:rPr>
        <w:t>5.</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6.</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B5998">
      <w:rPr>
        <w:rStyle w:val="a7"/>
        <w:noProof/>
      </w:rPr>
      <w:t>1</w:t>
    </w:r>
    <w:r>
      <w:rPr>
        <w:rStyle w:val="a7"/>
      </w:rPr>
      <w:fldChar w:fldCharType="end"/>
    </w:r>
    <w:r>
      <w:rPr>
        <w:rStyle w:val="a7"/>
        <w:rFonts w:hint="eastAsia"/>
      </w:rPr>
      <w:t>页共</w:t>
    </w:r>
    <w:r w:rsidR="00BB5998">
      <w:fldChar w:fldCharType="begin"/>
    </w:r>
    <w:r w:rsidR="00BB5998">
      <w:instrText xml:space="preserve"> NUMPAGES  \* Arabic  \* MERGEFORMAT </w:instrText>
    </w:r>
    <w:r w:rsidR="00BB5998">
      <w:fldChar w:fldCharType="separate"/>
    </w:r>
    <w:r w:rsidR="00BB5998" w:rsidRPr="00BB5998">
      <w:rPr>
        <w:rStyle w:val="a7"/>
        <w:noProof/>
      </w:rPr>
      <w:t>3</w:t>
    </w:r>
    <w:r w:rsidR="00BB5998">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B5998">
      <w:rPr>
        <w:rStyle w:val="a7"/>
        <w:noProof/>
      </w:rPr>
      <w:t>13</w:t>
    </w:r>
    <w:r>
      <w:rPr>
        <w:rStyle w:val="a7"/>
      </w:rPr>
      <w:fldChar w:fldCharType="end"/>
    </w:r>
    <w:r>
      <w:rPr>
        <w:rStyle w:val="a7"/>
        <w:rFonts w:hint="eastAsia"/>
      </w:rPr>
      <w:t>页共</w:t>
    </w:r>
    <w:fldSimple w:instr=" NUMPAGES  \* Arabic  \* MERGEFORMAT ">
      <w:r w:rsidR="00BB5998" w:rsidRPr="00BB5998">
        <w:rPr>
          <w:rStyle w:val="a7"/>
          <w:noProof/>
        </w:rPr>
        <w:t>13</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易方达科汇灵活配置混合型证券投资基金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0B63"/>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5998"/>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845F7-8B55-4AD3-9B78-BA1CE3CF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