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易方达价值成长混合型证券投资基金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51199" w:rsidRDefault="0011481F">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51199" w:rsidRDefault="0011481F">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51199" w:rsidRDefault="0011481F">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51199" w:rsidRDefault="0011481F">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51199" w:rsidRDefault="0011481F">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易方达价值成长混合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110010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110010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2007</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3,047,362,323.74</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通过主动的资产配置以及对成长价值风格突出的股票进行投资，追求基金资产的长期稳健增值。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本基金根据宏观及微观经济因素、市场因素和政策因素，进行大类资产的战略性配置。在股票投资方面，本基金遵循三个投资步骤。一是进行股票的风格特征的数量化评估，应用</w:t>
            </w:r>
            <w:r w:rsidRPr="00232B03">
              <w:rPr>
                <w:color w:val="000000"/>
                <w:kern w:val="0"/>
                <w:sz w:val="24"/>
                <w:szCs w:val="24"/>
              </w:rPr>
              <w:t>“</w:t>
            </w:r>
            <w:r w:rsidRPr="00232B03">
              <w:rPr>
                <w:color w:val="000000"/>
                <w:kern w:val="0"/>
                <w:sz w:val="24"/>
                <w:szCs w:val="24"/>
              </w:rPr>
              <w:t>易方达成长与价值股评价模型</w:t>
            </w:r>
            <w:r w:rsidRPr="00232B03">
              <w:rPr>
                <w:color w:val="000000"/>
                <w:kern w:val="0"/>
                <w:sz w:val="24"/>
                <w:szCs w:val="24"/>
              </w:rPr>
              <w:t>”</w:t>
            </w:r>
            <w:r w:rsidRPr="00232B03">
              <w:rPr>
                <w:color w:val="000000"/>
                <w:kern w:val="0"/>
                <w:sz w:val="24"/>
                <w:szCs w:val="24"/>
              </w:rPr>
              <w:t>，使用历史与预测的数据，从公司的备</w:t>
            </w:r>
            <w:r w:rsidRPr="00232B03">
              <w:rPr>
                <w:color w:val="000000"/>
                <w:kern w:val="0"/>
                <w:sz w:val="24"/>
                <w:szCs w:val="24"/>
              </w:rPr>
              <w:lastRenderedPageBreak/>
              <w:t>选库股票中选择成长与价值特性突出的股票。二是进行股票素质的基本面筛选，使用优质成长股与优质价值股的评价标准，在前面用数量化方法选出的风格鲜明的股票中，应用基本面分析方法，选出基本面较好的股票。三是进行成长与价值的风格配置，根据对市场的判断，动态地调整成长股与价值股的投资比重，追求在可控风险前提下的稳健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×70%+</w:t>
            </w:r>
            <w:r w:rsidRPr="00232B03">
              <w:rPr>
                <w:color w:val="000000"/>
                <w:kern w:val="0"/>
                <w:sz w:val="24"/>
                <w:szCs w:val="24"/>
              </w:rPr>
              <w:t>上证国债指数收益率</w:t>
            </w:r>
            <w:r w:rsidRPr="00232B03">
              <w:rPr>
                <w:color w:val="000000"/>
                <w:kern w:val="0"/>
                <w:sz w:val="24"/>
                <w:szCs w:val="24"/>
              </w:rPr>
              <w:t>×30%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本基金为混合型基金，理论上其风险收益水平低于股票型基金，高于债券型基金及货币市场基金。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391,382,161.60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429,019,737.25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0.1362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5,382,427,369.31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1.7663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51199" w:rsidRDefault="0011481F">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51199">
        <w:tc>
          <w:tcPr>
            <w:tcW w:w="1395" w:type="dxa"/>
            <w:vAlign w:val="center"/>
          </w:tcPr>
          <w:p w:rsidR="00C51199" w:rsidRDefault="0011481F">
            <w:pPr>
              <w:jc w:val="left"/>
            </w:pPr>
            <w:r>
              <w:rPr>
                <w:color w:val="000000"/>
                <w:kern w:val="0"/>
                <w:sz w:val="24"/>
                <w:szCs w:val="24"/>
              </w:rPr>
              <w:t>过去三个月</w:t>
            </w:r>
          </w:p>
        </w:tc>
        <w:tc>
          <w:tcPr>
            <w:tcW w:w="1092" w:type="dxa"/>
            <w:vAlign w:val="center"/>
          </w:tcPr>
          <w:p w:rsidR="00C51199" w:rsidRDefault="0011481F">
            <w:pPr>
              <w:jc w:val="center"/>
            </w:pPr>
            <w:r>
              <w:rPr>
                <w:color w:val="000000"/>
                <w:kern w:val="0"/>
                <w:sz w:val="24"/>
                <w:szCs w:val="24"/>
              </w:rPr>
              <w:t>8.14%</w:t>
            </w:r>
          </w:p>
        </w:tc>
        <w:tc>
          <w:tcPr>
            <w:tcW w:w="1161" w:type="dxa"/>
            <w:vAlign w:val="center"/>
          </w:tcPr>
          <w:p w:rsidR="00C51199" w:rsidRDefault="0011481F">
            <w:pPr>
              <w:jc w:val="center"/>
            </w:pPr>
            <w:r>
              <w:rPr>
                <w:color w:val="000000"/>
                <w:kern w:val="0"/>
                <w:sz w:val="24"/>
                <w:szCs w:val="24"/>
              </w:rPr>
              <w:t>1.17%</w:t>
            </w:r>
          </w:p>
        </w:tc>
        <w:tc>
          <w:tcPr>
            <w:tcW w:w="1181" w:type="dxa"/>
            <w:vAlign w:val="center"/>
          </w:tcPr>
          <w:p w:rsidR="00C51199" w:rsidRDefault="0011481F">
            <w:pPr>
              <w:jc w:val="center"/>
            </w:pPr>
            <w:r>
              <w:rPr>
                <w:color w:val="000000"/>
                <w:kern w:val="0"/>
                <w:sz w:val="24"/>
                <w:szCs w:val="24"/>
              </w:rPr>
              <w:t>0.18%</w:t>
            </w:r>
          </w:p>
        </w:tc>
        <w:tc>
          <w:tcPr>
            <w:tcW w:w="1188" w:type="dxa"/>
            <w:vAlign w:val="center"/>
          </w:tcPr>
          <w:p w:rsidR="00C51199" w:rsidRDefault="0011481F">
            <w:pPr>
              <w:jc w:val="center"/>
            </w:pPr>
            <w:r>
              <w:rPr>
                <w:color w:val="000000"/>
                <w:kern w:val="0"/>
                <w:sz w:val="24"/>
                <w:szCs w:val="24"/>
              </w:rPr>
              <w:t>0.67%</w:t>
            </w:r>
          </w:p>
        </w:tc>
        <w:tc>
          <w:tcPr>
            <w:tcW w:w="1199" w:type="dxa"/>
            <w:vAlign w:val="center"/>
          </w:tcPr>
          <w:p w:rsidR="00C51199" w:rsidRDefault="0011481F">
            <w:pPr>
              <w:jc w:val="center"/>
            </w:pPr>
            <w:r>
              <w:rPr>
                <w:color w:val="000000"/>
                <w:kern w:val="0"/>
                <w:sz w:val="24"/>
                <w:szCs w:val="24"/>
              </w:rPr>
              <w:t>7.96%</w:t>
            </w:r>
          </w:p>
        </w:tc>
        <w:tc>
          <w:tcPr>
            <w:tcW w:w="1204" w:type="dxa"/>
            <w:vAlign w:val="center"/>
          </w:tcPr>
          <w:p w:rsidR="00C51199" w:rsidRDefault="0011481F">
            <w:pPr>
              <w:jc w:val="center"/>
            </w:pPr>
            <w:r>
              <w:rPr>
                <w:color w:val="000000"/>
                <w:kern w:val="0"/>
                <w:sz w:val="24"/>
                <w:szCs w:val="24"/>
              </w:rPr>
              <w:t>0.50%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易方达价值成长混合型证券投资基金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2007</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1481F"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111.99%</w:t>
      </w:r>
      <w:r w:rsidRPr="006C56AA">
        <w:rPr>
          <w:color w:val="000000"/>
          <w:sz w:val="24"/>
          <w:szCs w:val="24"/>
        </w:rPr>
        <w:t>，同期业绩比较基准收益率为</w:t>
      </w:r>
      <w:r w:rsidRPr="006C56AA">
        <w:rPr>
          <w:color w:val="000000"/>
          <w:sz w:val="24"/>
          <w:szCs w:val="24"/>
        </w:rPr>
        <w:t>43.12%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51199">
        <w:tc>
          <w:tcPr>
            <w:tcW w:w="567" w:type="dxa"/>
            <w:vAlign w:val="center"/>
          </w:tcPr>
          <w:p w:rsidR="00C51199" w:rsidRDefault="0011481F">
            <w:pPr>
              <w:jc w:val="center"/>
            </w:pPr>
            <w:r>
              <w:rPr>
                <w:color w:val="000000"/>
                <w:sz w:val="24"/>
              </w:rPr>
              <w:t>林高榜</w:t>
            </w:r>
          </w:p>
        </w:tc>
        <w:tc>
          <w:tcPr>
            <w:tcW w:w="2835" w:type="dxa"/>
            <w:vAlign w:val="center"/>
          </w:tcPr>
          <w:p w:rsidR="00C51199" w:rsidRDefault="0011481F">
            <w:pPr>
              <w:jc w:val="center"/>
            </w:pPr>
            <w:r>
              <w:rPr>
                <w:color w:val="000000"/>
                <w:sz w:val="24"/>
              </w:rPr>
              <w:t>本基金的基金经理、投资经理</w:t>
            </w:r>
          </w:p>
        </w:tc>
        <w:tc>
          <w:tcPr>
            <w:tcW w:w="851" w:type="dxa"/>
            <w:vAlign w:val="center"/>
          </w:tcPr>
          <w:p w:rsidR="00C51199" w:rsidRDefault="0011481F">
            <w:pPr>
              <w:jc w:val="center"/>
            </w:pPr>
            <w:r>
              <w:rPr>
                <w:color w:val="000000"/>
                <w:sz w:val="24"/>
              </w:rPr>
              <w:t>2018-03-23</w:t>
            </w:r>
          </w:p>
        </w:tc>
        <w:tc>
          <w:tcPr>
            <w:tcW w:w="850" w:type="dxa"/>
            <w:vAlign w:val="center"/>
          </w:tcPr>
          <w:p w:rsidR="00C51199" w:rsidRDefault="0011481F">
            <w:pPr>
              <w:jc w:val="center"/>
            </w:pPr>
            <w:r>
              <w:rPr>
                <w:color w:val="000000"/>
                <w:sz w:val="24"/>
              </w:rPr>
              <w:t>-</w:t>
            </w:r>
          </w:p>
        </w:tc>
        <w:tc>
          <w:tcPr>
            <w:tcW w:w="851" w:type="dxa"/>
            <w:vAlign w:val="center"/>
          </w:tcPr>
          <w:p w:rsidR="00C51199" w:rsidRDefault="0011481F">
            <w:pPr>
              <w:jc w:val="center"/>
            </w:pPr>
            <w:r>
              <w:rPr>
                <w:color w:val="000000"/>
                <w:sz w:val="24"/>
              </w:rPr>
              <w:t>7</w:t>
            </w:r>
            <w:r>
              <w:rPr>
                <w:color w:val="000000"/>
                <w:sz w:val="24"/>
              </w:rPr>
              <w:t>年</w:t>
            </w:r>
          </w:p>
        </w:tc>
        <w:tc>
          <w:tcPr>
            <w:tcW w:w="2977" w:type="dxa"/>
            <w:vAlign w:val="center"/>
          </w:tcPr>
          <w:p w:rsidR="00C51199" w:rsidRDefault="0011481F">
            <w:r>
              <w:rPr>
                <w:color w:val="000000"/>
                <w:sz w:val="24"/>
              </w:rPr>
              <w:t>博士研究生，曾任易方达基金管理有限公司研究部研究员、易方达科汇灵活配置混合型证券投资基金基金经理助理、易方达科汇灵活配置混合型证券投资基金基金经理。</w:t>
            </w:r>
          </w:p>
        </w:tc>
      </w:tr>
      <w:tr w:rsidR="00C51199">
        <w:tc>
          <w:tcPr>
            <w:tcW w:w="567" w:type="dxa"/>
            <w:vAlign w:val="center"/>
          </w:tcPr>
          <w:p w:rsidR="00C51199" w:rsidRDefault="0011481F">
            <w:pPr>
              <w:jc w:val="center"/>
            </w:pPr>
            <w:r>
              <w:rPr>
                <w:color w:val="000000"/>
                <w:sz w:val="24"/>
              </w:rPr>
              <w:t>武阳</w:t>
            </w:r>
          </w:p>
        </w:tc>
        <w:tc>
          <w:tcPr>
            <w:tcW w:w="2835" w:type="dxa"/>
            <w:vAlign w:val="center"/>
          </w:tcPr>
          <w:p w:rsidR="00C51199" w:rsidRDefault="0011481F">
            <w:pPr>
              <w:jc w:val="center"/>
            </w:pPr>
            <w:r>
              <w:rPr>
                <w:color w:val="000000"/>
                <w:sz w:val="24"/>
              </w:rPr>
              <w:t>本基金的基金经理、易方达瑞享灵活配置混合型证券投资基金的基金经理</w:t>
            </w:r>
          </w:p>
        </w:tc>
        <w:tc>
          <w:tcPr>
            <w:tcW w:w="851" w:type="dxa"/>
            <w:vAlign w:val="center"/>
          </w:tcPr>
          <w:p w:rsidR="00C51199" w:rsidRDefault="0011481F">
            <w:pPr>
              <w:jc w:val="center"/>
            </w:pPr>
            <w:r>
              <w:rPr>
                <w:color w:val="000000"/>
                <w:sz w:val="24"/>
              </w:rPr>
              <w:t>2018-03-23</w:t>
            </w:r>
          </w:p>
        </w:tc>
        <w:tc>
          <w:tcPr>
            <w:tcW w:w="850" w:type="dxa"/>
            <w:vAlign w:val="center"/>
          </w:tcPr>
          <w:p w:rsidR="00C51199" w:rsidRDefault="0011481F">
            <w:pPr>
              <w:jc w:val="center"/>
            </w:pPr>
            <w:r>
              <w:rPr>
                <w:color w:val="000000"/>
                <w:sz w:val="24"/>
              </w:rPr>
              <w:t>-</w:t>
            </w:r>
          </w:p>
        </w:tc>
        <w:tc>
          <w:tcPr>
            <w:tcW w:w="851" w:type="dxa"/>
            <w:vAlign w:val="center"/>
          </w:tcPr>
          <w:p w:rsidR="00C51199" w:rsidRDefault="0011481F">
            <w:pPr>
              <w:jc w:val="center"/>
            </w:pPr>
            <w:r>
              <w:rPr>
                <w:color w:val="000000"/>
                <w:sz w:val="24"/>
              </w:rPr>
              <w:t>8</w:t>
            </w:r>
            <w:r>
              <w:rPr>
                <w:color w:val="000000"/>
                <w:sz w:val="24"/>
              </w:rPr>
              <w:t>年</w:t>
            </w:r>
          </w:p>
        </w:tc>
        <w:tc>
          <w:tcPr>
            <w:tcW w:w="2977" w:type="dxa"/>
            <w:vAlign w:val="center"/>
          </w:tcPr>
          <w:p w:rsidR="00C51199" w:rsidRDefault="0011481F">
            <w:r>
              <w:rPr>
                <w:color w:val="000000"/>
                <w:sz w:val="24"/>
              </w:rPr>
              <w:t>硕士研究生，曾任易方达基金管理有限公司行业研究员、易方达策略成长二号混合型证券投资基金的基金经理助理、易方达策略成长证券投资基金的基金经理。</w:t>
            </w:r>
          </w:p>
        </w:tc>
      </w:tr>
    </w:tbl>
    <w:p w:rsidR="00C51199" w:rsidRDefault="0011481F">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51199" w:rsidRDefault="0011481F">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51199" w:rsidRDefault="0011481F">
      <w:pPr>
        <w:spacing w:line="360" w:lineRule="auto"/>
        <w:ind w:firstLineChars="200" w:firstLine="480"/>
        <w:rPr>
          <w:color w:val="000000"/>
          <w:sz w:val="24"/>
          <w:szCs w:val="24"/>
        </w:rPr>
      </w:pPr>
      <w:r>
        <w:rPr>
          <w:color w:val="000000"/>
          <w:sz w:val="24"/>
          <w:szCs w:val="24"/>
        </w:rPr>
        <w:t>从总量上看，去杠杆的推进和中美贸易摩擦悬而未决加大了未来经济的不确定性，经济增长的动能继续减弱。三季度</w:t>
      </w:r>
      <w:r>
        <w:rPr>
          <w:color w:val="000000"/>
          <w:sz w:val="24"/>
          <w:szCs w:val="24"/>
        </w:rPr>
        <w:t>PMI</w:t>
      </w:r>
      <w:r>
        <w:rPr>
          <w:color w:val="000000"/>
          <w:sz w:val="24"/>
          <w:szCs w:val="24"/>
        </w:rPr>
        <w:t>（中采）均在荣枯线以下，显示整体经济景气程度继续走弱。这一点在工业增加值、固定资产投资等数据上均有所体现，</w:t>
      </w:r>
      <w:r>
        <w:rPr>
          <w:color w:val="000000"/>
          <w:sz w:val="24"/>
          <w:szCs w:val="24"/>
        </w:rPr>
        <w:t>7</w:t>
      </w:r>
      <w:r>
        <w:rPr>
          <w:color w:val="000000"/>
          <w:sz w:val="24"/>
          <w:szCs w:val="24"/>
        </w:rPr>
        <w:t>月和</w:t>
      </w:r>
      <w:r>
        <w:rPr>
          <w:color w:val="000000"/>
          <w:sz w:val="24"/>
          <w:szCs w:val="24"/>
        </w:rPr>
        <w:t>8</w:t>
      </w:r>
      <w:r>
        <w:rPr>
          <w:color w:val="000000"/>
          <w:sz w:val="24"/>
          <w:szCs w:val="24"/>
        </w:rPr>
        <w:t>月工业增加值同比增速为</w:t>
      </w:r>
      <w:r>
        <w:rPr>
          <w:color w:val="000000"/>
          <w:sz w:val="24"/>
          <w:szCs w:val="24"/>
        </w:rPr>
        <w:t>4.8%</w:t>
      </w:r>
      <w:r>
        <w:rPr>
          <w:color w:val="000000"/>
          <w:sz w:val="24"/>
          <w:szCs w:val="24"/>
        </w:rPr>
        <w:t>和</w:t>
      </w:r>
      <w:r>
        <w:rPr>
          <w:color w:val="000000"/>
          <w:sz w:val="24"/>
          <w:szCs w:val="24"/>
        </w:rPr>
        <w:t>4.4%</w:t>
      </w:r>
      <w:r>
        <w:rPr>
          <w:color w:val="000000"/>
          <w:sz w:val="24"/>
          <w:szCs w:val="24"/>
        </w:rPr>
        <w:t>，较二季度平均水平</w:t>
      </w:r>
      <w:r>
        <w:rPr>
          <w:color w:val="000000"/>
          <w:sz w:val="24"/>
          <w:szCs w:val="24"/>
        </w:rPr>
        <w:t>5.6%</w:t>
      </w:r>
      <w:r>
        <w:rPr>
          <w:color w:val="000000"/>
          <w:sz w:val="24"/>
          <w:szCs w:val="24"/>
        </w:rPr>
        <w:t>均有所回落。从经济动能的结构来看，投资端继续低迷、出口逐步受到贸易摩擦的拖累、消费基本平稳。在此背景下，三季度总量政策平稳，从边际上看，去杠杆政策阶段性相对平稳，并没有出现进一步收紧的态势；与此同时，补短板、减税、促消费等持</w:t>
      </w:r>
      <w:r>
        <w:rPr>
          <w:color w:val="000000"/>
          <w:sz w:val="24"/>
          <w:szCs w:val="24"/>
        </w:rPr>
        <w:t>续推进</w:t>
      </w:r>
      <w:r>
        <w:rPr>
          <w:color w:val="000000"/>
          <w:sz w:val="24"/>
          <w:szCs w:val="24"/>
        </w:rPr>
        <w:t>,LPR</w:t>
      </w:r>
      <w:r>
        <w:rPr>
          <w:color w:val="000000"/>
          <w:sz w:val="24"/>
          <w:szCs w:val="24"/>
        </w:rPr>
        <w:t>改革为降息打开操作空间。经济的不确定性增加，总量政策整体平稳，股票市场整体呈现区间震荡的格局。三季度上证综指下跌</w:t>
      </w:r>
      <w:r>
        <w:rPr>
          <w:color w:val="000000"/>
          <w:sz w:val="24"/>
          <w:szCs w:val="24"/>
        </w:rPr>
        <w:t>2.47%</w:t>
      </w:r>
      <w:r>
        <w:rPr>
          <w:color w:val="000000"/>
          <w:sz w:val="24"/>
          <w:szCs w:val="24"/>
        </w:rPr>
        <w:t>，沪深</w:t>
      </w:r>
      <w:r>
        <w:rPr>
          <w:color w:val="000000"/>
          <w:sz w:val="24"/>
          <w:szCs w:val="24"/>
        </w:rPr>
        <w:t>300</w:t>
      </w:r>
      <w:r>
        <w:rPr>
          <w:color w:val="000000"/>
          <w:sz w:val="24"/>
          <w:szCs w:val="24"/>
        </w:rPr>
        <w:t>指数下跌</w:t>
      </w:r>
      <w:r>
        <w:rPr>
          <w:color w:val="000000"/>
          <w:sz w:val="24"/>
          <w:szCs w:val="24"/>
        </w:rPr>
        <w:t>0.29%</w:t>
      </w:r>
      <w:r>
        <w:rPr>
          <w:color w:val="000000"/>
          <w:sz w:val="24"/>
          <w:szCs w:val="24"/>
        </w:rPr>
        <w:t>，创业板指数上涨</w:t>
      </w:r>
      <w:r>
        <w:rPr>
          <w:color w:val="000000"/>
          <w:sz w:val="24"/>
          <w:szCs w:val="24"/>
        </w:rPr>
        <w:t>7.68%</w:t>
      </w:r>
      <w:r>
        <w:rPr>
          <w:color w:val="000000"/>
          <w:sz w:val="24"/>
          <w:szCs w:val="24"/>
        </w:rPr>
        <w:t>。从行业结构来看，电子元器件、医疗、计算机、食品饮料板块涨幅居前，钢铁、有色板块跌幅较大。</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本期内，本基金保持了之前的股票仓位。行业板块方面，维持对保险、计算机、汽车、医药板块的重点配置，并结合行业景气度和估值水平，增加了电子、机械等板块的配置。同时，延续</w:t>
      </w:r>
      <w:r w:rsidRPr="006C56AA">
        <w:rPr>
          <w:color w:val="000000"/>
          <w:sz w:val="24"/>
          <w:szCs w:val="24"/>
        </w:rPr>
        <w:t>2019</w:t>
      </w:r>
      <w:r w:rsidRPr="006C56AA">
        <w:rPr>
          <w:color w:val="000000"/>
          <w:sz w:val="24"/>
          <w:szCs w:val="24"/>
        </w:rPr>
        <w:t>年初以来的判断，我们认为部分优质成长标的的估值与盈利已经有较好的匹配度，所以提高了对成长板块的配置比例。</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1.7663</w:t>
      </w:r>
      <w:r w:rsidRPr="006C56AA">
        <w:rPr>
          <w:color w:val="000000"/>
          <w:sz w:val="24"/>
          <w:szCs w:val="24"/>
        </w:rPr>
        <w:t>元，本报告期份额净值增长率为</w:t>
      </w:r>
      <w:r w:rsidRPr="006C56AA">
        <w:rPr>
          <w:color w:val="000000"/>
          <w:sz w:val="24"/>
          <w:szCs w:val="24"/>
        </w:rPr>
        <w:t>8.14%</w:t>
      </w:r>
      <w:r w:rsidRPr="006C56AA">
        <w:rPr>
          <w:color w:val="000000"/>
          <w:sz w:val="24"/>
          <w:szCs w:val="24"/>
        </w:rPr>
        <w:t>，同期业绩比较基准收益率为</w:t>
      </w:r>
      <w:r w:rsidRPr="006C56AA">
        <w:rPr>
          <w:color w:val="000000"/>
          <w:sz w:val="24"/>
          <w:szCs w:val="24"/>
        </w:rPr>
        <w:t>0.18%</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4,781,178,428.16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4,781,178,428.16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131,630,027.00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131,630,027.00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100,000,000.00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512,851,899.21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5,115,017.28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5,530,775,371.65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2,618,304,045.09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48.65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1,224,680,293.00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22.75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383,219,480.48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30,318,475.11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186,644,556.00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169,600,112.40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168,411,466.08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4,781,178,428.16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88.83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51199">
        <w:tc>
          <w:tcPr>
            <w:tcW w:w="851" w:type="dxa"/>
            <w:vAlign w:val="center"/>
          </w:tcPr>
          <w:p w:rsidR="00C51199" w:rsidRDefault="0011481F">
            <w:pPr>
              <w:jc w:val="center"/>
            </w:pPr>
            <w:r>
              <w:rPr>
                <w:color w:val="000000"/>
                <w:kern w:val="0"/>
                <w:sz w:val="24"/>
                <w:szCs w:val="24"/>
              </w:rPr>
              <w:t>1</w:t>
            </w:r>
          </w:p>
        </w:tc>
        <w:tc>
          <w:tcPr>
            <w:tcW w:w="1276" w:type="dxa"/>
            <w:vAlign w:val="center"/>
          </w:tcPr>
          <w:p w:rsidR="00C51199" w:rsidRDefault="0011481F">
            <w:pPr>
              <w:jc w:val="center"/>
            </w:pPr>
            <w:r>
              <w:rPr>
                <w:color w:val="000000"/>
                <w:kern w:val="0"/>
                <w:sz w:val="24"/>
                <w:szCs w:val="24"/>
              </w:rPr>
              <w:t>002410</w:t>
            </w:r>
          </w:p>
        </w:tc>
        <w:tc>
          <w:tcPr>
            <w:tcW w:w="1418" w:type="dxa"/>
            <w:vAlign w:val="center"/>
          </w:tcPr>
          <w:p w:rsidR="00C51199" w:rsidRDefault="0011481F">
            <w:pPr>
              <w:jc w:val="center"/>
            </w:pPr>
            <w:r>
              <w:rPr>
                <w:color w:val="000000"/>
                <w:kern w:val="0"/>
                <w:sz w:val="24"/>
                <w:szCs w:val="24"/>
              </w:rPr>
              <w:t>广联达</w:t>
            </w:r>
          </w:p>
        </w:tc>
        <w:tc>
          <w:tcPr>
            <w:tcW w:w="1701" w:type="dxa"/>
            <w:vAlign w:val="center"/>
          </w:tcPr>
          <w:p w:rsidR="00C51199" w:rsidRDefault="0011481F">
            <w:pPr>
              <w:jc w:val="right"/>
            </w:pPr>
            <w:r>
              <w:rPr>
                <w:color w:val="000000"/>
                <w:kern w:val="0"/>
                <w:sz w:val="24"/>
                <w:szCs w:val="24"/>
              </w:rPr>
              <w:t>10,021,804</w:t>
            </w:r>
          </w:p>
        </w:tc>
        <w:tc>
          <w:tcPr>
            <w:tcW w:w="1984" w:type="dxa"/>
            <w:vAlign w:val="center"/>
          </w:tcPr>
          <w:p w:rsidR="00C51199" w:rsidRDefault="0011481F">
            <w:pPr>
              <w:jc w:val="right"/>
            </w:pPr>
            <w:r>
              <w:rPr>
                <w:color w:val="000000"/>
                <w:kern w:val="0"/>
                <w:sz w:val="24"/>
                <w:szCs w:val="24"/>
              </w:rPr>
              <w:t>355,673,823.96</w:t>
            </w:r>
          </w:p>
        </w:tc>
        <w:tc>
          <w:tcPr>
            <w:tcW w:w="1559" w:type="dxa"/>
            <w:vAlign w:val="center"/>
          </w:tcPr>
          <w:p w:rsidR="00C51199" w:rsidRDefault="0011481F">
            <w:pPr>
              <w:jc w:val="right"/>
            </w:pPr>
            <w:r>
              <w:rPr>
                <w:color w:val="000000"/>
                <w:kern w:val="0"/>
                <w:sz w:val="24"/>
                <w:szCs w:val="24"/>
              </w:rPr>
              <w:t>6.61</w:t>
            </w:r>
          </w:p>
        </w:tc>
      </w:tr>
      <w:tr w:rsidR="00C51199">
        <w:tc>
          <w:tcPr>
            <w:tcW w:w="851" w:type="dxa"/>
            <w:vAlign w:val="center"/>
          </w:tcPr>
          <w:p w:rsidR="00C51199" w:rsidRDefault="0011481F">
            <w:pPr>
              <w:jc w:val="center"/>
            </w:pPr>
            <w:r>
              <w:rPr>
                <w:color w:val="000000"/>
                <w:kern w:val="0"/>
                <w:sz w:val="24"/>
                <w:szCs w:val="24"/>
              </w:rPr>
              <w:t>2</w:t>
            </w:r>
          </w:p>
        </w:tc>
        <w:tc>
          <w:tcPr>
            <w:tcW w:w="1276" w:type="dxa"/>
            <w:vAlign w:val="center"/>
          </w:tcPr>
          <w:p w:rsidR="00C51199" w:rsidRDefault="0011481F">
            <w:pPr>
              <w:jc w:val="center"/>
            </w:pPr>
            <w:r>
              <w:rPr>
                <w:color w:val="000000"/>
                <w:kern w:val="0"/>
                <w:sz w:val="24"/>
                <w:szCs w:val="24"/>
              </w:rPr>
              <w:t>601318</w:t>
            </w:r>
          </w:p>
        </w:tc>
        <w:tc>
          <w:tcPr>
            <w:tcW w:w="1418" w:type="dxa"/>
            <w:vAlign w:val="center"/>
          </w:tcPr>
          <w:p w:rsidR="00C51199" w:rsidRDefault="0011481F">
            <w:pPr>
              <w:jc w:val="center"/>
            </w:pPr>
            <w:r>
              <w:rPr>
                <w:color w:val="000000"/>
                <w:kern w:val="0"/>
                <w:sz w:val="24"/>
                <w:szCs w:val="24"/>
              </w:rPr>
              <w:t>中国平安</w:t>
            </w:r>
          </w:p>
        </w:tc>
        <w:tc>
          <w:tcPr>
            <w:tcW w:w="1701" w:type="dxa"/>
            <w:vAlign w:val="center"/>
          </w:tcPr>
          <w:p w:rsidR="00C51199" w:rsidRDefault="0011481F">
            <w:pPr>
              <w:jc w:val="right"/>
            </w:pPr>
            <w:r>
              <w:rPr>
                <w:color w:val="000000"/>
                <w:kern w:val="0"/>
                <w:sz w:val="24"/>
                <w:szCs w:val="24"/>
              </w:rPr>
              <w:t>3,983,642</w:t>
            </w:r>
          </w:p>
        </w:tc>
        <w:tc>
          <w:tcPr>
            <w:tcW w:w="1984" w:type="dxa"/>
            <w:vAlign w:val="center"/>
          </w:tcPr>
          <w:p w:rsidR="00C51199" w:rsidRDefault="0011481F">
            <w:pPr>
              <w:jc w:val="right"/>
            </w:pPr>
            <w:r>
              <w:rPr>
                <w:color w:val="000000"/>
                <w:kern w:val="0"/>
                <w:sz w:val="24"/>
                <w:szCs w:val="24"/>
              </w:rPr>
              <w:t>346,736,199.68</w:t>
            </w:r>
          </w:p>
        </w:tc>
        <w:tc>
          <w:tcPr>
            <w:tcW w:w="1559" w:type="dxa"/>
            <w:vAlign w:val="center"/>
          </w:tcPr>
          <w:p w:rsidR="00C51199" w:rsidRDefault="0011481F">
            <w:pPr>
              <w:jc w:val="right"/>
            </w:pPr>
            <w:r>
              <w:rPr>
                <w:color w:val="000000"/>
                <w:kern w:val="0"/>
                <w:sz w:val="24"/>
                <w:szCs w:val="24"/>
              </w:rPr>
              <w:t>6.44</w:t>
            </w:r>
          </w:p>
        </w:tc>
      </w:tr>
      <w:tr w:rsidR="00C51199">
        <w:tc>
          <w:tcPr>
            <w:tcW w:w="851" w:type="dxa"/>
            <w:vAlign w:val="center"/>
          </w:tcPr>
          <w:p w:rsidR="00C51199" w:rsidRDefault="0011481F">
            <w:pPr>
              <w:jc w:val="center"/>
            </w:pPr>
            <w:r>
              <w:rPr>
                <w:color w:val="000000"/>
                <w:kern w:val="0"/>
                <w:sz w:val="24"/>
                <w:szCs w:val="24"/>
              </w:rPr>
              <w:t>3</w:t>
            </w:r>
          </w:p>
        </w:tc>
        <w:tc>
          <w:tcPr>
            <w:tcW w:w="1276" w:type="dxa"/>
            <w:vAlign w:val="center"/>
          </w:tcPr>
          <w:p w:rsidR="00C51199" w:rsidRDefault="0011481F">
            <w:pPr>
              <w:jc w:val="center"/>
            </w:pPr>
            <w:r>
              <w:rPr>
                <w:color w:val="000000"/>
                <w:kern w:val="0"/>
                <w:sz w:val="24"/>
                <w:szCs w:val="24"/>
              </w:rPr>
              <w:t>600104</w:t>
            </w:r>
          </w:p>
        </w:tc>
        <w:tc>
          <w:tcPr>
            <w:tcW w:w="1418" w:type="dxa"/>
            <w:vAlign w:val="center"/>
          </w:tcPr>
          <w:p w:rsidR="00C51199" w:rsidRDefault="0011481F">
            <w:pPr>
              <w:jc w:val="center"/>
            </w:pPr>
            <w:r>
              <w:rPr>
                <w:color w:val="000000"/>
                <w:kern w:val="0"/>
                <w:sz w:val="24"/>
                <w:szCs w:val="24"/>
              </w:rPr>
              <w:t>上汽集团</w:t>
            </w:r>
          </w:p>
        </w:tc>
        <w:tc>
          <w:tcPr>
            <w:tcW w:w="1701" w:type="dxa"/>
            <w:vAlign w:val="center"/>
          </w:tcPr>
          <w:p w:rsidR="00C51199" w:rsidRDefault="0011481F">
            <w:pPr>
              <w:jc w:val="right"/>
            </w:pPr>
            <w:r>
              <w:rPr>
                <w:color w:val="000000"/>
                <w:kern w:val="0"/>
                <w:sz w:val="24"/>
                <w:szCs w:val="24"/>
              </w:rPr>
              <w:t>14,142,177</w:t>
            </w:r>
          </w:p>
        </w:tc>
        <w:tc>
          <w:tcPr>
            <w:tcW w:w="1984" w:type="dxa"/>
            <w:vAlign w:val="center"/>
          </w:tcPr>
          <w:p w:rsidR="00C51199" w:rsidRDefault="0011481F">
            <w:pPr>
              <w:jc w:val="right"/>
            </w:pPr>
            <w:r>
              <w:rPr>
                <w:color w:val="000000"/>
                <w:kern w:val="0"/>
                <w:sz w:val="24"/>
                <w:szCs w:val="24"/>
              </w:rPr>
              <w:t>336,300,969.06</w:t>
            </w:r>
          </w:p>
        </w:tc>
        <w:tc>
          <w:tcPr>
            <w:tcW w:w="1559" w:type="dxa"/>
            <w:vAlign w:val="center"/>
          </w:tcPr>
          <w:p w:rsidR="00C51199" w:rsidRDefault="0011481F">
            <w:pPr>
              <w:jc w:val="right"/>
            </w:pPr>
            <w:r>
              <w:rPr>
                <w:color w:val="000000"/>
                <w:kern w:val="0"/>
                <w:sz w:val="24"/>
                <w:szCs w:val="24"/>
              </w:rPr>
              <w:t>6.25</w:t>
            </w:r>
          </w:p>
        </w:tc>
      </w:tr>
      <w:tr w:rsidR="00C51199">
        <w:tc>
          <w:tcPr>
            <w:tcW w:w="851" w:type="dxa"/>
            <w:vAlign w:val="center"/>
          </w:tcPr>
          <w:p w:rsidR="00C51199" w:rsidRDefault="0011481F">
            <w:pPr>
              <w:jc w:val="center"/>
            </w:pPr>
            <w:r>
              <w:rPr>
                <w:color w:val="000000"/>
                <w:kern w:val="0"/>
                <w:sz w:val="24"/>
                <w:szCs w:val="24"/>
              </w:rPr>
              <w:t>4</w:t>
            </w:r>
          </w:p>
        </w:tc>
        <w:tc>
          <w:tcPr>
            <w:tcW w:w="1276" w:type="dxa"/>
            <w:vAlign w:val="center"/>
          </w:tcPr>
          <w:p w:rsidR="00C51199" w:rsidRDefault="0011481F">
            <w:pPr>
              <w:jc w:val="center"/>
            </w:pPr>
            <w:r>
              <w:rPr>
                <w:color w:val="000000"/>
                <w:kern w:val="0"/>
                <w:sz w:val="24"/>
                <w:szCs w:val="24"/>
              </w:rPr>
              <w:t>603338</w:t>
            </w:r>
          </w:p>
        </w:tc>
        <w:tc>
          <w:tcPr>
            <w:tcW w:w="1418" w:type="dxa"/>
            <w:vAlign w:val="center"/>
          </w:tcPr>
          <w:p w:rsidR="00C51199" w:rsidRDefault="0011481F">
            <w:pPr>
              <w:jc w:val="center"/>
            </w:pPr>
            <w:r>
              <w:rPr>
                <w:color w:val="000000"/>
                <w:kern w:val="0"/>
                <w:sz w:val="24"/>
                <w:szCs w:val="24"/>
              </w:rPr>
              <w:t>浙江鼎力</w:t>
            </w:r>
          </w:p>
        </w:tc>
        <w:tc>
          <w:tcPr>
            <w:tcW w:w="1701" w:type="dxa"/>
            <w:vAlign w:val="center"/>
          </w:tcPr>
          <w:p w:rsidR="00C51199" w:rsidRDefault="0011481F">
            <w:pPr>
              <w:jc w:val="right"/>
            </w:pPr>
            <w:r>
              <w:rPr>
                <w:color w:val="000000"/>
                <w:kern w:val="0"/>
                <w:sz w:val="24"/>
                <w:szCs w:val="24"/>
              </w:rPr>
              <w:t>3,834,578</w:t>
            </w:r>
          </w:p>
        </w:tc>
        <w:tc>
          <w:tcPr>
            <w:tcW w:w="1984" w:type="dxa"/>
            <w:vAlign w:val="center"/>
          </w:tcPr>
          <w:p w:rsidR="00C51199" w:rsidRDefault="0011481F">
            <w:pPr>
              <w:jc w:val="right"/>
            </w:pPr>
            <w:r>
              <w:rPr>
                <w:color w:val="000000"/>
                <w:kern w:val="0"/>
                <w:sz w:val="24"/>
                <w:szCs w:val="24"/>
              </w:rPr>
              <w:t>230,841,595.60</w:t>
            </w:r>
          </w:p>
        </w:tc>
        <w:tc>
          <w:tcPr>
            <w:tcW w:w="1559" w:type="dxa"/>
            <w:vAlign w:val="center"/>
          </w:tcPr>
          <w:p w:rsidR="00C51199" w:rsidRDefault="0011481F">
            <w:pPr>
              <w:jc w:val="right"/>
            </w:pPr>
            <w:r>
              <w:rPr>
                <w:color w:val="000000"/>
                <w:kern w:val="0"/>
                <w:sz w:val="24"/>
                <w:szCs w:val="24"/>
              </w:rPr>
              <w:t>4.29</w:t>
            </w:r>
          </w:p>
        </w:tc>
      </w:tr>
      <w:tr w:rsidR="00C51199">
        <w:tc>
          <w:tcPr>
            <w:tcW w:w="851" w:type="dxa"/>
            <w:vAlign w:val="center"/>
          </w:tcPr>
          <w:p w:rsidR="00C51199" w:rsidRDefault="0011481F">
            <w:pPr>
              <w:jc w:val="center"/>
            </w:pPr>
            <w:r>
              <w:rPr>
                <w:color w:val="000000"/>
                <w:kern w:val="0"/>
                <w:sz w:val="24"/>
                <w:szCs w:val="24"/>
              </w:rPr>
              <w:t>5</w:t>
            </w:r>
          </w:p>
        </w:tc>
        <w:tc>
          <w:tcPr>
            <w:tcW w:w="1276" w:type="dxa"/>
            <w:vAlign w:val="center"/>
          </w:tcPr>
          <w:p w:rsidR="00C51199" w:rsidRDefault="0011481F">
            <w:pPr>
              <w:jc w:val="center"/>
            </w:pPr>
            <w:r>
              <w:rPr>
                <w:color w:val="000000"/>
                <w:kern w:val="0"/>
                <w:sz w:val="24"/>
                <w:szCs w:val="24"/>
              </w:rPr>
              <w:t>300383</w:t>
            </w:r>
          </w:p>
        </w:tc>
        <w:tc>
          <w:tcPr>
            <w:tcW w:w="1418" w:type="dxa"/>
            <w:vAlign w:val="center"/>
          </w:tcPr>
          <w:p w:rsidR="00C51199" w:rsidRDefault="0011481F">
            <w:pPr>
              <w:jc w:val="center"/>
            </w:pPr>
            <w:r>
              <w:rPr>
                <w:color w:val="000000"/>
                <w:kern w:val="0"/>
                <w:sz w:val="24"/>
                <w:szCs w:val="24"/>
              </w:rPr>
              <w:t>光环新网</w:t>
            </w:r>
          </w:p>
        </w:tc>
        <w:tc>
          <w:tcPr>
            <w:tcW w:w="1701" w:type="dxa"/>
            <w:vAlign w:val="center"/>
          </w:tcPr>
          <w:p w:rsidR="00C51199" w:rsidRDefault="0011481F">
            <w:pPr>
              <w:jc w:val="right"/>
            </w:pPr>
            <w:r>
              <w:rPr>
                <w:color w:val="000000"/>
                <w:kern w:val="0"/>
                <w:sz w:val="24"/>
                <w:szCs w:val="24"/>
              </w:rPr>
              <w:t>11,579,522</w:t>
            </w:r>
          </w:p>
        </w:tc>
        <w:tc>
          <w:tcPr>
            <w:tcW w:w="1984" w:type="dxa"/>
            <w:vAlign w:val="center"/>
          </w:tcPr>
          <w:p w:rsidR="00C51199" w:rsidRDefault="0011481F">
            <w:pPr>
              <w:jc w:val="right"/>
            </w:pPr>
            <w:r>
              <w:rPr>
                <w:color w:val="000000"/>
                <w:kern w:val="0"/>
                <w:sz w:val="24"/>
                <w:szCs w:val="24"/>
              </w:rPr>
              <w:t>215,147,518.76</w:t>
            </w:r>
          </w:p>
        </w:tc>
        <w:tc>
          <w:tcPr>
            <w:tcW w:w="1559" w:type="dxa"/>
            <w:vAlign w:val="center"/>
          </w:tcPr>
          <w:p w:rsidR="00C51199" w:rsidRDefault="0011481F">
            <w:pPr>
              <w:jc w:val="right"/>
            </w:pPr>
            <w:r>
              <w:rPr>
                <w:color w:val="000000"/>
                <w:kern w:val="0"/>
                <w:sz w:val="24"/>
                <w:szCs w:val="24"/>
              </w:rPr>
              <w:t>4.00</w:t>
            </w:r>
          </w:p>
        </w:tc>
      </w:tr>
      <w:tr w:rsidR="00C51199">
        <w:tc>
          <w:tcPr>
            <w:tcW w:w="851" w:type="dxa"/>
            <w:vAlign w:val="center"/>
          </w:tcPr>
          <w:p w:rsidR="00C51199" w:rsidRDefault="0011481F">
            <w:pPr>
              <w:jc w:val="center"/>
            </w:pPr>
            <w:r>
              <w:rPr>
                <w:color w:val="000000"/>
                <w:kern w:val="0"/>
                <w:sz w:val="24"/>
                <w:szCs w:val="24"/>
              </w:rPr>
              <w:t>6</w:t>
            </w:r>
          </w:p>
        </w:tc>
        <w:tc>
          <w:tcPr>
            <w:tcW w:w="1276" w:type="dxa"/>
            <w:vAlign w:val="center"/>
          </w:tcPr>
          <w:p w:rsidR="00C51199" w:rsidRDefault="0011481F">
            <w:pPr>
              <w:jc w:val="center"/>
            </w:pPr>
            <w:r>
              <w:rPr>
                <w:color w:val="000000"/>
                <w:kern w:val="0"/>
                <w:sz w:val="24"/>
                <w:szCs w:val="24"/>
              </w:rPr>
              <w:t>600741</w:t>
            </w:r>
          </w:p>
        </w:tc>
        <w:tc>
          <w:tcPr>
            <w:tcW w:w="1418" w:type="dxa"/>
            <w:vAlign w:val="center"/>
          </w:tcPr>
          <w:p w:rsidR="00C51199" w:rsidRDefault="0011481F">
            <w:pPr>
              <w:jc w:val="center"/>
            </w:pPr>
            <w:r>
              <w:rPr>
                <w:color w:val="000000"/>
                <w:kern w:val="0"/>
                <w:sz w:val="24"/>
                <w:szCs w:val="24"/>
              </w:rPr>
              <w:t>华域汽车</w:t>
            </w:r>
          </w:p>
        </w:tc>
        <w:tc>
          <w:tcPr>
            <w:tcW w:w="1701" w:type="dxa"/>
            <w:vAlign w:val="center"/>
          </w:tcPr>
          <w:p w:rsidR="00C51199" w:rsidRDefault="0011481F">
            <w:pPr>
              <w:jc w:val="right"/>
            </w:pPr>
            <w:r>
              <w:rPr>
                <w:color w:val="000000"/>
                <w:kern w:val="0"/>
                <w:sz w:val="24"/>
                <w:szCs w:val="24"/>
              </w:rPr>
              <w:t>8,310,876</w:t>
            </w:r>
          </w:p>
        </w:tc>
        <w:tc>
          <w:tcPr>
            <w:tcW w:w="1984" w:type="dxa"/>
            <w:vAlign w:val="center"/>
          </w:tcPr>
          <w:p w:rsidR="00C51199" w:rsidRDefault="0011481F">
            <w:pPr>
              <w:jc w:val="right"/>
            </w:pPr>
            <w:r>
              <w:rPr>
                <w:color w:val="000000"/>
                <w:kern w:val="0"/>
                <w:sz w:val="24"/>
                <w:szCs w:val="24"/>
              </w:rPr>
              <w:t>195,305,586.00</w:t>
            </w:r>
          </w:p>
        </w:tc>
        <w:tc>
          <w:tcPr>
            <w:tcW w:w="1559" w:type="dxa"/>
            <w:vAlign w:val="center"/>
          </w:tcPr>
          <w:p w:rsidR="00C51199" w:rsidRDefault="0011481F">
            <w:pPr>
              <w:jc w:val="right"/>
            </w:pPr>
            <w:r>
              <w:rPr>
                <w:color w:val="000000"/>
                <w:kern w:val="0"/>
                <w:sz w:val="24"/>
                <w:szCs w:val="24"/>
              </w:rPr>
              <w:t>3.63</w:t>
            </w:r>
          </w:p>
        </w:tc>
      </w:tr>
      <w:tr w:rsidR="00C51199">
        <w:tc>
          <w:tcPr>
            <w:tcW w:w="851" w:type="dxa"/>
            <w:vAlign w:val="center"/>
          </w:tcPr>
          <w:p w:rsidR="00C51199" w:rsidRDefault="0011481F">
            <w:pPr>
              <w:jc w:val="center"/>
            </w:pPr>
            <w:r>
              <w:rPr>
                <w:color w:val="000000"/>
                <w:kern w:val="0"/>
                <w:sz w:val="24"/>
                <w:szCs w:val="24"/>
              </w:rPr>
              <w:t>7</w:t>
            </w:r>
          </w:p>
        </w:tc>
        <w:tc>
          <w:tcPr>
            <w:tcW w:w="1276" w:type="dxa"/>
            <w:vAlign w:val="center"/>
          </w:tcPr>
          <w:p w:rsidR="00C51199" w:rsidRDefault="0011481F">
            <w:pPr>
              <w:jc w:val="center"/>
            </w:pPr>
            <w:r>
              <w:rPr>
                <w:color w:val="000000"/>
                <w:kern w:val="0"/>
                <w:sz w:val="24"/>
                <w:szCs w:val="24"/>
              </w:rPr>
              <w:t>002027</w:t>
            </w:r>
          </w:p>
        </w:tc>
        <w:tc>
          <w:tcPr>
            <w:tcW w:w="1418" w:type="dxa"/>
            <w:vAlign w:val="center"/>
          </w:tcPr>
          <w:p w:rsidR="00C51199" w:rsidRDefault="0011481F">
            <w:pPr>
              <w:jc w:val="center"/>
            </w:pPr>
            <w:r>
              <w:rPr>
                <w:color w:val="000000"/>
                <w:kern w:val="0"/>
                <w:sz w:val="24"/>
                <w:szCs w:val="24"/>
              </w:rPr>
              <w:t>分众传媒</w:t>
            </w:r>
          </w:p>
        </w:tc>
        <w:tc>
          <w:tcPr>
            <w:tcW w:w="1701" w:type="dxa"/>
            <w:vAlign w:val="center"/>
          </w:tcPr>
          <w:p w:rsidR="00C51199" w:rsidRDefault="0011481F">
            <w:pPr>
              <w:jc w:val="right"/>
            </w:pPr>
            <w:r>
              <w:rPr>
                <w:color w:val="000000"/>
                <w:kern w:val="0"/>
                <w:sz w:val="24"/>
                <w:szCs w:val="24"/>
              </w:rPr>
              <w:t>35,551,344</w:t>
            </w:r>
          </w:p>
        </w:tc>
        <w:tc>
          <w:tcPr>
            <w:tcW w:w="1984" w:type="dxa"/>
            <w:vAlign w:val="center"/>
          </w:tcPr>
          <w:p w:rsidR="00C51199" w:rsidRDefault="0011481F">
            <w:pPr>
              <w:jc w:val="right"/>
            </w:pPr>
            <w:r>
              <w:rPr>
                <w:color w:val="000000"/>
                <w:kern w:val="0"/>
                <w:sz w:val="24"/>
                <w:szCs w:val="24"/>
              </w:rPr>
              <w:t>186,644,556.00</w:t>
            </w:r>
          </w:p>
        </w:tc>
        <w:tc>
          <w:tcPr>
            <w:tcW w:w="1559" w:type="dxa"/>
            <w:vAlign w:val="center"/>
          </w:tcPr>
          <w:p w:rsidR="00C51199" w:rsidRDefault="0011481F">
            <w:pPr>
              <w:jc w:val="right"/>
            </w:pPr>
            <w:r>
              <w:rPr>
                <w:color w:val="000000"/>
                <w:kern w:val="0"/>
                <w:sz w:val="24"/>
                <w:szCs w:val="24"/>
              </w:rPr>
              <w:t>3.47</w:t>
            </w:r>
          </w:p>
        </w:tc>
      </w:tr>
      <w:tr w:rsidR="00C51199">
        <w:tc>
          <w:tcPr>
            <w:tcW w:w="851" w:type="dxa"/>
            <w:vAlign w:val="center"/>
          </w:tcPr>
          <w:p w:rsidR="00C51199" w:rsidRDefault="0011481F">
            <w:pPr>
              <w:jc w:val="center"/>
            </w:pPr>
            <w:r>
              <w:rPr>
                <w:color w:val="000000"/>
                <w:kern w:val="0"/>
                <w:sz w:val="24"/>
                <w:szCs w:val="24"/>
              </w:rPr>
              <w:t>8</w:t>
            </w:r>
          </w:p>
        </w:tc>
        <w:tc>
          <w:tcPr>
            <w:tcW w:w="1276" w:type="dxa"/>
            <w:vAlign w:val="center"/>
          </w:tcPr>
          <w:p w:rsidR="00C51199" w:rsidRDefault="0011481F">
            <w:pPr>
              <w:jc w:val="center"/>
            </w:pPr>
            <w:r>
              <w:rPr>
                <w:color w:val="000000"/>
                <w:kern w:val="0"/>
                <w:sz w:val="24"/>
                <w:szCs w:val="24"/>
              </w:rPr>
              <w:t>601238</w:t>
            </w:r>
          </w:p>
        </w:tc>
        <w:tc>
          <w:tcPr>
            <w:tcW w:w="1418" w:type="dxa"/>
            <w:vAlign w:val="center"/>
          </w:tcPr>
          <w:p w:rsidR="00C51199" w:rsidRDefault="0011481F">
            <w:pPr>
              <w:jc w:val="center"/>
            </w:pPr>
            <w:r>
              <w:rPr>
                <w:color w:val="000000"/>
                <w:kern w:val="0"/>
                <w:sz w:val="24"/>
                <w:szCs w:val="24"/>
              </w:rPr>
              <w:t>广汽集团</w:t>
            </w:r>
          </w:p>
        </w:tc>
        <w:tc>
          <w:tcPr>
            <w:tcW w:w="1701" w:type="dxa"/>
            <w:vAlign w:val="center"/>
          </w:tcPr>
          <w:p w:rsidR="00C51199" w:rsidRDefault="0011481F">
            <w:pPr>
              <w:jc w:val="right"/>
            </w:pPr>
            <w:r>
              <w:rPr>
                <w:color w:val="000000"/>
                <w:kern w:val="0"/>
                <w:sz w:val="24"/>
                <w:szCs w:val="24"/>
              </w:rPr>
              <w:t>14,315,887</w:t>
            </w:r>
          </w:p>
        </w:tc>
        <w:tc>
          <w:tcPr>
            <w:tcW w:w="1984" w:type="dxa"/>
            <w:vAlign w:val="center"/>
          </w:tcPr>
          <w:p w:rsidR="00C51199" w:rsidRDefault="0011481F">
            <w:pPr>
              <w:jc w:val="right"/>
            </w:pPr>
            <w:r>
              <w:rPr>
                <w:color w:val="000000"/>
                <w:kern w:val="0"/>
                <w:sz w:val="24"/>
                <w:szCs w:val="24"/>
              </w:rPr>
              <w:t>175,655,933.49</w:t>
            </w:r>
          </w:p>
        </w:tc>
        <w:tc>
          <w:tcPr>
            <w:tcW w:w="1559" w:type="dxa"/>
            <w:vAlign w:val="center"/>
          </w:tcPr>
          <w:p w:rsidR="00C51199" w:rsidRDefault="0011481F">
            <w:pPr>
              <w:jc w:val="right"/>
            </w:pPr>
            <w:r>
              <w:rPr>
                <w:color w:val="000000"/>
                <w:kern w:val="0"/>
                <w:sz w:val="24"/>
                <w:szCs w:val="24"/>
              </w:rPr>
              <w:t>3.26</w:t>
            </w:r>
          </w:p>
        </w:tc>
      </w:tr>
      <w:tr w:rsidR="00C51199">
        <w:tc>
          <w:tcPr>
            <w:tcW w:w="851" w:type="dxa"/>
            <w:vAlign w:val="center"/>
          </w:tcPr>
          <w:p w:rsidR="00C51199" w:rsidRDefault="0011481F">
            <w:pPr>
              <w:jc w:val="center"/>
            </w:pPr>
            <w:r>
              <w:rPr>
                <w:color w:val="000000"/>
                <w:kern w:val="0"/>
                <w:sz w:val="24"/>
                <w:szCs w:val="24"/>
              </w:rPr>
              <w:t>9</w:t>
            </w:r>
          </w:p>
        </w:tc>
        <w:tc>
          <w:tcPr>
            <w:tcW w:w="1276" w:type="dxa"/>
            <w:vAlign w:val="center"/>
          </w:tcPr>
          <w:p w:rsidR="00C51199" w:rsidRDefault="0011481F">
            <w:pPr>
              <w:jc w:val="center"/>
            </w:pPr>
            <w:r>
              <w:rPr>
                <w:color w:val="000000"/>
                <w:kern w:val="0"/>
                <w:sz w:val="24"/>
                <w:szCs w:val="24"/>
              </w:rPr>
              <w:t>603259</w:t>
            </w:r>
          </w:p>
        </w:tc>
        <w:tc>
          <w:tcPr>
            <w:tcW w:w="1418" w:type="dxa"/>
            <w:vAlign w:val="center"/>
          </w:tcPr>
          <w:p w:rsidR="00C51199" w:rsidRDefault="0011481F">
            <w:pPr>
              <w:jc w:val="center"/>
            </w:pPr>
            <w:r>
              <w:rPr>
                <w:color w:val="000000"/>
                <w:kern w:val="0"/>
                <w:sz w:val="24"/>
                <w:szCs w:val="24"/>
              </w:rPr>
              <w:t>药明康德</w:t>
            </w:r>
          </w:p>
        </w:tc>
        <w:tc>
          <w:tcPr>
            <w:tcW w:w="1701" w:type="dxa"/>
            <w:vAlign w:val="center"/>
          </w:tcPr>
          <w:p w:rsidR="00C51199" w:rsidRDefault="0011481F">
            <w:pPr>
              <w:jc w:val="right"/>
            </w:pPr>
            <w:r>
              <w:rPr>
                <w:color w:val="000000"/>
                <w:kern w:val="0"/>
                <w:sz w:val="24"/>
                <w:szCs w:val="24"/>
              </w:rPr>
              <w:t>1,956,172</w:t>
            </w:r>
          </w:p>
        </w:tc>
        <w:tc>
          <w:tcPr>
            <w:tcW w:w="1984" w:type="dxa"/>
            <w:vAlign w:val="center"/>
          </w:tcPr>
          <w:p w:rsidR="00C51199" w:rsidRDefault="0011481F">
            <w:pPr>
              <w:jc w:val="right"/>
            </w:pPr>
            <w:r>
              <w:rPr>
                <w:color w:val="000000"/>
                <w:kern w:val="0"/>
                <w:sz w:val="24"/>
                <w:szCs w:val="24"/>
              </w:rPr>
              <w:t>169,600,112.40</w:t>
            </w:r>
          </w:p>
        </w:tc>
        <w:tc>
          <w:tcPr>
            <w:tcW w:w="1559" w:type="dxa"/>
            <w:vAlign w:val="center"/>
          </w:tcPr>
          <w:p w:rsidR="00C51199" w:rsidRDefault="0011481F">
            <w:pPr>
              <w:jc w:val="right"/>
            </w:pPr>
            <w:r>
              <w:rPr>
                <w:color w:val="000000"/>
                <w:kern w:val="0"/>
                <w:sz w:val="24"/>
                <w:szCs w:val="24"/>
              </w:rPr>
              <w:t>3.15</w:t>
            </w:r>
          </w:p>
        </w:tc>
      </w:tr>
      <w:tr w:rsidR="00C51199">
        <w:tc>
          <w:tcPr>
            <w:tcW w:w="851" w:type="dxa"/>
            <w:vAlign w:val="center"/>
          </w:tcPr>
          <w:p w:rsidR="00C51199" w:rsidRDefault="0011481F">
            <w:pPr>
              <w:jc w:val="center"/>
            </w:pPr>
            <w:r>
              <w:rPr>
                <w:color w:val="000000"/>
                <w:kern w:val="0"/>
                <w:sz w:val="24"/>
                <w:szCs w:val="24"/>
              </w:rPr>
              <w:t>10</w:t>
            </w:r>
          </w:p>
        </w:tc>
        <w:tc>
          <w:tcPr>
            <w:tcW w:w="1276" w:type="dxa"/>
            <w:vAlign w:val="center"/>
          </w:tcPr>
          <w:p w:rsidR="00C51199" w:rsidRDefault="0011481F">
            <w:pPr>
              <w:jc w:val="center"/>
            </w:pPr>
            <w:r>
              <w:rPr>
                <w:color w:val="000000"/>
                <w:kern w:val="0"/>
                <w:sz w:val="24"/>
                <w:szCs w:val="24"/>
              </w:rPr>
              <w:t>601633</w:t>
            </w:r>
          </w:p>
        </w:tc>
        <w:tc>
          <w:tcPr>
            <w:tcW w:w="1418" w:type="dxa"/>
            <w:vAlign w:val="center"/>
          </w:tcPr>
          <w:p w:rsidR="00C51199" w:rsidRDefault="0011481F">
            <w:pPr>
              <w:jc w:val="center"/>
            </w:pPr>
            <w:r>
              <w:rPr>
                <w:color w:val="000000"/>
                <w:kern w:val="0"/>
                <w:sz w:val="24"/>
                <w:szCs w:val="24"/>
              </w:rPr>
              <w:t>长城汽车</w:t>
            </w:r>
          </w:p>
        </w:tc>
        <w:tc>
          <w:tcPr>
            <w:tcW w:w="1701" w:type="dxa"/>
            <w:vAlign w:val="center"/>
          </w:tcPr>
          <w:p w:rsidR="00C51199" w:rsidRDefault="0011481F">
            <w:pPr>
              <w:jc w:val="right"/>
            </w:pPr>
            <w:r>
              <w:rPr>
                <w:color w:val="000000"/>
                <w:kern w:val="0"/>
                <w:sz w:val="24"/>
                <w:szCs w:val="24"/>
              </w:rPr>
              <w:t>21,489,502</w:t>
            </w:r>
          </w:p>
        </w:tc>
        <w:tc>
          <w:tcPr>
            <w:tcW w:w="1984" w:type="dxa"/>
            <w:vAlign w:val="center"/>
          </w:tcPr>
          <w:p w:rsidR="00C51199" w:rsidRDefault="0011481F">
            <w:pPr>
              <w:jc w:val="right"/>
            </w:pPr>
            <w:r>
              <w:rPr>
                <w:color w:val="000000"/>
                <w:kern w:val="0"/>
                <w:sz w:val="24"/>
                <w:szCs w:val="24"/>
              </w:rPr>
              <w:t>165,469,165.40</w:t>
            </w:r>
          </w:p>
        </w:tc>
        <w:tc>
          <w:tcPr>
            <w:tcW w:w="1559" w:type="dxa"/>
            <w:vAlign w:val="center"/>
          </w:tcPr>
          <w:p w:rsidR="00C51199" w:rsidRDefault="0011481F">
            <w:pPr>
              <w:jc w:val="right"/>
            </w:pPr>
            <w:r>
              <w:rPr>
                <w:color w:val="000000"/>
                <w:kern w:val="0"/>
                <w:sz w:val="24"/>
                <w:szCs w:val="24"/>
              </w:rPr>
              <w:t>3.07</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130,073,000.00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2.42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130,073,000.00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2.42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1,557,027.00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131,630,027.00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2.45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51199">
        <w:tc>
          <w:tcPr>
            <w:tcW w:w="959" w:type="dxa"/>
            <w:vAlign w:val="center"/>
          </w:tcPr>
          <w:p w:rsidR="00C51199" w:rsidRDefault="0011481F">
            <w:pPr>
              <w:jc w:val="center"/>
            </w:pPr>
            <w:r>
              <w:rPr>
                <w:color w:val="000000"/>
                <w:kern w:val="0"/>
                <w:sz w:val="24"/>
                <w:szCs w:val="24"/>
              </w:rPr>
              <w:t>1</w:t>
            </w:r>
          </w:p>
        </w:tc>
        <w:tc>
          <w:tcPr>
            <w:tcW w:w="1276" w:type="dxa"/>
            <w:vAlign w:val="center"/>
          </w:tcPr>
          <w:p w:rsidR="00C51199" w:rsidRDefault="0011481F">
            <w:pPr>
              <w:jc w:val="center"/>
            </w:pPr>
            <w:r>
              <w:rPr>
                <w:color w:val="000000"/>
                <w:kern w:val="0"/>
                <w:sz w:val="24"/>
                <w:szCs w:val="24"/>
              </w:rPr>
              <w:t>190402</w:t>
            </w:r>
          </w:p>
        </w:tc>
        <w:tc>
          <w:tcPr>
            <w:tcW w:w="1275" w:type="dxa"/>
            <w:vAlign w:val="center"/>
          </w:tcPr>
          <w:p w:rsidR="00C51199" w:rsidRDefault="0011481F">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C51199" w:rsidRDefault="0011481F">
            <w:pPr>
              <w:jc w:val="right"/>
            </w:pPr>
            <w:r>
              <w:rPr>
                <w:color w:val="000000"/>
                <w:kern w:val="0"/>
                <w:sz w:val="24"/>
                <w:szCs w:val="24"/>
              </w:rPr>
              <w:t>1,000,000</w:t>
            </w:r>
          </w:p>
        </w:tc>
        <w:tc>
          <w:tcPr>
            <w:tcW w:w="1984" w:type="dxa"/>
            <w:vAlign w:val="center"/>
          </w:tcPr>
          <w:p w:rsidR="00C51199" w:rsidRDefault="0011481F">
            <w:pPr>
              <w:jc w:val="right"/>
            </w:pPr>
            <w:r>
              <w:rPr>
                <w:color w:val="000000"/>
                <w:kern w:val="0"/>
                <w:sz w:val="24"/>
                <w:szCs w:val="24"/>
              </w:rPr>
              <w:t>99,890,000.00</w:t>
            </w:r>
          </w:p>
        </w:tc>
        <w:tc>
          <w:tcPr>
            <w:tcW w:w="1474" w:type="dxa"/>
            <w:vAlign w:val="center"/>
          </w:tcPr>
          <w:p w:rsidR="00C51199" w:rsidRDefault="0011481F">
            <w:pPr>
              <w:jc w:val="right"/>
            </w:pPr>
            <w:r>
              <w:rPr>
                <w:color w:val="000000"/>
                <w:kern w:val="0"/>
                <w:sz w:val="24"/>
                <w:szCs w:val="24"/>
              </w:rPr>
              <w:t>1.86</w:t>
            </w:r>
          </w:p>
        </w:tc>
      </w:tr>
      <w:tr w:rsidR="00C51199">
        <w:tc>
          <w:tcPr>
            <w:tcW w:w="959" w:type="dxa"/>
            <w:vAlign w:val="center"/>
          </w:tcPr>
          <w:p w:rsidR="00C51199" w:rsidRDefault="0011481F">
            <w:pPr>
              <w:jc w:val="center"/>
            </w:pPr>
            <w:r>
              <w:rPr>
                <w:color w:val="000000"/>
                <w:kern w:val="0"/>
                <w:sz w:val="24"/>
                <w:szCs w:val="24"/>
              </w:rPr>
              <w:t>2</w:t>
            </w:r>
          </w:p>
        </w:tc>
        <w:tc>
          <w:tcPr>
            <w:tcW w:w="1276" w:type="dxa"/>
            <w:vAlign w:val="center"/>
          </w:tcPr>
          <w:p w:rsidR="00C51199" w:rsidRDefault="0011481F">
            <w:pPr>
              <w:jc w:val="center"/>
            </w:pPr>
            <w:r>
              <w:rPr>
                <w:color w:val="000000"/>
                <w:kern w:val="0"/>
                <w:sz w:val="24"/>
                <w:szCs w:val="24"/>
              </w:rPr>
              <w:t>150415</w:t>
            </w:r>
          </w:p>
        </w:tc>
        <w:tc>
          <w:tcPr>
            <w:tcW w:w="1275" w:type="dxa"/>
            <w:vAlign w:val="center"/>
          </w:tcPr>
          <w:p w:rsidR="00C51199" w:rsidRDefault="0011481F">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C51199" w:rsidRDefault="0011481F">
            <w:pPr>
              <w:jc w:val="right"/>
            </w:pPr>
            <w:r>
              <w:rPr>
                <w:color w:val="000000"/>
                <w:kern w:val="0"/>
                <w:sz w:val="24"/>
                <w:szCs w:val="24"/>
              </w:rPr>
              <w:t>300,000</w:t>
            </w:r>
          </w:p>
        </w:tc>
        <w:tc>
          <w:tcPr>
            <w:tcW w:w="1984" w:type="dxa"/>
            <w:vAlign w:val="center"/>
          </w:tcPr>
          <w:p w:rsidR="00C51199" w:rsidRDefault="0011481F">
            <w:pPr>
              <w:jc w:val="right"/>
            </w:pPr>
            <w:r>
              <w:rPr>
                <w:color w:val="000000"/>
                <w:kern w:val="0"/>
                <w:sz w:val="24"/>
                <w:szCs w:val="24"/>
              </w:rPr>
              <w:t>30,183,000.00</w:t>
            </w:r>
          </w:p>
        </w:tc>
        <w:tc>
          <w:tcPr>
            <w:tcW w:w="1474" w:type="dxa"/>
            <w:vAlign w:val="center"/>
          </w:tcPr>
          <w:p w:rsidR="00C51199" w:rsidRDefault="0011481F">
            <w:pPr>
              <w:jc w:val="right"/>
            </w:pPr>
            <w:r>
              <w:rPr>
                <w:color w:val="000000"/>
                <w:kern w:val="0"/>
                <w:sz w:val="24"/>
                <w:szCs w:val="24"/>
              </w:rPr>
              <w:t>0.56</w:t>
            </w:r>
          </w:p>
        </w:tc>
      </w:tr>
      <w:tr w:rsidR="00C51199">
        <w:tc>
          <w:tcPr>
            <w:tcW w:w="959" w:type="dxa"/>
            <w:vAlign w:val="center"/>
          </w:tcPr>
          <w:p w:rsidR="00C51199" w:rsidRDefault="0011481F">
            <w:pPr>
              <w:jc w:val="center"/>
            </w:pPr>
            <w:r>
              <w:rPr>
                <w:color w:val="000000"/>
                <w:kern w:val="0"/>
                <w:sz w:val="24"/>
                <w:szCs w:val="24"/>
              </w:rPr>
              <w:t>3</w:t>
            </w:r>
          </w:p>
        </w:tc>
        <w:tc>
          <w:tcPr>
            <w:tcW w:w="1276" w:type="dxa"/>
            <w:vAlign w:val="center"/>
          </w:tcPr>
          <w:p w:rsidR="00C51199" w:rsidRDefault="0011481F">
            <w:pPr>
              <w:jc w:val="center"/>
            </w:pPr>
            <w:r>
              <w:rPr>
                <w:color w:val="000000"/>
                <w:kern w:val="0"/>
                <w:sz w:val="24"/>
                <w:szCs w:val="24"/>
              </w:rPr>
              <w:t>132014</w:t>
            </w:r>
          </w:p>
        </w:tc>
        <w:tc>
          <w:tcPr>
            <w:tcW w:w="1275" w:type="dxa"/>
            <w:vAlign w:val="center"/>
          </w:tcPr>
          <w:p w:rsidR="00C51199" w:rsidRDefault="0011481F">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1560" w:type="dxa"/>
            <w:vAlign w:val="center"/>
          </w:tcPr>
          <w:p w:rsidR="00C51199" w:rsidRDefault="0011481F">
            <w:pPr>
              <w:jc w:val="right"/>
            </w:pPr>
            <w:r>
              <w:rPr>
                <w:color w:val="000000"/>
                <w:kern w:val="0"/>
                <w:sz w:val="24"/>
                <w:szCs w:val="24"/>
              </w:rPr>
              <w:t>15,310</w:t>
            </w:r>
          </w:p>
        </w:tc>
        <w:tc>
          <w:tcPr>
            <w:tcW w:w="1984" w:type="dxa"/>
            <w:vAlign w:val="center"/>
          </w:tcPr>
          <w:p w:rsidR="00C51199" w:rsidRDefault="0011481F">
            <w:pPr>
              <w:jc w:val="right"/>
            </w:pPr>
            <w:r>
              <w:rPr>
                <w:color w:val="000000"/>
                <w:kern w:val="0"/>
                <w:sz w:val="24"/>
                <w:szCs w:val="24"/>
              </w:rPr>
              <w:t>1,557,027.00</w:t>
            </w:r>
          </w:p>
        </w:tc>
        <w:tc>
          <w:tcPr>
            <w:tcW w:w="1474" w:type="dxa"/>
            <w:vAlign w:val="center"/>
          </w:tcPr>
          <w:p w:rsidR="00C51199" w:rsidRDefault="0011481F">
            <w:pPr>
              <w:jc w:val="right"/>
            </w:pPr>
            <w:r>
              <w:rPr>
                <w:color w:val="000000"/>
                <w:kern w:val="0"/>
                <w:sz w:val="24"/>
                <w:szCs w:val="24"/>
              </w:rPr>
              <w:t>0.03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1,409,217.68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1,790,072.46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1,915,727.14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5,115,017.28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C51199">
        <w:tc>
          <w:tcPr>
            <w:tcW w:w="1808" w:type="dxa"/>
            <w:vAlign w:val="center"/>
          </w:tcPr>
          <w:p w:rsidR="00C51199" w:rsidRDefault="0011481F">
            <w:pPr>
              <w:jc w:val="center"/>
            </w:pPr>
            <w:r>
              <w:rPr>
                <w:color w:val="000000"/>
                <w:kern w:val="0"/>
                <w:sz w:val="24"/>
                <w:szCs w:val="24"/>
              </w:rPr>
              <w:t>1</w:t>
            </w:r>
          </w:p>
        </w:tc>
        <w:tc>
          <w:tcPr>
            <w:tcW w:w="1729" w:type="dxa"/>
            <w:vAlign w:val="center"/>
          </w:tcPr>
          <w:p w:rsidR="00C51199" w:rsidRDefault="0011481F">
            <w:pPr>
              <w:jc w:val="center"/>
            </w:pPr>
            <w:r>
              <w:rPr>
                <w:color w:val="000000"/>
                <w:kern w:val="0"/>
                <w:sz w:val="24"/>
                <w:szCs w:val="24"/>
              </w:rPr>
              <w:t>132014</w:t>
            </w:r>
          </w:p>
        </w:tc>
        <w:tc>
          <w:tcPr>
            <w:tcW w:w="1658" w:type="dxa"/>
            <w:vAlign w:val="center"/>
          </w:tcPr>
          <w:p w:rsidR="00C51199" w:rsidRDefault="0011481F">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1697" w:type="dxa"/>
            <w:vAlign w:val="center"/>
          </w:tcPr>
          <w:p w:rsidR="00C51199" w:rsidRDefault="0011481F">
            <w:pPr>
              <w:jc w:val="right"/>
            </w:pPr>
            <w:r>
              <w:rPr>
                <w:color w:val="000000"/>
                <w:kern w:val="0"/>
                <w:sz w:val="24"/>
                <w:szCs w:val="24"/>
              </w:rPr>
              <w:t>1,557,027.00</w:t>
            </w:r>
          </w:p>
        </w:tc>
        <w:tc>
          <w:tcPr>
            <w:tcW w:w="1621" w:type="dxa"/>
            <w:vAlign w:val="center"/>
          </w:tcPr>
          <w:p w:rsidR="00C51199" w:rsidRDefault="0011481F">
            <w:pPr>
              <w:jc w:val="right"/>
            </w:pPr>
            <w:r>
              <w:rPr>
                <w:color w:val="000000"/>
                <w:kern w:val="0"/>
                <w:sz w:val="24"/>
                <w:szCs w:val="24"/>
              </w:rPr>
              <w:t>0.03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3,271,215,619.99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55,721,738.90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279,575,035.15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3,047,362,323.74</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C51199" w:rsidRDefault="0011481F">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中国证监会核准易方达价值成长混合型证券投资基金募集的文件；</w:t>
      </w:r>
    </w:p>
    <w:p w:rsidR="00C51199" w:rsidRDefault="0011481F">
      <w:pPr>
        <w:spacing w:line="360" w:lineRule="auto"/>
        <w:ind w:firstLineChars="200" w:firstLine="480"/>
        <w:rPr>
          <w:color w:val="000000"/>
          <w:sz w:val="24"/>
          <w:szCs w:val="24"/>
        </w:rPr>
      </w:pPr>
      <w:r>
        <w:rPr>
          <w:color w:val="000000"/>
          <w:sz w:val="24"/>
          <w:szCs w:val="24"/>
        </w:rPr>
        <w:t>2.</w:t>
      </w:r>
      <w:r>
        <w:rPr>
          <w:color w:val="000000"/>
          <w:sz w:val="24"/>
          <w:szCs w:val="24"/>
        </w:rPr>
        <w:t>《易方达价值成长混合型证券投资基金基金合同》；</w:t>
      </w:r>
    </w:p>
    <w:p w:rsidR="00C51199" w:rsidRDefault="0011481F">
      <w:pPr>
        <w:spacing w:line="360" w:lineRule="auto"/>
        <w:ind w:firstLineChars="200" w:firstLine="480"/>
        <w:rPr>
          <w:color w:val="000000"/>
          <w:sz w:val="24"/>
          <w:szCs w:val="24"/>
        </w:rPr>
      </w:pPr>
      <w:r>
        <w:rPr>
          <w:color w:val="000000"/>
          <w:sz w:val="24"/>
          <w:szCs w:val="24"/>
        </w:rPr>
        <w:t>3.</w:t>
      </w:r>
      <w:r>
        <w:rPr>
          <w:color w:val="000000"/>
          <w:sz w:val="24"/>
          <w:szCs w:val="24"/>
        </w:rPr>
        <w:t>《易方达价值成长混合型证券投资基金托管协议》；</w:t>
      </w:r>
    </w:p>
    <w:p w:rsidR="00C51199" w:rsidRDefault="0011481F">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1481F">
      <w:rPr>
        <w:rStyle w:val="a7"/>
        <w:noProof/>
      </w:rPr>
      <w:t>1</w:t>
    </w:r>
    <w:r>
      <w:rPr>
        <w:rStyle w:val="a7"/>
      </w:rPr>
      <w:fldChar w:fldCharType="end"/>
    </w:r>
    <w:r>
      <w:rPr>
        <w:rStyle w:val="a7"/>
        <w:rFonts w:hint="eastAsia"/>
      </w:rPr>
      <w:t>页共</w:t>
    </w:r>
    <w:r w:rsidR="0011481F">
      <w:fldChar w:fldCharType="begin"/>
    </w:r>
    <w:r w:rsidR="0011481F">
      <w:instrText xml:space="preserve"> NUMPAGES  \* Arabic  \* MERGEFORMAT </w:instrText>
    </w:r>
    <w:r w:rsidR="0011481F">
      <w:fldChar w:fldCharType="separate"/>
    </w:r>
    <w:r w:rsidR="0011481F" w:rsidRPr="0011481F">
      <w:rPr>
        <w:rStyle w:val="a7"/>
        <w:noProof/>
      </w:rPr>
      <w:t>3</w:t>
    </w:r>
    <w:r w:rsidR="0011481F">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1481F">
      <w:rPr>
        <w:rStyle w:val="a7"/>
        <w:noProof/>
      </w:rPr>
      <w:t>11</w:t>
    </w:r>
    <w:r>
      <w:rPr>
        <w:rStyle w:val="a7"/>
      </w:rPr>
      <w:fldChar w:fldCharType="end"/>
    </w:r>
    <w:r>
      <w:rPr>
        <w:rStyle w:val="a7"/>
        <w:rFonts w:hint="eastAsia"/>
      </w:rPr>
      <w:t>页共</w:t>
    </w:r>
    <w:fldSimple w:instr=" NUMPAGES  \* Arabic  \* MERGEFORMAT ">
      <w:r w:rsidR="0011481F" w:rsidRPr="0011481F">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易方达价值成长混合型证券投资基金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1481F"/>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1199"/>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5902-C34F-479B-84A9-6C534C0C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