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易方达积极成长证券投资基金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2B6351" w:rsidRDefault="00181BC3">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B6351" w:rsidRDefault="00181BC3">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B6351" w:rsidRDefault="00181BC3">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B6351" w:rsidRDefault="00181BC3">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B6351" w:rsidRDefault="00181BC3">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易方达积极成长混合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110005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110005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2004</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2,999,265,806.20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本基金主要投资超速成长公司，以实现基金资产的长期最大化增值。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本基金采取主动投资管理模式，一方面主动地进行资产配置，以控制或规避市场的系统性风险；另一方面采取自下而上的选股策略，主要投资于利用</w:t>
            </w:r>
            <w:r w:rsidRPr="00232B03">
              <w:rPr>
                <w:color w:val="000000"/>
                <w:kern w:val="0"/>
                <w:sz w:val="24"/>
                <w:szCs w:val="24"/>
              </w:rPr>
              <w:t>“</w:t>
            </w:r>
            <w:r w:rsidRPr="00232B03">
              <w:rPr>
                <w:color w:val="000000"/>
                <w:kern w:val="0"/>
                <w:sz w:val="24"/>
                <w:szCs w:val="24"/>
              </w:rPr>
              <w:t>易方达成长公司评价体系</w:t>
            </w:r>
            <w:r w:rsidRPr="00232B03">
              <w:rPr>
                <w:color w:val="000000"/>
                <w:kern w:val="0"/>
                <w:sz w:val="24"/>
                <w:szCs w:val="24"/>
              </w:rPr>
              <w:t>”</w:t>
            </w:r>
            <w:r w:rsidRPr="00232B03">
              <w:rPr>
                <w:color w:val="000000"/>
                <w:kern w:val="0"/>
                <w:sz w:val="24"/>
                <w:szCs w:val="24"/>
              </w:rPr>
              <w:t>严格筛选的、具有良好成长性且价格合理的上市公司，其中投资的重点是</w:t>
            </w:r>
            <w:r w:rsidRPr="00232B03">
              <w:rPr>
                <w:color w:val="000000"/>
                <w:kern w:val="0"/>
                <w:sz w:val="24"/>
                <w:szCs w:val="24"/>
              </w:rPr>
              <w:lastRenderedPageBreak/>
              <w:t>“</w:t>
            </w:r>
            <w:r w:rsidRPr="00232B03">
              <w:rPr>
                <w:color w:val="000000"/>
                <w:kern w:val="0"/>
                <w:sz w:val="24"/>
                <w:szCs w:val="24"/>
              </w:rPr>
              <w:t>超速成长</w:t>
            </w:r>
            <w:r w:rsidRPr="00232B03">
              <w:rPr>
                <w:color w:val="000000"/>
                <w:kern w:val="0"/>
                <w:sz w:val="24"/>
                <w:szCs w:val="24"/>
              </w:rPr>
              <w:t>”</w:t>
            </w:r>
            <w:r w:rsidRPr="00232B03">
              <w:rPr>
                <w:color w:val="000000"/>
                <w:kern w:val="0"/>
                <w:sz w:val="24"/>
                <w:szCs w:val="24"/>
              </w:rPr>
              <w:t>公司的股票，以争取尽可能高的投资回报。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上证</w:t>
            </w:r>
            <w:r w:rsidRPr="00232B03">
              <w:rPr>
                <w:color w:val="000000"/>
                <w:kern w:val="0"/>
                <w:sz w:val="24"/>
                <w:szCs w:val="24"/>
              </w:rPr>
              <w:t>A</w:t>
            </w:r>
            <w:r w:rsidRPr="00232B03">
              <w:rPr>
                <w:color w:val="000000"/>
                <w:kern w:val="0"/>
                <w:sz w:val="24"/>
                <w:szCs w:val="24"/>
              </w:rPr>
              <w:t>股指数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74,245,360.42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103,262,321.62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0.0338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2,026,862,527.50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0.6758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2B6351" w:rsidRDefault="00181BC3">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2B6351" w:rsidRDefault="00181BC3">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本基金于</w:t>
      </w:r>
      <w:r w:rsidRPr="006506EF">
        <w:rPr>
          <w:color w:val="000000"/>
          <w:sz w:val="24"/>
        </w:rPr>
        <w:t>2007</w:t>
      </w:r>
      <w:r w:rsidRPr="006506EF">
        <w:rPr>
          <w:color w:val="000000"/>
          <w:sz w:val="24"/>
        </w:rPr>
        <w:t>年</w:t>
      </w:r>
      <w:r w:rsidRPr="006506EF">
        <w:rPr>
          <w:color w:val="000000"/>
          <w:sz w:val="24"/>
        </w:rPr>
        <w:t>2</w:t>
      </w:r>
      <w:r w:rsidRPr="006506EF">
        <w:rPr>
          <w:color w:val="000000"/>
          <w:sz w:val="24"/>
        </w:rPr>
        <w:t>月</w:t>
      </w:r>
      <w:r w:rsidRPr="006506EF">
        <w:rPr>
          <w:color w:val="000000"/>
          <w:sz w:val="24"/>
        </w:rPr>
        <w:t>7</w:t>
      </w:r>
      <w:r w:rsidRPr="006506EF">
        <w:rPr>
          <w:color w:val="000000"/>
          <w:sz w:val="24"/>
        </w:rPr>
        <w:t>日进行份额拆分，份额折算比例为</w:t>
      </w:r>
      <w:r w:rsidRPr="006506EF">
        <w:rPr>
          <w:color w:val="000000"/>
          <w:sz w:val="24"/>
        </w:rPr>
        <w:t>2.521248538</w:t>
      </w:r>
      <w:r w:rsidRPr="006506EF">
        <w:rPr>
          <w:color w:val="000000"/>
          <w:sz w:val="24"/>
        </w:rPr>
        <w:t>，折算后基金份额净值为</w:t>
      </w:r>
      <w:r w:rsidRPr="006506EF">
        <w:rPr>
          <w:color w:val="000000"/>
          <w:sz w:val="24"/>
        </w:rPr>
        <w:t>1.0000</w:t>
      </w:r>
      <w:r w:rsidRPr="006506EF">
        <w:rPr>
          <w:color w:val="000000"/>
          <w:sz w:val="24"/>
        </w:rPr>
        <w:t>人民币元。</w:t>
      </w:r>
      <w:r w:rsidRPr="006506EF">
        <w:rPr>
          <w:color w:val="000000"/>
          <w:sz w:val="24"/>
        </w:rPr>
        <w:t xml:space="preserve"> </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2B6351">
        <w:tc>
          <w:tcPr>
            <w:tcW w:w="1395" w:type="dxa"/>
            <w:vAlign w:val="center"/>
          </w:tcPr>
          <w:p w:rsidR="002B6351" w:rsidRDefault="00181BC3">
            <w:pPr>
              <w:jc w:val="left"/>
            </w:pPr>
            <w:r>
              <w:rPr>
                <w:color w:val="000000"/>
                <w:kern w:val="0"/>
                <w:sz w:val="24"/>
                <w:szCs w:val="24"/>
              </w:rPr>
              <w:t>过去三个月</w:t>
            </w:r>
          </w:p>
        </w:tc>
        <w:tc>
          <w:tcPr>
            <w:tcW w:w="1092" w:type="dxa"/>
            <w:vAlign w:val="center"/>
          </w:tcPr>
          <w:p w:rsidR="002B6351" w:rsidRDefault="00181BC3">
            <w:pPr>
              <w:jc w:val="center"/>
            </w:pPr>
            <w:r>
              <w:rPr>
                <w:color w:val="000000"/>
                <w:kern w:val="0"/>
                <w:sz w:val="24"/>
                <w:szCs w:val="24"/>
              </w:rPr>
              <w:t>5.20%</w:t>
            </w:r>
          </w:p>
        </w:tc>
        <w:tc>
          <w:tcPr>
            <w:tcW w:w="1161" w:type="dxa"/>
            <w:vAlign w:val="center"/>
          </w:tcPr>
          <w:p w:rsidR="002B6351" w:rsidRDefault="00181BC3">
            <w:pPr>
              <w:jc w:val="center"/>
            </w:pPr>
            <w:r>
              <w:rPr>
                <w:color w:val="000000"/>
                <w:kern w:val="0"/>
                <w:sz w:val="24"/>
                <w:szCs w:val="24"/>
              </w:rPr>
              <w:t>0.94%</w:t>
            </w:r>
          </w:p>
        </w:tc>
        <w:tc>
          <w:tcPr>
            <w:tcW w:w="1181" w:type="dxa"/>
            <w:vAlign w:val="center"/>
          </w:tcPr>
          <w:p w:rsidR="002B6351" w:rsidRDefault="00181BC3">
            <w:pPr>
              <w:jc w:val="center"/>
            </w:pPr>
            <w:r>
              <w:rPr>
                <w:color w:val="000000"/>
                <w:kern w:val="0"/>
                <w:sz w:val="24"/>
                <w:szCs w:val="24"/>
              </w:rPr>
              <w:t>-2.46%</w:t>
            </w:r>
          </w:p>
        </w:tc>
        <w:tc>
          <w:tcPr>
            <w:tcW w:w="1188" w:type="dxa"/>
            <w:vAlign w:val="center"/>
          </w:tcPr>
          <w:p w:rsidR="002B6351" w:rsidRDefault="00181BC3">
            <w:pPr>
              <w:jc w:val="center"/>
            </w:pPr>
            <w:r>
              <w:rPr>
                <w:color w:val="000000"/>
                <w:kern w:val="0"/>
                <w:sz w:val="24"/>
                <w:szCs w:val="24"/>
              </w:rPr>
              <w:t>0.89%</w:t>
            </w:r>
          </w:p>
        </w:tc>
        <w:tc>
          <w:tcPr>
            <w:tcW w:w="1199" w:type="dxa"/>
            <w:vAlign w:val="center"/>
          </w:tcPr>
          <w:p w:rsidR="002B6351" w:rsidRDefault="00181BC3">
            <w:pPr>
              <w:jc w:val="center"/>
            </w:pPr>
            <w:r>
              <w:rPr>
                <w:color w:val="000000"/>
                <w:kern w:val="0"/>
                <w:sz w:val="24"/>
                <w:szCs w:val="24"/>
              </w:rPr>
              <w:t>7.66%</w:t>
            </w:r>
          </w:p>
        </w:tc>
        <w:tc>
          <w:tcPr>
            <w:tcW w:w="1204" w:type="dxa"/>
            <w:vAlign w:val="center"/>
          </w:tcPr>
          <w:p w:rsidR="002B6351" w:rsidRDefault="00181BC3">
            <w:pPr>
              <w:jc w:val="center"/>
            </w:pPr>
            <w:r>
              <w:rPr>
                <w:color w:val="000000"/>
                <w:kern w:val="0"/>
                <w:sz w:val="24"/>
                <w:szCs w:val="24"/>
              </w:rPr>
              <w:t>0.05%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易方达积极成长证券投资基金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2004</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181BC3"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524.82%</w:t>
      </w:r>
      <w:r w:rsidRPr="006C56AA">
        <w:rPr>
          <w:color w:val="000000"/>
          <w:sz w:val="24"/>
          <w:szCs w:val="24"/>
        </w:rPr>
        <w:t>，同期业绩比较基准收益率为</w:t>
      </w:r>
      <w:r w:rsidRPr="006C56AA">
        <w:rPr>
          <w:color w:val="000000"/>
          <w:sz w:val="24"/>
          <w:szCs w:val="24"/>
        </w:rPr>
        <w:t>121.58%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2B6351">
        <w:tc>
          <w:tcPr>
            <w:tcW w:w="567" w:type="dxa"/>
            <w:vAlign w:val="center"/>
          </w:tcPr>
          <w:p w:rsidR="002B6351" w:rsidRDefault="00181BC3">
            <w:pPr>
              <w:jc w:val="center"/>
            </w:pPr>
            <w:r>
              <w:rPr>
                <w:color w:val="000000"/>
                <w:sz w:val="24"/>
              </w:rPr>
              <w:t>王超</w:t>
            </w:r>
          </w:p>
        </w:tc>
        <w:tc>
          <w:tcPr>
            <w:tcW w:w="2835" w:type="dxa"/>
            <w:vAlign w:val="center"/>
          </w:tcPr>
          <w:p w:rsidR="002B6351" w:rsidRDefault="00181BC3">
            <w:pPr>
              <w:jc w:val="center"/>
            </w:pPr>
            <w:r>
              <w:rPr>
                <w:color w:val="000000"/>
                <w:sz w:val="24"/>
              </w:rPr>
              <w:t>本基金的基金经理</w:t>
            </w:r>
          </w:p>
        </w:tc>
        <w:tc>
          <w:tcPr>
            <w:tcW w:w="851" w:type="dxa"/>
            <w:vAlign w:val="center"/>
          </w:tcPr>
          <w:p w:rsidR="002B6351" w:rsidRDefault="00181BC3">
            <w:pPr>
              <w:jc w:val="center"/>
            </w:pPr>
            <w:r>
              <w:rPr>
                <w:color w:val="000000"/>
                <w:sz w:val="24"/>
              </w:rPr>
              <w:t>2014-11-22</w:t>
            </w:r>
          </w:p>
        </w:tc>
        <w:tc>
          <w:tcPr>
            <w:tcW w:w="850" w:type="dxa"/>
            <w:vAlign w:val="center"/>
          </w:tcPr>
          <w:p w:rsidR="002B6351" w:rsidRDefault="00181BC3">
            <w:pPr>
              <w:jc w:val="center"/>
            </w:pPr>
            <w:r>
              <w:rPr>
                <w:color w:val="000000"/>
                <w:sz w:val="24"/>
              </w:rPr>
              <w:t>-</w:t>
            </w:r>
          </w:p>
        </w:tc>
        <w:tc>
          <w:tcPr>
            <w:tcW w:w="851" w:type="dxa"/>
            <w:vAlign w:val="center"/>
          </w:tcPr>
          <w:p w:rsidR="002B6351" w:rsidRDefault="00181BC3">
            <w:pPr>
              <w:jc w:val="center"/>
            </w:pPr>
            <w:r>
              <w:rPr>
                <w:color w:val="000000"/>
                <w:sz w:val="24"/>
              </w:rPr>
              <w:t>9</w:t>
            </w:r>
            <w:r>
              <w:rPr>
                <w:color w:val="000000"/>
                <w:sz w:val="24"/>
              </w:rPr>
              <w:t>年</w:t>
            </w:r>
          </w:p>
        </w:tc>
        <w:tc>
          <w:tcPr>
            <w:tcW w:w="2977" w:type="dxa"/>
            <w:vAlign w:val="center"/>
          </w:tcPr>
          <w:p w:rsidR="002B6351" w:rsidRDefault="00181BC3">
            <w:r>
              <w:rPr>
                <w:color w:val="000000"/>
                <w:sz w:val="24"/>
              </w:rPr>
              <w:t>硕士研究生，曾任上海尚雅投资管理有限公司行业研究员，易方达基金管理有限公司行业研究员、基金经理助理、易方达黄金主题证券投资基金（</w:t>
            </w:r>
            <w:r>
              <w:rPr>
                <w:color w:val="000000"/>
                <w:sz w:val="24"/>
              </w:rPr>
              <w:t>LOF</w:t>
            </w:r>
            <w:r>
              <w:rPr>
                <w:color w:val="000000"/>
                <w:sz w:val="24"/>
              </w:rPr>
              <w:t>）基金经理、易方达新利灵活配置混合型证券投资基金基金经理、易方达新鑫灵活配置混合型证券投资基金基金经理、易方达新益灵活配置混合型证券投资基金基金经理、易方达瑞景灵活配置混合型证券投资基金基金经理、易方达环保主题灵活配置混合型证券投资基金金基金经理、易方达资源行业混合型证券投资基金基金经理。</w:t>
            </w:r>
          </w:p>
        </w:tc>
      </w:tr>
    </w:tbl>
    <w:p w:rsidR="002B6351" w:rsidRDefault="00181BC3">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2B6351" w:rsidRDefault="00181BC3">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2019</w:t>
      </w:r>
      <w:r w:rsidRPr="006C56AA">
        <w:rPr>
          <w:color w:val="000000"/>
          <w:sz w:val="24"/>
          <w:szCs w:val="24"/>
        </w:rPr>
        <w:t>年三季度</w:t>
      </w:r>
      <w:r w:rsidRPr="006C56AA">
        <w:rPr>
          <w:color w:val="000000"/>
          <w:sz w:val="24"/>
          <w:szCs w:val="24"/>
        </w:rPr>
        <w:t>A</w:t>
      </w:r>
      <w:r w:rsidRPr="006C56AA">
        <w:rPr>
          <w:color w:val="000000"/>
          <w:sz w:val="24"/>
          <w:szCs w:val="24"/>
        </w:rPr>
        <w:t>股市场以振荡为主，全季来看上证综指下跌了</w:t>
      </w:r>
      <w:r w:rsidRPr="006C56AA">
        <w:rPr>
          <w:color w:val="000000"/>
          <w:sz w:val="24"/>
          <w:szCs w:val="24"/>
        </w:rPr>
        <w:t>2.5%</w:t>
      </w:r>
      <w:r w:rsidRPr="006C56AA">
        <w:rPr>
          <w:color w:val="000000"/>
          <w:sz w:val="24"/>
          <w:szCs w:val="24"/>
        </w:rPr>
        <w:t>，深证成指上涨了</w:t>
      </w:r>
      <w:r w:rsidRPr="006C56AA">
        <w:rPr>
          <w:color w:val="000000"/>
          <w:sz w:val="24"/>
          <w:szCs w:val="24"/>
        </w:rPr>
        <w:t>2.9%</w:t>
      </w:r>
      <w:r w:rsidRPr="006C56AA">
        <w:rPr>
          <w:color w:val="000000"/>
          <w:sz w:val="24"/>
          <w:szCs w:val="24"/>
        </w:rPr>
        <w:t>，中小板指和创业板指分别上涨了</w:t>
      </w:r>
      <w:r w:rsidRPr="006C56AA">
        <w:rPr>
          <w:color w:val="000000"/>
          <w:sz w:val="24"/>
          <w:szCs w:val="24"/>
        </w:rPr>
        <w:t>5.6%</w:t>
      </w:r>
      <w:r w:rsidRPr="006C56AA">
        <w:rPr>
          <w:color w:val="000000"/>
          <w:sz w:val="24"/>
          <w:szCs w:val="24"/>
        </w:rPr>
        <w:t>和</w:t>
      </w:r>
      <w:r w:rsidRPr="006C56AA">
        <w:rPr>
          <w:color w:val="000000"/>
          <w:sz w:val="24"/>
          <w:szCs w:val="24"/>
        </w:rPr>
        <w:t>7.7%</w:t>
      </w:r>
      <w:r w:rsidRPr="006C56AA">
        <w:rPr>
          <w:color w:val="000000"/>
          <w:sz w:val="24"/>
          <w:szCs w:val="24"/>
        </w:rPr>
        <w:t>，市场呈现出一定的结构分化，成长性行业个股表现较好，这受益于国内</w:t>
      </w:r>
      <w:r w:rsidRPr="006C56AA">
        <w:rPr>
          <w:color w:val="000000"/>
          <w:sz w:val="24"/>
          <w:szCs w:val="24"/>
        </w:rPr>
        <w:t>5G</w:t>
      </w:r>
      <w:r w:rsidRPr="006C56AA">
        <w:rPr>
          <w:color w:val="000000"/>
          <w:sz w:val="24"/>
          <w:szCs w:val="24"/>
        </w:rPr>
        <w:t>投资的加速，以电子、通信为代表的行业表现抢眼。前两个季度有明显超额收益的</w:t>
      </w:r>
      <w:r w:rsidRPr="006C56AA">
        <w:rPr>
          <w:color w:val="000000"/>
          <w:sz w:val="24"/>
          <w:szCs w:val="24"/>
        </w:rPr>
        <w:t>“</w:t>
      </w:r>
      <w:r w:rsidRPr="006C56AA">
        <w:rPr>
          <w:color w:val="000000"/>
          <w:sz w:val="24"/>
          <w:szCs w:val="24"/>
        </w:rPr>
        <w:t>核心资产</w:t>
      </w:r>
      <w:r w:rsidRPr="006C56AA">
        <w:rPr>
          <w:color w:val="000000"/>
          <w:sz w:val="24"/>
          <w:szCs w:val="24"/>
        </w:rPr>
        <w:t>”</w:t>
      </w:r>
      <w:r w:rsidRPr="006C56AA">
        <w:rPr>
          <w:color w:val="000000"/>
          <w:sz w:val="24"/>
          <w:szCs w:val="24"/>
        </w:rPr>
        <w:t>有一定的走势分化，部分已出现泡沫的股票需要时间来消化估值。考虑到宏观利率环境，当前</w:t>
      </w:r>
      <w:r w:rsidRPr="006C56AA">
        <w:rPr>
          <w:color w:val="000000"/>
          <w:sz w:val="24"/>
          <w:szCs w:val="24"/>
        </w:rPr>
        <w:t>A</w:t>
      </w:r>
      <w:r w:rsidRPr="006C56AA">
        <w:rPr>
          <w:color w:val="000000"/>
          <w:sz w:val="24"/>
          <w:szCs w:val="24"/>
        </w:rPr>
        <w:t>股市场总体上仍非常有吸引力。本基金在三季度延续了自下而上的选股策略，尽力回避受到贸易战和宏观周期关联性较强的行业企业，依靠选择具备持续成长潜力的企业为基金获取收益。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0.6758</w:t>
      </w:r>
      <w:r w:rsidRPr="006C56AA">
        <w:rPr>
          <w:color w:val="000000"/>
          <w:sz w:val="24"/>
          <w:szCs w:val="24"/>
        </w:rPr>
        <w:t>元，本报告期份额净值增长率为</w:t>
      </w:r>
      <w:r w:rsidRPr="006C56AA">
        <w:rPr>
          <w:color w:val="000000"/>
          <w:sz w:val="24"/>
          <w:szCs w:val="24"/>
        </w:rPr>
        <w:t>5.20%</w:t>
      </w:r>
      <w:r w:rsidRPr="006C56AA">
        <w:rPr>
          <w:color w:val="000000"/>
          <w:sz w:val="24"/>
          <w:szCs w:val="24"/>
        </w:rPr>
        <w:t>，同期业绩比较基准收益率为</w:t>
      </w:r>
      <w:r w:rsidRPr="006C56AA">
        <w:rPr>
          <w:color w:val="000000"/>
          <w:sz w:val="24"/>
          <w:szCs w:val="24"/>
        </w:rPr>
        <w:t>-2.46%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1,802,468,248.41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88.52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1,802,468,248.41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88.52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80,157,998.29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80,157,998.29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151,662,567.26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1,860,005.29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2,036,148,819.25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325,438,521.85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16.06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1,107,017,637.63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54.62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24,648,676.13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85,550,000.00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4.22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146,888,182.27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26,531,317.89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83,820,000.00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1,802,468,248.41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88.93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B6351">
        <w:tc>
          <w:tcPr>
            <w:tcW w:w="851" w:type="dxa"/>
            <w:vAlign w:val="center"/>
          </w:tcPr>
          <w:p w:rsidR="002B6351" w:rsidRDefault="00181BC3">
            <w:pPr>
              <w:jc w:val="center"/>
            </w:pPr>
            <w:r>
              <w:rPr>
                <w:color w:val="000000"/>
                <w:kern w:val="0"/>
                <w:sz w:val="24"/>
                <w:szCs w:val="24"/>
              </w:rPr>
              <w:t>1</w:t>
            </w:r>
          </w:p>
        </w:tc>
        <w:tc>
          <w:tcPr>
            <w:tcW w:w="1276" w:type="dxa"/>
            <w:vAlign w:val="center"/>
          </w:tcPr>
          <w:p w:rsidR="002B6351" w:rsidRDefault="00181BC3">
            <w:pPr>
              <w:jc w:val="center"/>
            </w:pPr>
            <w:r>
              <w:rPr>
                <w:color w:val="000000"/>
                <w:kern w:val="0"/>
                <w:sz w:val="24"/>
                <w:szCs w:val="24"/>
              </w:rPr>
              <w:t>300628</w:t>
            </w:r>
          </w:p>
        </w:tc>
        <w:tc>
          <w:tcPr>
            <w:tcW w:w="1418" w:type="dxa"/>
            <w:vAlign w:val="center"/>
          </w:tcPr>
          <w:p w:rsidR="002B6351" w:rsidRDefault="00181BC3">
            <w:pPr>
              <w:jc w:val="center"/>
            </w:pPr>
            <w:r>
              <w:rPr>
                <w:color w:val="000000"/>
                <w:kern w:val="0"/>
                <w:sz w:val="24"/>
                <w:szCs w:val="24"/>
              </w:rPr>
              <w:t>亿联网络</w:t>
            </w:r>
          </w:p>
        </w:tc>
        <w:tc>
          <w:tcPr>
            <w:tcW w:w="1701" w:type="dxa"/>
            <w:vAlign w:val="center"/>
          </w:tcPr>
          <w:p w:rsidR="002B6351" w:rsidRDefault="00181BC3">
            <w:pPr>
              <w:jc w:val="right"/>
            </w:pPr>
            <w:r>
              <w:rPr>
                <w:color w:val="000000"/>
                <w:kern w:val="0"/>
                <w:sz w:val="24"/>
                <w:szCs w:val="24"/>
              </w:rPr>
              <w:t>3,000,020</w:t>
            </w:r>
          </w:p>
        </w:tc>
        <w:tc>
          <w:tcPr>
            <w:tcW w:w="1984" w:type="dxa"/>
            <w:vAlign w:val="center"/>
          </w:tcPr>
          <w:p w:rsidR="002B6351" w:rsidRDefault="00181BC3">
            <w:pPr>
              <w:jc w:val="right"/>
            </w:pPr>
            <w:r>
              <w:rPr>
                <w:color w:val="000000"/>
                <w:kern w:val="0"/>
                <w:sz w:val="24"/>
                <w:szCs w:val="24"/>
              </w:rPr>
              <w:t>182,071,213.80</w:t>
            </w:r>
          </w:p>
        </w:tc>
        <w:tc>
          <w:tcPr>
            <w:tcW w:w="1559" w:type="dxa"/>
            <w:vAlign w:val="center"/>
          </w:tcPr>
          <w:p w:rsidR="002B6351" w:rsidRDefault="00181BC3">
            <w:pPr>
              <w:jc w:val="right"/>
            </w:pPr>
            <w:r>
              <w:rPr>
                <w:color w:val="000000"/>
                <w:kern w:val="0"/>
                <w:sz w:val="24"/>
                <w:szCs w:val="24"/>
              </w:rPr>
              <w:t>8.98</w:t>
            </w:r>
          </w:p>
        </w:tc>
      </w:tr>
      <w:tr w:rsidR="002B6351">
        <w:tc>
          <w:tcPr>
            <w:tcW w:w="851" w:type="dxa"/>
            <w:vAlign w:val="center"/>
          </w:tcPr>
          <w:p w:rsidR="002B6351" w:rsidRDefault="00181BC3">
            <w:pPr>
              <w:jc w:val="center"/>
            </w:pPr>
            <w:r>
              <w:rPr>
                <w:color w:val="000000"/>
                <w:kern w:val="0"/>
                <w:sz w:val="24"/>
                <w:szCs w:val="24"/>
              </w:rPr>
              <w:t>2</w:t>
            </w:r>
          </w:p>
        </w:tc>
        <w:tc>
          <w:tcPr>
            <w:tcW w:w="1276" w:type="dxa"/>
            <w:vAlign w:val="center"/>
          </w:tcPr>
          <w:p w:rsidR="002B6351" w:rsidRDefault="00181BC3">
            <w:pPr>
              <w:jc w:val="center"/>
            </w:pPr>
            <w:r>
              <w:rPr>
                <w:color w:val="000000"/>
                <w:kern w:val="0"/>
                <w:sz w:val="24"/>
                <w:szCs w:val="24"/>
              </w:rPr>
              <w:t>300498</w:t>
            </w:r>
          </w:p>
        </w:tc>
        <w:tc>
          <w:tcPr>
            <w:tcW w:w="1418" w:type="dxa"/>
            <w:vAlign w:val="center"/>
          </w:tcPr>
          <w:p w:rsidR="002B6351" w:rsidRDefault="00181BC3">
            <w:pPr>
              <w:jc w:val="center"/>
            </w:pPr>
            <w:r>
              <w:rPr>
                <w:color w:val="000000"/>
                <w:kern w:val="0"/>
                <w:sz w:val="24"/>
                <w:szCs w:val="24"/>
              </w:rPr>
              <w:t>温氏股份</w:t>
            </w:r>
          </w:p>
        </w:tc>
        <w:tc>
          <w:tcPr>
            <w:tcW w:w="1701" w:type="dxa"/>
            <w:vAlign w:val="center"/>
          </w:tcPr>
          <w:p w:rsidR="002B6351" w:rsidRDefault="00181BC3">
            <w:pPr>
              <w:jc w:val="right"/>
            </w:pPr>
            <w:r>
              <w:rPr>
                <w:color w:val="000000"/>
                <w:kern w:val="0"/>
                <w:sz w:val="24"/>
                <w:szCs w:val="24"/>
              </w:rPr>
              <w:t>4,800,072</w:t>
            </w:r>
          </w:p>
        </w:tc>
        <w:tc>
          <w:tcPr>
            <w:tcW w:w="1984" w:type="dxa"/>
            <w:vAlign w:val="center"/>
          </w:tcPr>
          <w:p w:rsidR="002B6351" w:rsidRDefault="00181BC3">
            <w:pPr>
              <w:jc w:val="right"/>
            </w:pPr>
            <w:r>
              <w:rPr>
                <w:color w:val="000000"/>
                <w:kern w:val="0"/>
                <w:sz w:val="24"/>
                <w:szCs w:val="24"/>
              </w:rPr>
              <w:t>178,466,676.96</w:t>
            </w:r>
          </w:p>
        </w:tc>
        <w:tc>
          <w:tcPr>
            <w:tcW w:w="1559" w:type="dxa"/>
            <w:vAlign w:val="center"/>
          </w:tcPr>
          <w:p w:rsidR="002B6351" w:rsidRDefault="00181BC3">
            <w:pPr>
              <w:jc w:val="right"/>
            </w:pPr>
            <w:r>
              <w:rPr>
                <w:color w:val="000000"/>
                <w:kern w:val="0"/>
                <w:sz w:val="24"/>
                <w:szCs w:val="24"/>
              </w:rPr>
              <w:t>8.81</w:t>
            </w:r>
          </w:p>
        </w:tc>
      </w:tr>
      <w:tr w:rsidR="002B6351">
        <w:tc>
          <w:tcPr>
            <w:tcW w:w="851" w:type="dxa"/>
            <w:vAlign w:val="center"/>
          </w:tcPr>
          <w:p w:rsidR="002B6351" w:rsidRDefault="00181BC3">
            <w:pPr>
              <w:jc w:val="center"/>
            </w:pPr>
            <w:r>
              <w:rPr>
                <w:color w:val="000000"/>
                <w:kern w:val="0"/>
                <w:sz w:val="24"/>
                <w:szCs w:val="24"/>
              </w:rPr>
              <w:t>3</w:t>
            </w:r>
          </w:p>
        </w:tc>
        <w:tc>
          <w:tcPr>
            <w:tcW w:w="1276" w:type="dxa"/>
            <w:vAlign w:val="center"/>
          </w:tcPr>
          <w:p w:rsidR="002B6351" w:rsidRDefault="00181BC3">
            <w:pPr>
              <w:jc w:val="center"/>
            </w:pPr>
            <w:r>
              <w:rPr>
                <w:color w:val="000000"/>
                <w:kern w:val="0"/>
                <w:sz w:val="24"/>
                <w:szCs w:val="24"/>
              </w:rPr>
              <w:t>603707</w:t>
            </w:r>
          </w:p>
        </w:tc>
        <w:tc>
          <w:tcPr>
            <w:tcW w:w="1418" w:type="dxa"/>
            <w:vAlign w:val="center"/>
          </w:tcPr>
          <w:p w:rsidR="002B6351" w:rsidRDefault="00181BC3">
            <w:pPr>
              <w:jc w:val="center"/>
            </w:pPr>
            <w:r>
              <w:rPr>
                <w:color w:val="000000"/>
                <w:kern w:val="0"/>
                <w:sz w:val="24"/>
                <w:szCs w:val="24"/>
              </w:rPr>
              <w:t>健友股份</w:t>
            </w:r>
          </w:p>
        </w:tc>
        <w:tc>
          <w:tcPr>
            <w:tcW w:w="1701" w:type="dxa"/>
            <w:vAlign w:val="center"/>
          </w:tcPr>
          <w:p w:rsidR="002B6351" w:rsidRDefault="00181BC3">
            <w:pPr>
              <w:jc w:val="right"/>
            </w:pPr>
            <w:r>
              <w:rPr>
                <w:color w:val="000000"/>
                <w:kern w:val="0"/>
                <w:sz w:val="24"/>
                <w:szCs w:val="24"/>
              </w:rPr>
              <w:t>4,352,991</w:t>
            </w:r>
          </w:p>
        </w:tc>
        <w:tc>
          <w:tcPr>
            <w:tcW w:w="1984" w:type="dxa"/>
            <w:vAlign w:val="center"/>
          </w:tcPr>
          <w:p w:rsidR="002B6351" w:rsidRDefault="00181BC3">
            <w:pPr>
              <w:jc w:val="right"/>
            </w:pPr>
            <w:r>
              <w:rPr>
                <w:color w:val="000000"/>
                <w:kern w:val="0"/>
                <w:sz w:val="24"/>
                <w:szCs w:val="24"/>
              </w:rPr>
              <w:t>161,713,615.65</w:t>
            </w:r>
          </w:p>
        </w:tc>
        <w:tc>
          <w:tcPr>
            <w:tcW w:w="1559" w:type="dxa"/>
            <w:vAlign w:val="center"/>
          </w:tcPr>
          <w:p w:rsidR="002B6351" w:rsidRDefault="00181BC3">
            <w:pPr>
              <w:jc w:val="right"/>
            </w:pPr>
            <w:r>
              <w:rPr>
                <w:color w:val="000000"/>
                <w:kern w:val="0"/>
                <w:sz w:val="24"/>
                <w:szCs w:val="24"/>
              </w:rPr>
              <w:t>7.98</w:t>
            </w:r>
          </w:p>
        </w:tc>
      </w:tr>
      <w:tr w:rsidR="002B6351">
        <w:tc>
          <w:tcPr>
            <w:tcW w:w="851" w:type="dxa"/>
            <w:vAlign w:val="center"/>
          </w:tcPr>
          <w:p w:rsidR="002B6351" w:rsidRDefault="00181BC3">
            <w:pPr>
              <w:jc w:val="center"/>
            </w:pPr>
            <w:r>
              <w:rPr>
                <w:color w:val="000000"/>
                <w:kern w:val="0"/>
                <w:sz w:val="24"/>
                <w:szCs w:val="24"/>
              </w:rPr>
              <w:t>4</w:t>
            </w:r>
          </w:p>
        </w:tc>
        <w:tc>
          <w:tcPr>
            <w:tcW w:w="1276" w:type="dxa"/>
            <w:vAlign w:val="center"/>
          </w:tcPr>
          <w:p w:rsidR="002B6351" w:rsidRDefault="00181BC3">
            <w:pPr>
              <w:jc w:val="center"/>
            </w:pPr>
            <w:r>
              <w:rPr>
                <w:color w:val="000000"/>
                <w:kern w:val="0"/>
                <w:sz w:val="24"/>
                <w:szCs w:val="24"/>
              </w:rPr>
              <w:t>002311</w:t>
            </w:r>
          </w:p>
        </w:tc>
        <w:tc>
          <w:tcPr>
            <w:tcW w:w="1418" w:type="dxa"/>
            <w:vAlign w:val="center"/>
          </w:tcPr>
          <w:p w:rsidR="002B6351" w:rsidRDefault="00181BC3">
            <w:pPr>
              <w:jc w:val="center"/>
            </w:pPr>
            <w:r>
              <w:rPr>
                <w:color w:val="000000"/>
                <w:kern w:val="0"/>
                <w:sz w:val="24"/>
                <w:szCs w:val="24"/>
              </w:rPr>
              <w:t>海大集团</w:t>
            </w:r>
          </w:p>
        </w:tc>
        <w:tc>
          <w:tcPr>
            <w:tcW w:w="1701" w:type="dxa"/>
            <w:vAlign w:val="center"/>
          </w:tcPr>
          <w:p w:rsidR="002B6351" w:rsidRDefault="00181BC3">
            <w:pPr>
              <w:jc w:val="right"/>
            </w:pPr>
            <w:r>
              <w:rPr>
                <w:color w:val="000000"/>
                <w:kern w:val="0"/>
                <w:sz w:val="24"/>
                <w:szCs w:val="24"/>
              </w:rPr>
              <w:t>3,650,088</w:t>
            </w:r>
          </w:p>
        </w:tc>
        <w:tc>
          <w:tcPr>
            <w:tcW w:w="1984" w:type="dxa"/>
            <w:vAlign w:val="center"/>
          </w:tcPr>
          <w:p w:rsidR="002B6351" w:rsidRDefault="00181BC3">
            <w:pPr>
              <w:jc w:val="right"/>
            </w:pPr>
            <w:r>
              <w:rPr>
                <w:color w:val="000000"/>
                <w:kern w:val="0"/>
                <w:sz w:val="24"/>
                <w:szCs w:val="24"/>
              </w:rPr>
              <w:t>114,247,754.40</w:t>
            </w:r>
          </w:p>
        </w:tc>
        <w:tc>
          <w:tcPr>
            <w:tcW w:w="1559" w:type="dxa"/>
            <w:vAlign w:val="center"/>
          </w:tcPr>
          <w:p w:rsidR="002B6351" w:rsidRDefault="00181BC3">
            <w:pPr>
              <w:jc w:val="right"/>
            </w:pPr>
            <w:r>
              <w:rPr>
                <w:color w:val="000000"/>
                <w:kern w:val="0"/>
                <w:sz w:val="24"/>
                <w:szCs w:val="24"/>
              </w:rPr>
              <w:t>5.64</w:t>
            </w:r>
          </w:p>
        </w:tc>
      </w:tr>
      <w:tr w:rsidR="002B6351">
        <w:tc>
          <w:tcPr>
            <w:tcW w:w="851" w:type="dxa"/>
            <w:vAlign w:val="center"/>
          </w:tcPr>
          <w:p w:rsidR="002B6351" w:rsidRDefault="00181BC3">
            <w:pPr>
              <w:jc w:val="center"/>
            </w:pPr>
            <w:r>
              <w:rPr>
                <w:color w:val="000000"/>
                <w:kern w:val="0"/>
                <w:sz w:val="24"/>
                <w:szCs w:val="24"/>
              </w:rPr>
              <w:t>5</w:t>
            </w:r>
          </w:p>
        </w:tc>
        <w:tc>
          <w:tcPr>
            <w:tcW w:w="1276" w:type="dxa"/>
            <w:vAlign w:val="center"/>
          </w:tcPr>
          <w:p w:rsidR="002B6351" w:rsidRDefault="00181BC3">
            <w:pPr>
              <w:jc w:val="center"/>
            </w:pPr>
            <w:r>
              <w:rPr>
                <w:color w:val="000000"/>
                <w:kern w:val="0"/>
                <w:sz w:val="24"/>
                <w:szCs w:val="24"/>
              </w:rPr>
              <w:t>002690</w:t>
            </w:r>
          </w:p>
        </w:tc>
        <w:tc>
          <w:tcPr>
            <w:tcW w:w="1418" w:type="dxa"/>
            <w:vAlign w:val="center"/>
          </w:tcPr>
          <w:p w:rsidR="002B6351" w:rsidRDefault="00181BC3">
            <w:pPr>
              <w:jc w:val="center"/>
            </w:pPr>
            <w:r>
              <w:rPr>
                <w:color w:val="000000"/>
                <w:kern w:val="0"/>
                <w:sz w:val="24"/>
                <w:szCs w:val="24"/>
              </w:rPr>
              <w:t>美亚光电</w:t>
            </w:r>
          </w:p>
        </w:tc>
        <w:tc>
          <w:tcPr>
            <w:tcW w:w="1701" w:type="dxa"/>
            <w:vAlign w:val="center"/>
          </w:tcPr>
          <w:p w:rsidR="002B6351" w:rsidRDefault="00181BC3">
            <w:pPr>
              <w:jc w:val="right"/>
            </w:pPr>
            <w:r>
              <w:rPr>
                <w:color w:val="000000"/>
                <w:kern w:val="0"/>
                <w:sz w:val="24"/>
                <w:szCs w:val="24"/>
              </w:rPr>
              <w:t>3,440,026</w:t>
            </w:r>
          </w:p>
        </w:tc>
        <w:tc>
          <w:tcPr>
            <w:tcW w:w="1984" w:type="dxa"/>
            <w:vAlign w:val="center"/>
          </w:tcPr>
          <w:p w:rsidR="002B6351" w:rsidRDefault="00181BC3">
            <w:pPr>
              <w:jc w:val="right"/>
            </w:pPr>
            <w:r>
              <w:rPr>
                <w:color w:val="000000"/>
                <w:kern w:val="0"/>
                <w:sz w:val="24"/>
                <w:szCs w:val="24"/>
              </w:rPr>
              <w:t>113,899,260.86</w:t>
            </w:r>
          </w:p>
        </w:tc>
        <w:tc>
          <w:tcPr>
            <w:tcW w:w="1559" w:type="dxa"/>
            <w:vAlign w:val="center"/>
          </w:tcPr>
          <w:p w:rsidR="002B6351" w:rsidRDefault="00181BC3">
            <w:pPr>
              <w:jc w:val="right"/>
            </w:pPr>
            <w:r>
              <w:rPr>
                <w:color w:val="000000"/>
                <w:kern w:val="0"/>
                <w:sz w:val="24"/>
                <w:szCs w:val="24"/>
              </w:rPr>
              <w:t>5.62</w:t>
            </w:r>
          </w:p>
        </w:tc>
      </w:tr>
      <w:tr w:rsidR="002B6351">
        <w:tc>
          <w:tcPr>
            <w:tcW w:w="851" w:type="dxa"/>
            <w:vAlign w:val="center"/>
          </w:tcPr>
          <w:p w:rsidR="002B6351" w:rsidRDefault="00181BC3">
            <w:pPr>
              <w:jc w:val="center"/>
            </w:pPr>
            <w:r>
              <w:rPr>
                <w:color w:val="000000"/>
                <w:kern w:val="0"/>
                <w:sz w:val="24"/>
                <w:szCs w:val="24"/>
              </w:rPr>
              <w:t>6</w:t>
            </w:r>
          </w:p>
        </w:tc>
        <w:tc>
          <w:tcPr>
            <w:tcW w:w="1276" w:type="dxa"/>
            <w:vAlign w:val="center"/>
          </w:tcPr>
          <w:p w:rsidR="002B6351" w:rsidRDefault="00181BC3">
            <w:pPr>
              <w:jc w:val="center"/>
            </w:pPr>
            <w:r>
              <w:rPr>
                <w:color w:val="000000"/>
                <w:kern w:val="0"/>
                <w:sz w:val="24"/>
                <w:szCs w:val="24"/>
              </w:rPr>
              <w:t>000001</w:t>
            </w:r>
          </w:p>
        </w:tc>
        <w:tc>
          <w:tcPr>
            <w:tcW w:w="1418" w:type="dxa"/>
            <w:vAlign w:val="center"/>
          </w:tcPr>
          <w:p w:rsidR="002B6351" w:rsidRDefault="00181BC3">
            <w:pPr>
              <w:jc w:val="center"/>
            </w:pPr>
            <w:r>
              <w:rPr>
                <w:color w:val="000000"/>
                <w:kern w:val="0"/>
                <w:sz w:val="24"/>
                <w:szCs w:val="24"/>
              </w:rPr>
              <w:t>平安银行</w:t>
            </w:r>
          </w:p>
        </w:tc>
        <w:tc>
          <w:tcPr>
            <w:tcW w:w="1701" w:type="dxa"/>
            <w:vAlign w:val="center"/>
          </w:tcPr>
          <w:p w:rsidR="002B6351" w:rsidRDefault="00181BC3">
            <w:pPr>
              <w:jc w:val="right"/>
            </w:pPr>
            <w:r>
              <w:rPr>
                <w:color w:val="000000"/>
                <w:kern w:val="0"/>
                <w:sz w:val="24"/>
                <w:szCs w:val="24"/>
              </w:rPr>
              <w:t>6,990,000</w:t>
            </w:r>
          </w:p>
        </w:tc>
        <w:tc>
          <w:tcPr>
            <w:tcW w:w="1984" w:type="dxa"/>
            <w:vAlign w:val="center"/>
          </w:tcPr>
          <w:p w:rsidR="002B6351" w:rsidRDefault="00181BC3">
            <w:pPr>
              <w:jc w:val="right"/>
            </w:pPr>
            <w:r>
              <w:rPr>
                <w:color w:val="000000"/>
                <w:kern w:val="0"/>
                <w:sz w:val="24"/>
                <w:szCs w:val="24"/>
              </w:rPr>
              <w:t>108,974,100.00</w:t>
            </w:r>
          </w:p>
        </w:tc>
        <w:tc>
          <w:tcPr>
            <w:tcW w:w="1559" w:type="dxa"/>
            <w:vAlign w:val="center"/>
          </w:tcPr>
          <w:p w:rsidR="002B6351" w:rsidRDefault="00181BC3">
            <w:pPr>
              <w:jc w:val="right"/>
            </w:pPr>
            <w:r>
              <w:rPr>
                <w:color w:val="000000"/>
                <w:kern w:val="0"/>
                <w:sz w:val="24"/>
                <w:szCs w:val="24"/>
              </w:rPr>
              <w:t>5.38</w:t>
            </w:r>
          </w:p>
        </w:tc>
      </w:tr>
      <w:tr w:rsidR="002B6351">
        <w:tc>
          <w:tcPr>
            <w:tcW w:w="851" w:type="dxa"/>
            <w:vAlign w:val="center"/>
          </w:tcPr>
          <w:p w:rsidR="002B6351" w:rsidRDefault="00181BC3">
            <w:pPr>
              <w:jc w:val="center"/>
            </w:pPr>
            <w:r>
              <w:rPr>
                <w:color w:val="000000"/>
                <w:kern w:val="0"/>
                <w:sz w:val="24"/>
                <w:szCs w:val="24"/>
              </w:rPr>
              <w:t>7</w:t>
            </w:r>
          </w:p>
        </w:tc>
        <w:tc>
          <w:tcPr>
            <w:tcW w:w="1276" w:type="dxa"/>
            <w:vAlign w:val="center"/>
          </w:tcPr>
          <w:p w:rsidR="002B6351" w:rsidRDefault="00181BC3">
            <w:pPr>
              <w:jc w:val="center"/>
            </w:pPr>
            <w:r>
              <w:rPr>
                <w:color w:val="000000"/>
                <w:kern w:val="0"/>
                <w:sz w:val="24"/>
                <w:szCs w:val="24"/>
              </w:rPr>
              <w:t>002032</w:t>
            </w:r>
          </w:p>
        </w:tc>
        <w:tc>
          <w:tcPr>
            <w:tcW w:w="1418" w:type="dxa"/>
            <w:vAlign w:val="center"/>
          </w:tcPr>
          <w:p w:rsidR="002B6351" w:rsidRDefault="00181BC3">
            <w:pPr>
              <w:jc w:val="center"/>
            </w:pPr>
            <w:r>
              <w:rPr>
                <w:color w:val="000000"/>
                <w:kern w:val="0"/>
                <w:sz w:val="24"/>
                <w:szCs w:val="24"/>
              </w:rPr>
              <w:t>苏泊尔</w:t>
            </w:r>
          </w:p>
        </w:tc>
        <w:tc>
          <w:tcPr>
            <w:tcW w:w="1701" w:type="dxa"/>
            <w:vAlign w:val="center"/>
          </w:tcPr>
          <w:p w:rsidR="002B6351" w:rsidRDefault="00181BC3">
            <w:pPr>
              <w:jc w:val="right"/>
            </w:pPr>
            <w:r>
              <w:rPr>
                <w:color w:val="000000"/>
                <w:kern w:val="0"/>
                <w:sz w:val="24"/>
                <w:szCs w:val="24"/>
              </w:rPr>
              <w:t>1,479,881</w:t>
            </w:r>
          </w:p>
        </w:tc>
        <w:tc>
          <w:tcPr>
            <w:tcW w:w="1984" w:type="dxa"/>
            <w:vAlign w:val="center"/>
          </w:tcPr>
          <w:p w:rsidR="002B6351" w:rsidRDefault="00181BC3">
            <w:pPr>
              <w:jc w:val="right"/>
            </w:pPr>
            <w:r>
              <w:rPr>
                <w:color w:val="000000"/>
                <w:kern w:val="0"/>
                <w:sz w:val="24"/>
                <w:szCs w:val="24"/>
              </w:rPr>
              <w:t>106,151,864.13</w:t>
            </w:r>
          </w:p>
        </w:tc>
        <w:tc>
          <w:tcPr>
            <w:tcW w:w="1559" w:type="dxa"/>
            <w:vAlign w:val="center"/>
          </w:tcPr>
          <w:p w:rsidR="002B6351" w:rsidRDefault="00181BC3">
            <w:pPr>
              <w:jc w:val="right"/>
            </w:pPr>
            <w:r>
              <w:rPr>
                <w:color w:val="000000"/>
                <w:kern w:val="0"/>
                <w:sz w:val="24"/>
                <w:szCs w:val="24"/>
              </w:rPr>
              <w:t>5.24</w:t>
            </w:r>
          </w:p>
        </w:tc>
      </w:tr>
      <w:tr w:rsidR="002B6351">
        <w:tc>
          <w:tcPr>
            <w:tcW w:w="851" w:type="dxa"/>
            <w:vAlign w:val="center"/>
          </w:tcPr>
          <w:p w:rsidR="002B6351" w:rsidRDefault="00181BC3">
            <w:pPr>
              <w:jc w:val="center"/>
            </w:pPr>
            <w:r>
              <w:rPr>
                <w:color w:val="000000"/>
                <w:kern w:val="0"/>
                <w:sz w:val="24"/>
                <w:szCs w:val="24"/>
              </w:rPr>
              <w:t>8</w:t>
            </w:r>
          </w:p>
        </w:tc>
        <w:tc>
          <w:tcPr>
            <w:tcW w:w="1276" w:type="dxa"/>
            <w:vAlign w:val="center"/>
          </w:tcPr>
          <w:p w:rsidR="002B6351" w:rsidRDefault="00181BC3">
            <w:pPr>
              <w:jc w:val="center"/>
            </w:pPr>
            <w:r>
              <w:rPr>
                <w:color w:val="000000"/>
                <w:kern w:val="0"/>
                <w:sz w:val="24"/>
                <w:szCs w:val="24"/>
              </w:rPr>
              <w:t>603515</w:t>
            </w:r>
          </w:p>
        </w:tc>
        <w:tc>
          <w:tcPr>
            <w:tcW w:w="1418" w:type="dxa"/>
            <w:vAlign w:val="center"/>
          </w:tcPr>
          <w:p w:rsidR="002B6351" w:rsidRDefault="00181BC3">
            <w:pPr>
              <w:jc w:val="center"/>
            </w:pPr>
            <w:r>
              <w:rPr>
                <w:color w:val="000000"/>
                <w:kern w:val="0"/>
                <w:sz w:val="24"/>
                <w:szCs w:val="24"/>
              </w:rPr>
              <w:t>欧普照明</w:t>
            </w:r>
          </w:p>
        </w:tc>
        <w:tc>
          <w:tcPr>
            <w:tcW w:w="1701" w:type="dxa"/>
            <w:vAlign w:val="center"/>
          </w:tcPr>
          <w:p w:rsidR="002B6351" w:rsidRDefault="00181BC3">
            <w:pPr>
              <w:jc w:val="right"/>
            </w:pPr>
            <w:r>
              <w:rPr>
                <w:color w:val="000000"/>
                <w:kern w:val="0"/>
                <w:sz w:val="24"/>
                <w:szCs w:val="24"/>
              </w:rPr>
              <w:t>3,800,031</w:t>
            </w:r>
          </w:p>
        </w:tc>
        <w:tc>
          <w:tcPr>
            <w:tcW w:w="1984" w:type="dxa"/>
            <w:vAlign w:val="center"/>
          </w:tcPr>
          <w:p w:rsidR="002B6351" w:rsidRDefault="00181BC3">
            <w:pPr>
              <w:jc w:val="right"/>
            </w:pPr>
            <w:r>
              <w:rPr>
                <w:color w:val="000000"/>
                <w:kern w:val="0"/>
                <w:sz w:val="24"/>
                <w:szCs w:val="24"/>
              </w:rPr>
              <w:t>100,206,817.47</w:t>
            </w:r>
          </w:p>
        </w:tc>
        <w:tc>
          <w:tcPr>
            <w:tcW w:w="1559" w:type="dxa"/>
            <w:vAlign w:val="center"/>
          </w:tcPr>
          <w:p w:rsidR="002B6351" w:rsidRDefault="00181BC3">
            <w:pPr>
              <w:jc w:val="right"/>
            </w:pPr>
            <w:r>
              <w:rPr>
                <w:color w:val="000000"/>
                <w:kern w:val="0"/>
                <w:sz w:val="24"/>
                <w:szCs w:val="24"/>
              </w:rPr>
              <w:t>4.94</w:t>
            </w:r>
          </w:p>
        </w:tc>
      </w:tr>
      <w:tr w:rsidR="002B6351">
        <w:tc>
          <w:tcPr>
            <w:tcW w:w="851" w:type="dxa"/>
            <w:vAlign w:val="center"/>
          </w:tcPr>
          <w:p w:rsidR="002B6351" w:rsidRDefault="00181BC3">
            <w:pPr>
              <w:jc w:val="center"/>
            </w:pPr>
            <w:r>
              <w:rPr>
                <w:color w:val="000000"/>
                <w:kern w:val="0"/>
                <w:sz w:val="24"/>
                <w:szCs w:val="24"/>
              </w:rPr>
              <w:t>9</w:t>
            </w:r>
          </w:p>
        </w:tc>
        <w:tc>
          <w:tcPr>
            <w:tcW w:w="1276" w:type="dxa"/>
            <w:vAlign w:val="center"/>
          </w:tcPr>
          <w:p w:rsidR="002B6351" w:rsidRDefault="00181BC3">
            <w:pPr>
              <w:jc w:val="center"/>
            </w:pPr>
            <w:r>
              <w:rPr>
                <w:color w:val="000000"/>
                <w:kern w:val="0"/>
                <w:sz w:val="24"/>
                <w:szCs w:val="24"/>
              </w:rPr>
              <w:t>002299</w:t>
            </w:r>
          </w:p>
        </w:tc>
        <w:tc>
          <w:tcPr>
            <w:tcW w:w="1418" w:type="dxa"/>
            <w:vAlign w:val="center"/>
          </w:tcPr>
          <w:p w:rsidR="002B6351" w:rsidRDefault="00181BC3">
            <w:pPr>
              <w:jc w:val="center"/>
            </w:pPr>
            <w:r>
              <w:rPr>
                <w:color w:val="000000"/>
                <w:kern w:val="0"/>
                <w:sz w:val="24"/>
                <w:szCs w:val="24"/>
              </w:rPr>
              <w:t>圣农发展</w:t>
            </w:r>
          </w:p>
        </w:tc>
        <w:tc>
          <w:tcPr>
            <w:tcW w:w="1701" w:type="dxa"/>
            <w:vAlign w:val="center"/>
          </w:tcPr>
          <w:p w:rsidR="002B6351" w:rsidRDefault="00181BC3">
            <w:pPr>
              <w:jc w:val="right"/>
            </w:pPr>
            <w:r>
              <w:rPr>
                <w:color w:val="000000"/>
                <w:kern w:val="0"/>
                <w:sz w:val="24"/>
                <w:szCs w:val="24"/>
              </w:rPr>
              <w:t>3,830,021</w:t>
            </w:r>
          </w:p>
        </w:tc>
        <w:tc>
          <w:tcPr>
            <w:tcW w:w="1984" w:type="dxa"/>
            <w:vAlign w:val="center"/>
          </w:tcPr>
          <w:p w:rsidR="002B6351" w:rsidRDefault="00181BC3">
            <w:pPr>
              <w:jc w:val="right"/>
            </w:pPr>
            <w:r>
              <w:rPr>
                <w:color w:val="000000"/>
                <w:kern w:val="0"/>
                <w:sz w:val="24"/>
                <w:szCs w:val="24"/>
              </w:rPr>
              <w:t>94,448,317.86</w:t>
            </w:r>
          </w:p>
        </w:tc>
        <w:tc>
          <w:tcPr>
            <w:tcW w:w="1559" w:type="dxa"/>
            <w:vAlign w:val="center"/>
          </w:tcPr>
          <w:p w:rsidR="002B6351" w:rsidRDefault="00181BC3">
            <w:pPr>
              <w:jc w:val="right"/>
            </w:pPr>
            <w:r>
              <w:rPr>
                <w:color w:val="000000"/>
                <w:kern w:val="0"/>
                <w:sz w:val="24"/>
                <w:szCs w:val="24"/>
              </w:rPr>
              <w:t>4.66</w:t>
            </w:r>
          </w:p>
        </w:tc>
      </w:tr>
      <w:tr w:rsidR="002B6351">
        <w:tc>
          <w:tcPr>
            <w:tcW w:w="851" w:type="dxa"/>
            <w:vAlign w:val="center"/>
          </w:tcPr>
          <w:p w:rsidR="002B6351" w:rsidRDefault="00181BC3">
            <w:pPr>
              <w:jc w:val="center"/>
            </w:pPr>
            <w:r>
              <w:rPr>
                <w:color w:val="000000"/>
                <w:kern w:val="0"/>
                <w:sz w:val="24"/>
                <w:szCs w:val="24"/>
              </w:rPr>
              <w:t>10</w:t>
            </w:r>
          </w:p>
        </w:tc>
        <w:tc>
          <w:tcPr>
            <w:tcW w:w="1276" w:type="dxa"/>
            <w:vAlign w:val="center"/>
          </w:tcPr>
          <w:p w:rsidR="002B6351" w:rsidRDefault="00181BC3">
            <w:pPr>
              <w:jc w:val="center"/>
            </w:pPr>
            <w:r>
              <w:rPr>
                <w:color w:val="000000"/>
                <w:kern w:val="0"/>
                <w:sz w:val="24"/>
                <w:szCs w:val="24"/>
              </w:rPr>
              <w:t>300144</w:t>
            </w:r>
          </w:p>
        </w:tc>
        <w:tc>
          <w:tcPr>
            <w:tcW w:w="1418" w:type="dxa"/>
            <w:vAlign w:val="center"/>
          </w:tcPr>
          <w:p w:rsidR="002B6351" w:rsidRDefault="00181BC3">
            <w:pPr>
              <w:jc w:val="center"/>
            </w:pPr>
            <w:r>
              <w:rPr>
                <w:color w:val="000000"/>
                <w:kern w:val="0"/>
                <w:sz w:val="24"/>
                <w:szCs w:val="24"/>
              </w:rPr>
              <w:t>宋城演艺</w:t>
            </w:r>
          </w:p>
        </w:tc>
        <w:tc>
          <w:tcPr>
            <w:tcW w:w="1701" w:type="dxa"/>
            <w:vAlign w:val="center"/>
          </w:tcPr>
          <w:p w:rsidR="002B6351" w:rsidRDefault="00181BC3">
            <w:pPr>
              <w:jc w:val="right"/>
            </w:pPr>
            <w:r>
              <w:rPr>
                <w:color w:val="000000"/>
                <w:kern w:val="0"/>
                <w:sz w:val="24"/>
                <w:szCs w:val="24"/>
              </w:rPr>
              <w:t>3,000,000</w:t>
            </w:r>
          </w:p>
        </w:tc>
        <w:tc>
          <w:tcPr>
            <w:tcW w:w="1984" w:type="dxa"/>
            <w:vAlign w:val="center"/>
          </w:tcPr>
          <w:p w:rsidR="002B6351" w:rsidRDefault="00181BC3">
            <w:pPr>
              <w:jc w:val="right"/>
            </w:pPr>
            <w:r>
              <w:rPr>
                <w:color w:val="000000"/>
                <w:kern w:val="0"/>
                <w:sz w:val="24"/>
                <w:szCs w:val="24"/>
              </w:rPr>
              <w:t>83,820,000.00</w:t>
            </w:r>
          </w:p>
        </w:tc>
        <w:tc>
          <w:tcPr>
            <w:tcW w:w="1559" w:type="dxa"/>
            <w:vAlign w:val="center"/>
          </w:tcPr>
          <w:p w:rsidR="002B6351" w:rsidRDefault="00181BC3">
            <w:pPr>
              <w:jc w:val="right"/>
            </w:pPr>
            <w:r>
              <w:rPr>
                <w:color w:val="000000"/>
                <w:kern w:val="0"/>
                <w:sz w:val="24"/>
                <w:szCs w:val="24"/>
              </w:rPr>
              <w:t>4.14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80,028,000.00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3.95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80,028,000.00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3.95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129,998.29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80,157,998.29</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3.95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B6351">
        <w:tc>
          <w:tcPr>
            <w:tcW w:w="959" w:type="dxa"/>
            <w:vAlign w:val="center"/>
          </w:tcPr>
          <w:p w:rsidR="002B6351" w:rsidRDefault="00181BC3">
            <w:pPr>
              <w:jc w:val="center"/>
            </w:pPr>
            <w:r>
              <w:rPr>
                <w:color w:val="000000"/>
                <w:kern w:val="0"/>
                <w:sz w:val="24"/>
                <w:szCs w:val="24"/>
              </w:rPr>
              <w:t>1</w:t>
            </w:r>
          </w:p>
        </w:tc>
        <w:tc>
          <w:tcPr>
            <w:tcW w:w="1276" w:type="dxa"/>
            <w:vAlign w:val="center"/>
          </w:tcPr>
          <w:p w:rsidR="002B6351" w:rsidRDefault="00181BC3">
            <w:pPr>
              <w:jc w:val="center"/>
            </w:pPr>
            <w:r>
              <w:rPr>
                <w:color w:val="000000"/>
                <w:kern w:val="0"/>
                <w:sz w:val="24"/>
                <w:szCs w:val="24"/>
              </w:rPr>
              <w:t>130208</w:t>
            </w:r>
          </w:p>
        </w:tc>
        <w:tc>
          <w:tcPr>
            <w:tcW w:w="1275" w:type="dxa"/>
            <w:vAlign w:val="center"/>
          </w:tcPr>
          <w:p w:rsidR="002B6351" w:rsidRDefault="00181BC3">
            <w:pPr>
              <w:jc w:val="center"/>
            </w:pPr>
            <w:r>
              <w:rPr>
                <w:color w:val="000000"/>
                <w:kern w:val="0"/>
                <w:sz w:val="24"/>
                <w:szCs w:val="24"/>
              </w:rPr>
              <w:t>13</w:t>
            </w:r>
            <w:r>
              <w:rPr>
                <w:color w:val="000000"/>
                <w:kern w:val="0"/>
                <w:sz w:val="24"/>
                <w:szCs w:val="24"/>
              </w:rPr>
              <w:t>国开</w:t>
            </w:r>
            <w:r>
              <w:rPr>
                <w:color w:val="000000"/>
                <w:kern w:val="0"/>
                <w:sz w:val="24"/>
                <w:szCs w:val="24"/>
              </w:rPr>
              <w:t>08</w:t>
            </w:r>
          </w:p>
        </w:tc>
        <w:tc>
          <w:tcPr>
            <w:tcW w:w="1560" w:type="dxa"/>
            <w:vAlign w:val="center"/>
          </w:tcPr>
          <w:p w:rsidR="002B6351" w:rsidRDefault="00181BC3">
            <w:pPr>
              <w:jc w:val="right"/>
            </w:pPr>
            <w:r>
              <w:rPr>
                <w:color w:val="000000"/>
                <w:kern w:val="0"/>
                <w:sz w:val="24"/>
                <w:szCs w:val="24"/>
              </w:rPr>
              <w:t>400,000</w:t>
            </w:r>
          </w:p>
        </w:tc>
        <w:tc>
          <w:tcPr>
            <w:tcW w:w="1984" w:type="dxa"/>
            <w:vAlign w:val="center"/>
          </w:tcPr>
          <w:p w:rsidR="002B6351" w:rsidRDefault="00181BC3">
            <w:pPr>
              <w:jc w:val="right"/>
            </w:pPr>
            <w:r>
              <w:rPr>
                <w:color w:val="000000"/>
                <w:kern w:val="0"/>
                <w:sz w:val="24"/>
                <w:szCs w:val="24"/>
              </w:rPr>
              <w:t>40,036,000.00</w:t>
            </w:r>
          </w:p>
        </w:tc>
        <w:tc>
          <w:tcPr>
            <w:tcW w:w="1474" w:type="dxa"/>
            <w:vAlign w:val="center"/>
          </w:tcPr>
          <w:p w:rsidR="002B6351" w:rsidRDefault="00181BC3">
            <w:pPr>
              <w:jc w:val="right"/>
            </w:pPr>
            <w:r>
              <w:rPr>
                <w:color w:val="000000"/>
                <w:kern w:val="0"/>
                <w:sz w:val="24"/>
                <w:szCs w:val="24"/>
              </w:rPr>
              <w:t>1.98</w:t>
            </w:r>
          </w:p>
        </w:tc>
      </w:tr>
      <w:tr w:rsidR="002B6351">
        <w:tc>
          <w:tcPr>
            <w:tcW w:w="959" w:type="dxa"/>
            <w:vAlign w:val="center"/>
          </w:tcPr>
          <w:p w:rsidR="002B6351" w:rsidRDefault="00181BC3">
            <w:pPr>
              <w:jc w:val="center"/>
            </w:pPr>
            <w:r>
              <w:rPr>
                <w:color w:val="000000"/>
                <w:kern w:val="0"/>
                <w:sz w:val="24"/>
                <w:szCs w:val="24"/>
              </w:rPr>
              <w:t>2</w:t>
            </w:r>
          </w:p>
        </w:tc>
        <w:tc>
          <w:tcPr>
            <w:tcW w:w="1276" w:type="dxa"/>
            <w:vAlign w:val="center"/>
          </w:tcPr>
          <w:p w:rsidR="002B6351" w:rsidRDefault="00181BC3">
            <w:pPr>
              <w:jc w:val="center"/>
            </w:pPr>
            <w:r>
              <w:rPr>
                <w:color w:val="000000"/>
                <w:kern w:val="0"/>
                <w:sz w:val="24"/>
                <w:szCs w:val="24"/>
              </w:rPr>
              <w:t>190304</w:t>
            </w:r>
          </w:p>
        </w:tc>
        <w:tc>
          <w:tcPr>
            <w:tcW w:w="1275" w:type="dxa"/>
            <w:vAlign w:val="center"/>
          </w:tcPr>
          <w:p w:rsidR="002B6351" w:rsidRDefault="00181BC3">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2B6351" w:rsidRDefault="00181BC3">
            <w:pPr>
              <w:jc w:val="right"/>
            </w:pPr>
            <w:r>
              <w:rPr>
                <w:color w:val="000000"/>
                <w:kern w:val="0"/>
                <w:sz w:val="24"/>
                <w:szCs w:val="24"/>
              </w:rPr>
              <w:t>400,000</w:t>
            </w:r>
          </w:p>
        </w:tc>
        <w:tc>
          <w:tcPr>
            <w:tcW w:w="1984" w:type="dxa"/>
            <w:vAlign w:val="center"/>
          </w:tcPr>
          <w:p w:rsidR="002B6351" w:rsidRDefault="00181BC3">
            <w:pPr>
              <w:jc w:val="right"/>
            </w:pPr>
            <w:r>
              <w:rPr>
                <w:color w:val="000000"/>
                <w:kern w:val="0"/>
                <w:sz w:val="24"/>
                <w:szCs w:val="24"/>
              </w:rPr>
              <w:t>39,992,000.00</w:t>
            </w:r>
          </w:p>
        </w:tc>
        <w:tc>
          <w:tcPr>
            <w:tcW w:w="1474" w:type="dxa"/>
            <w:vAlign w:val="center"/>
          </w:tcPr>
          <w:p w:rsidR="002B6351" w:rsidRDefault="00181BC3">
            <w:pPr>
              <w:jc w:val="right"/>
            </w:pPr>
            <w:r>
              <w:rPr>
                <w:color w:val="000000"/>
                <w:kern w:val="0"/>
                <w:sz w:val="24"/>
                <w:szCs w:val="24"/>
              </w:rPr>
              <w:t>1.97</w:t>
            </w:r>
          </w:p>
        </w:tc>
      </w:tr>
      <w:tr w:rsidR="002B6351">
        <w:tc>
          <w:tcPr>
            <w:tcW w:w="959" w:type="dxa"/>
            <w:vAlign w:val="center"/>
          </w:tcPr>
          <w:p w:rsidR="002B6351" w:rsidRDefault="00181BC3">
            <w:pPr>
              <w:jc w:val="center"/>
            </w:pPr>
            <w:r>
              <w:rPr>
                <w:color w:val="000000"/>
                <w:kern w:val="0"/>
                <w:sz w:val="24"/>
                <w:szCs w:val="24"/>
              </w:rPr>
              <w:t>3</w:t>
            </w:r>
          </w:p>
        </w:tc>
        <w:tc>
          <w:tcPr>
            <w:tcW w:w="1276" w:type="dxa"/>
            <w:vAlign w:val="center"/>
          </w:tcPr>
          <w:p w:rsidR="002B6351" w:rsidRDefault="00181BC3">
            <w:pPr>
              <w:jc w:val="center"/>
            </w:pPr>
            <w:r>
              <w:rPr>
                <w:color w:val="000000"/>
                <w:kern w:val="0"/>
                <w:sz w:val="24"/>
                <w:szCs w:val="24"/>
              </w:rPr>
              <w:t>128075</w:t>
            </w:r>
          </w:p>
        </w:tc>
        <w:tc>
          <w:tcPr>
            <w:tcW w:w="1275" w:type="dxa"/>
            <w:vAlign w:val="center"/>
          </w:tcPr>
          <w:p w:rsidR="002B6351" w:rsidRDefault="00181BC3">
            <w:pPr>
              <w:jc w:val="center"/>
            </w:pPr>
            <w:r>
              <w:rPr>
                <w:color w:val="000000"/>
                <w:kern w:val="0"/>
                <w:sz w:val="24"/>
                <w:szCs w:val="24"/>
              </w:rPr>
              <w:t>远东转债</w:t>
            </w:r>
          </w:p>
        </w:tc>
        <w:tc>
          <w:tcPr>
            <w:tcW w:w="1560" w:type="dxa"/>
            <w:vAlign w:val="center"/>
          </w:tcPr>
          <w:p w:rsidR="002B6351" w:rsidRDefault="00181BC3">
            <w:pPr>
              <w:jc w:val="right"/>
            </w:pPr>
            <w:r>
              <w:rPr>
                <w:color w:val="000000"/>
                <w:kern w:val="0"/>
                <w:sz w:val="24"/>
                <w:szCs w:val="24"/>
              </w:rPr>
              <w:t>1,300</w:t>
            </w:r>
          </w:p>
        </w:tc>
        <w:tc>
          <w:tcPr>
            <w:tcW w:w="1984" w:type="dxa"/>
            <w:vAlign w:val="center"/>
          </w:tcPr>
          <w:p w:rsidR="002B6351" w:rsidRDefault="00181BC3">
            <w:pPr>
              <w:jc w:val="right"/>
            </w:pPr>
            <w:r>
              <w:rPr>
                <w:color w:val="000000"/>
                <w:kern w:val="0"/>
                <w:sz w:val="24"/>
                <w:szCs w:val="24"/>
              </w:rPr>
              <w:t>129,998.29</w:t>
            </w:r>
          </w:p>
        </w:tc>
        <w:tc>
          <w:tcPr>
            <w:tcW w:w="1474" w:type="dxa"/>
            <w:vAlign w:val="center"/>
          </w:tcPr>
          <w:p w:rsidR="002B6351" w:rsidRDefault="00181BC3">
            <w:pPr>
              <w:jc w:val="right"/>
            </w:pPr>
            <w:r>
              <w:rPr>
                <w:color w:val="000000"/>
                <w:kern w:val="0"/>
                <w:sz w:val="24"/>
                <w:szCs w:val="24"/>
              </w:rPr>
              <w:t>0.01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平安银行（代码：000001）为易方达积极成长证券投资基金的前十大重仓证券之一。2018年12月13日，中国银行业监督管理委员会宁波监管局针对平安银行股份有限公司信用卡中心宁波分中心内控管理不到位的违法违规事实，处以罚款人民币40万元，并责令机构对相关直接责任人给予纪律处分的行政处罚。2019年5月10日，中国银行保险监督管理委员会上海监管局针对平安银行股份有限公司信用卡中心上海分中心2015年至2017年对员工经商办企业的行为屡禁不止，员工行为管理严重违反审慎经营规则的违法违规事实，责令改正，并处罚款40万元。2019年8月12日，中国银行保险监督管理委员会上海监管局针对平安银行股份有限公司资金运营中心2017年末至2018年9月信息科技风险管理严重违反审慎经营规则的违法违规事实，责令改正，并处罚款20万元。</w:t>
      </w:r>
    </w:p>
    <w:p w:rsidR="002B6351" w:rsidRDefault="00181BC3">
      <w:pPr>
        <w:spacing w:line="360" w:lineRule="auto"/>
        <w:rPr>
          <w:rFonts w:ascii="宋体" w:hAnsi="宋体"/>
          <w:color w:val="000000"/>
          <w:sz w:val="24"/>
          <w:szCs w:val="24"/>
        </w:rPr>
      </w:pPr>
      <w:r>
        <w:rPr>
          <w:rFonts w:ascii="宋体" w:hAnsi="宋体"/>
          <w:color w:val="000000"/>
          <w:sz w:val="24"/>
          <w:szCs w:val="24"/>
        </w:rPr>
        <w:t>本基金投资平安银行的投资决策程序符合公司投资制度的规定。</w:t>
      </w:r>
    </w:p>
    <w:p w:rsidR="002B6351" w:rsidRDefault="00181BC3">
      <w:pPr>
        <w:spacing w:line="360" w:lineRule="auto"/>
        <w:rPr>
          <w:rFonts w:ascii="宋体" w:hAnsi="宋体"/>
          <w:color w:val="000000"/>
          <w:sz w:val="24"/>
          <w:szCs w:val="24"/>
        </w:rPr>
      </w:pPr>
      <w:r>
        <w:rPr>
          <w:rFonts w:ascii="宋体" w:hAnsi="宋体"/>
          <w:color w:val="000000"/>
          <w:sz w:val="24"/>
          <w:szCs w:val="24"/>
        </w:rPr>
        <w:t>除平安银行外，本基金投资的前十名证券的发行主体本期没有出现被监管部门立案调查，或在报告编制日前一年内受到公开谴责、处罚的情形。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846,198.10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672,641.54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341,165.65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1,860,005.29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3,100,127,043.75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54,977,023.16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155,838,260.71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2,999,265,806.20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2B6351" w:rsidRDefault="00181BC3">
      <w:pPr>
        <w:spacing w:line="360" w:lineRule="auto"/>
        <w:ind w:firstLineChars="200" w:firstLine="480"/>
        <w:rPr>
          <w:color w:val="000000"/>
          <w:sz w:val="24"/>
          <w:szCs w:val="24"/>
        </w:rPr>
      </w:pPr>
      <w:r>
        <w:rPr>
          <w:color w:val="000000"/>
          <w:sz w:val="24"/>
          <w:szCs w:val="24"/>
        </w:rPr>
        <w:t>1.</w:t>
      </w:r>
      <w:r>
        <w:rPr>
          <w:color w:val="000000"/>
          <w:sz w:val="24"/>
          <w:szCs w:val="24"/>
        </w:rPr>
        <w:t>中国证监会批准易方达积极成长证券投资基金设立的文件；</w:t>
      </w:r>
    </w:p>
    <w:p w:rsidR="002B6351" w:rsidRDefault="00181BC3">
      <w:pPr>
        <w:spacing w:line="360" w:lineRule="auto"/>
        <w:ind w:firstLineChars="200" w:firstLine="480"/>
        <w:rPr>
          <w:color w:val="000000"/>
          <w:sz w:val="24"/>
          <w:szCs w:val="24"/>
        </w:rPr>
      </w:pPr>
      <w:r>
        <w:rPr>
          <w:color w:val="000000"/>
          <w:sz w:val="24"/>
          <w:szCs w:val="24"/>
        </w:rPr>
        <w:t>2.</w:t>
      </w:r>
      <w:r>
        <w:rPr>
          <w:color w:val="000000"/>
          <w:sz w:val="24"/>
          <w:szCs w:val="24"/>
        </w:rPr>
        <w:t>《易方达积极成长证券投资基金基金合同》；</w:t>
      </w:r>
    </w:p>
    <w:p w:rsidR="002B6351" w:rsidRDefault="00181BC3">
      <w:pPr>
        <w:spacing w:line="360" w:lineRule="auto"/>
        <w:ind w:firstLineChars="200" w:firstLine="480"/>
        <w:rPr>
          <w:color w:val="000000"/>
          <w:sz w:val="24"/>
          <w:szCs w:val="24"/>
        </w:rPr>
      </w:pPr>
      <w:r>
        <w:rPr>
          <w:color w:val="000000"/>
          <w:sz w:val="24"/>
          <w:szCs w:val="24"/>
        </w:rPr>
        <w:t>3.</w:t>
      </w:r>
      <w:r>
        <w:rPr>
          <w:color w:val="000000"/>
          <w:sz w:val="24"/>
          <w:szCs w:val="24"/>
        </w:rPr>
        <w:t>《易方达积极成长证券投资基金托管协议》；</w:t>
      </w:r>
    </w:p>
    <w:p w:rsidR="002B6351" w:rsidRDefault="00181BC3">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r>
        <w:rPr>
          <w:color w:val="000000"/>
          <w:sz w:val="24"/>
          <w:szCs w:val="24"/>
        </w:rPr>
        <w:t xml:space="preserve"> </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81BC3">
      <w:rPr>
        <w:rStyle w:val="a7"/>
        <w:noProof/>
      </w:rPr>
      <w:t>1</w:t>
    </w:r>
    <w:r>
      <w:rPr>
        <w:rStyle w:val="a7"/>
      </w:rPr>
      <w:fldChar w:fldCharType="end"/>
    </w:r>
    <w:r>
      <w:rPr>
        <w:rStyle w:val="a7"/>
        <w:rFonts w:hint="eastAsia"/>
      </w:rPr>
      <w:t>页共</w:t>
    </w:r>
    <w:r w:rsidR="00181BC3">
      <w:fldChar w:fldCharType="begin"/>
    </w:r>
    <w:r w:rsidR="00181BC3">
      <w:instrText xml:space="preserve"> NUMPAGES  \* Arabic  \* MERGEFORMAT </w:instrText>
    </w:r>
    <w:r w:rsidR="00181BC3">
      <w:fldChar w:fldCharType="separate"/>
    </w:r>
    <w:r w:rsidR="00181BC3" w:rsidRPr="00181BC3">
      <w:rPr>
        <w:rStyle w:val="a7"/>
        <w:noProof/>
      </w:rPr>
      <w:t>3</w:t>
    </w:r>
    <w:r w:rsidR="00181BC3">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181BC3">
      <w:rPr>
        <w:rStyle w:val="a7"/>
        <w:noProof/>
      </w:rPr>
      <w:t>11</w:t>
    </w:r>
    <w:r>
      <w:rPr>
        <w:rStyle w:val="a7"/>
      </w:rPr>
      <w:fldChar w:fldCharType="end"/>
    </w:r>
    <w:r>
      <w:rPr>
        <w:rStyle w:val="a7"/>
        <w:rFonts w:hint="eastAsia"/>
      </w:rPr>
      <w:t>页共</w:t>
    </w:r>
    <w:fldSimple w:instr=" NUMPAGES  \* Arabic  \* MERGEFORMAT ">
      <w:r w:rsidR="00181BC3" w:rsidRPr="00181BC3">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易方达积极成长证券投资基金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1BC3"/>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B6351"/>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5415-A571-4C52-B8A1-907C7131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