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73" w:rsidRPr="00EC5CE0" w:rsidRDefault="00A62673" w:rsidP="00074E9F">
      <w:pPr>
        <w:autoSpaceDE w:val="0"/>
        <w:autoSpaceDN w:val="0"/>
        <w:adjustRightInd w:val="0"/>
        <w:spacing w:line="360" w:lineRule="auto"/>
        <w:jc w:val="left"/>
        <w:rPr>
          <w:rFonts w:ascii="宋体" w:cs="Arial"/>
          <w:color w:val="000000"/>
          <w:kern w:val="0"/>
          <w:sz w:val="24"/>
        </w:rPr>
      </w:pPr>
      <w:bookmarkStart w:id="0" w:name="_GoBack"/>
      <w:bookmarkEnd w:id="0"/>
    </w:p>
    <w:p w:rsidR="00A62673" w:rsidRPr="00EC5CE0" w:rsidRDefault="00A62673" w:rsidP="00074E9F">
      <w:pPr>
        <w:autoSpaceDE w:val="0"/>
        <w:autoSpaceDN w:val="0"/>
        <w:adjustRightInd w:val="0"/>
        <w:spacing w:line="360" w:lineRule="auto"/>
        <w:jc w:val="left"/>
        <w:rPr>
          <w:rFonts w:ascii="宋体" w:cs="Arial"/>
          <w:color w:val="000000"/>
          <w:kern w:val="0"/>
          <w:sz w:val="24"/>
        </w:rPr>
      </w:pPr>
    </w:p>
    <w:p w:rsidR="00A62673" w:rsidRPr="00EC5CE0" w:rsidRDefault="00A62673" w:rsidP="00074E9F">
      <w:pPr>
        <w:autoSpaceDE w:val="0"/>
        <w:autoSpaceDN w:val="0"/>
        <w:adjustRightInd w:val="0"/>
        <w:spacing w:line="360" w:lineRule="auto"/>
        <w:jc w:val="left"/>
        <w:rPr>
          <w:rFonts w:ascii="宋体" w:cs="Arial"/>
          <w:color w:val="000000"/>
          <w:kern w:val="0"/>
          <w:sz w:val="24"/>
        </w:rPr>
      </w:pPr>
    </w:p>
    <w:p w:rsidR="00A62673" w:rsidRPr="00EC5CE0" w:rsidRDefault="00A62673" w:rsidP="00074E9F">
      <w:pPr>
        <w:autoSpaceDE w:val="0"/>
        <w:autoSpaceDN w:val="0"/>
        <w:adjustRightInd w:val="0"/>
        <w:spacing w:line="360" w:lineRule="auto"/>
        <w:jc w:val="left"/>
        <w:rPr>
          <w:rFonts w:ascii="宋体" w:cs="Arial"/>
          <w:color w:val="000000"/>
          <w:kern w:val="0"/>
          <w:sz w:val="36"/>
          <w:szCs w:val="36"/>
        </w:rPr>
      </w:pPr>
    </w:p>
    <w:p w:rsidR="00A62673" w:rsidRPr="00EC5CE0" w:rsidRDefault="00A62673" w:rsidP="000020BB">
      <w:pPr>
        <w:spacing w:line="360" w:lineRule="auto"/>
        <w:jc w:val="center"/>
        <w:rPr>
          <w:rFonts w:ascii="宋体" w:hAnsi="宋体"/>
          <w:b/>
          <w:sz w:val="36"/>
          <w:szCs w:val="36"/>
        </w:rPr>
      </w:pPr>
      <w:r w:rsidRPr="00EC5CE0">
        <w:rPr>
          <w:rFonts w:ascii="宋体" w:hAnsi="宋体"/>
          <w:b/>
          <w:sz w:val="36"/>
          <w:szCs w:val="36"/>
        </w:rPr>
        <w:t>易方达50指数证券投资基金</w:t>
      </w:r>
    </w:p>
    <w:p w:rsidR="00A62673" w:rsidRPr="00EC5CE0" w:rsidRDefault="00A62673" w:rsidP="000020BB">
      <w:pPr>
        <w:spacing w:line="360" w:lineRule="auto"/>
        <w:jc w:val="center"/>
        <w:rPr>
          <w:rFonts w:ascii="宋体" w:hAnsi="宋体"/>
          <w:b/>
          <w:sz w:val="36"/>
          <w:szCs w:val="36"/>
        </w:rPr>
      </w:pPr>
      <w:r w:rsidRPr="00EC5CE0">
        <w:rPr>
          <w:rFonts w:ascii="宋体" w:hAnsi="宋体"/>
          <w:b/>
          <w:sz w:val="36"/>
          <w:szCs w:val="36"/>
        </w:rPr>
        <w:t>2019年第3季度报告</w:t>
      </w:r>
    </w:p>
    <w:p w:rsidR="00A62673" w:rsidRPr="00977154" w:rsidRDefault="00A62673" w:rsidP="000020BB">
      <w:pPr>
        <w:spacing w:line="360" w:lineRule="auto"/>
        <w:jc w:val="center"/>
        <w:rPr>
          <w:rFonts w:ascii="宋体" w:hAnsi="宋体"/>
          <w:b/>
          <w:sz w:val="24"/>
        </w:rPr>
      </w:pPr>
      <w:r w:rsidRPr="00977154">
        <w:rPr>
          <w:rFonts w:ascii="宋体" w:hAnsi="宋体"/>
          <w:b/>
          <w:sz w:val="24"/>
        </w:rPr>
        <w:t>2019年9月30日</w:t>
      </w: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jc w:val="center"/>
        <w:rPr>
          <w:rFonts w:ascii="宋体"/>
          <w:b/>
          <w:color w:val="000000"/>
          <w:sz w:val="24"/>
        </w:rPr>
      </w:pPr>
    </w:p>
    <w:p w:rsidR="00A62673" w:rsidRPr="00EC5CE0" w:rsidRDefault="00A62673" w:rsidP="00074E9F">
      <w:pPr>
        <w:spacing w:line="360" w:lineRule="auto"/>
        <w:rPr>
          <w:rFonts w:ascii="宋体"/>
          <w:b/>
          <w:color w:val="000000"/>
          <w:sz w:val="24"/>
        </w:rPr>
      </w:pPr>
    </w:p>
    <w:p w:rsidR="00A62673" w:rsidRPr="00EC5CE0" w:rsidRDefault="00A62673" w:rsidP="005A2769">
      <w:pPr>
        <w:spacing w:line="360" w:lineRule="auto"/>
        <w:ind w:firstLineChars="900" w:firstLine="2168"/>
        <w:rPr>
          <w:rFonts w:ascii="宋体" w:hAnsi="宋体"/>
          <w:b/>
          <w:color w:val="000000"/>
          <w:sz w:val="24"/>
        </w:rPr>
      </w:pPr>
      <w:r w:rsidRPr="00EC5CE0">
        <w:rPr>
          <w:rFonts w:ascii="宋体" w:hAnsi="宋体" w:hint="eastAsia"/>
          <w:b/>
          <w:color w:val="000000"/>
          <w:sz w:val="24"/>
        </w:rPr>
        <w:t>基金管理人：</w:t>
      </w:r>
      <w:r w:rsidRPr="00EC5CE0">
        <w:rPr>
          <w:rFonts w:ascii="宋体" w:hAnsi="宋体"/>
          <w:b/>
          <w:color w:val="000000"/>
          <w:sz w:val="24"/>
        </w:rPr>
        <w:t>易方达基金管理有限公司</w:t>
      </w:r>
    </w:p>
    <w:p w:rsidR="00A62673" w:rsidRPr="00EC5CE0" w:rsidRDefault="00A62673" w:rsidP="005A2769">
      <w:pPr>
        <w:spacing w:line="360" w:lineRule="auto"/>
        <w:ind w:firstLineChars="900" w:firstLine="2168"/>
        <w:rPr>
          <w:rFonts w:ascii="宋体" w:hAnsi="宋体"/>
          <w:b/>
          <w:color w:val="000000"/>
          <w:sz w:val="24"/>
        </w:rPr>
      </w:pPr>
      <w:r w:rsidRPr="00EC5CE0">
        <w:rPr>
          <w:rFonts w:ascii="宋体" w:hAnsi="宋体" w:hint="eastAsia"/>
          <w:b/>
          <w:color w:val="000000"/>
          <w:sz w:val="24"/>
        </w:rPr>
        <w:t>基金托管人：</w:t>
      </w:r>
      <w:r w:rsidRPr="00EC5CE0">
        <w:rPr>
          <w:rFonts w:ascii="宋体" w:hAnsi="宋体"/>
          <w:b/>
          <w:color w:val="000000"/>
          <w:sz w:val="24"/>
        </w:rPr>
        <w:t>交通银行股份有限公司</w:t>
      </w:r>
    </w:p>
    <w:p w:rsidR="00A62673" w:rsidRPr="00EC5CE0" w:rsidRDefault="00A62673" w:rsidP="005A2769">
      <w:pPr>
        <w:spacing w:line="360" w:lineRule="auto"/>
        <w:ind w:firstLineChars="900" w:firstLine="2168"/>
        <w:rPr>
          <w:rFonts w:ascii="宋体" w:hAnsi="宋体"/>
          <w:b/>
          <w:color w:val="000000"/>
          <w:sz w:val="24"/>
        </w:rPr>
        <w:sectPr w:rsidR="00A62673" w:rsidRPr="00EC5CE0" w:rsidSect="00230A66">
          <w:headerReference w:type="default" r:id="rId7"/>
          <w:footerReference w:type="default" r:id="rId8"/>
          <w:pgSz w:w="11926" w:h="15840"/>
          <w:pgMar w:top="1418" w:right="1418" w:bottom="851" w:left="1418" w:header="851" w:footer="992" w:gutter="0"/>
          <w:cols w:space="720"/>
          <w:noEndnote/>
        </w:sectPr>
      </w:pPr>
      <w:r w:rsidRPr="00EC5CE0">
        <w:rPr>
          <w:rFonts w:ascii="宋体" w:hAnsi="宋体" w:hint="eastAsia"/>
          <w:b/>
          <w:color w:val="000000"/>
          <w:sz w:val="24"/>
        </w:rPr>
        <w:t>报告送出日期：</w:t>
      </w:r>
      <w:r w:rsidRPr="00EC5CE0">
        <w:rPr>
          <w:rFonts w:ascii="宋体" w:hAnsi="宋体"/>
          <w:b/>
          <w:color w:val="000000"/>
          <w:sz w:val="24"/>
        </w:rPr>
        <w:t>二〇一九年十月二十四日</w:t>
      </w:r>
    </w:p>
    <w:p w:rsidR="00A62673" w:rsidRPr="00EC5CE0" w:rsidRDefault="00A62673" w:rsidP="00F729DC">
      <w:pPr>
        <w:pStyle w:val="1"/>
        <w:spacing w:beforeLines="100" w:before="312" w:afterLines="100" w:after="312" w:line="360" w:lineRule="auto"/>
        <w:jc w:val="center"/>
        <w:rPr>
          <w:rFonts w:ascii="宋体" w:cs="Arial"/>
          <w:b w:val="0"/>
          <w:color w:val="000000"/>
          <w:kern w:val="0"/>
          <w:sz w:val="24"/>
          <w:szCs w:val="24"/>
        </w:rPr>
      </w:pPr>
      <w:r w:rsidRPr="00EC5CE0">
        <w:rPr>
          <w:rFonts w:ascii="宋体" w:hAnsi="宋体" w:cs="Arial" w:hint="eastAsia"/>
          <w:color w:val="000000"/>
          <w:kern w:val="0"/>
          <w:sz w:val="24"/>
          <w:szCs w:val="24"/>
        </w:rPr>
        <w:lastRenderedPageBreak/>
        <w:t>§</w:t>
      </w:r>
      <w:r w:rsidRPr="00EC5CE0">
        <w:rPr>
          <w:rFonts w:ascii="宋体" w:hAnsi="宋体" w:cs="Arial"/>
          <w:color w:val="000000"/>
          <w:kern w:val="0"/>
          <w:sz w:val="24"/>
          <w:szCs w:val="24"/>
        </w:rPr>
        <w:t xml:space="preserve">1  </w:t>
      </w:r>
      <w:r w:rsidRPr="00EC5CE0">
        <w:rPr>
          <w:rFonts w:ascii="宋体" w:hAnsi="宋体" w:cs="Arial" w:hint="eastAsia"/>
          <w:color w:val="000000"/>
          <w:kern w:val="0"/>
          <w:sz w:val="24"/>
          <w:szCs w:val="24"/>
        </w:rPr>
        <w:t>重要提示</w:t>
      </w:r>
    </w:p>
    <w:p w:rsidR="00442D64" w:rsidRDefault="004B0E2D">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42D64" w:rsidRDefault="004B0E2D">
      <w:pPr>
        <w:spacing w:line="360" w:lineRule="auto"/>
        <w:ind w:firstLineChars="200" w:firstLine="480"/>
        <w:rPr>
          <w:color w:val="000000"/>
          <w:sz w:val="24"/>
        </w:rPr>
      </w:pPr>
      <w:r>
        <w:rPr>
          <w:color w:val="000000"/>
          <w:sz w:val="24"/>
        </w:rPr>
        <w:t>基金托管人交通银行股份有限公司根据本基金合同规定，于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42D64" w:rsidRDefault="004B0E2D">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42D64" w:rsidRDefault="004B0E2D">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w:t>
      </w:r>
      <w:r>
        <w:rPr>
          <w:color w:val="000000"/>
          <w:sz w:val="24"/>
        </w:rPr>
        <w:t>的招募说明书。</w:t>
      </w:r>
      <w:r>
        <w:rPr>
          <w:color w:val="000000"/>
          <w:sz w:val="24"/>
        </w:rPr>
        <w:t xml:space="preserve"> </w:t>
      </w:r>
    </w:p>
    <w:p w:rsidR="00442D64" w:rsidRDefault="004B0E2D">
      <w:pPr>
        <w:spacing w:line="360" w:lineRule="auto"/>
        <w:ind w:firstLineChars="200" w:firstLine="480"/>
        <w:rPr>
          <w:color w:val="000000"/>
          <w:sz w:val="24"/>
        </w:rPr>
      </w:pPr>
      <w:r>
        <w:rPr>
          <w:color w:val="000000"/>
          <w:sz w:val="24"/>
        </w:rPr>
        <w:t>本报告中财务资料未经审计。</w:t>
      </w:r>
    </w:p>
    <w:p w:rsidR="00A62673" w:rsidRPr="00DC315B" w:rsidRDefault="00A62673" w:rsidP="00DC315B">
      <w:pPr>
        <w:spacing w:line="360" w:lineRule="auto"/>
        <w:ind w:firstLineChars="200" w:firstLine="480"/>
        <w:rPr>
          <w:color w:val="000000"/>
          <w:sz w:val="24"/>
        </w:rPr>
      </w:pPr>
      <w:r w:rsidRPr="00DC315B">
        <w:rPr>
          <w:color w:val="000000"/>
          <w:sz w:val="24"/>
        </w:rPr>
        <w:t>本报告期自</w:t>
      </w:r>
      <w:r w:rsidRPr="00DC315B">
        <w:rPr>
          <w:color w:val="000000"/>
          <w:sz w:val="24"/>
        </w:rPr>
        <w:t>2019</w:t>
      </w:r>
      <w:r w:rsidRPr="00DC315B">
        <w:rPr>
          <w:color w:val="000000"/>
          <w:sz w:val="24"/>
        </w:rPr>
        <w:t>年</w:t>
      </w:r>
      <w:r w:rsidRPr="00DC315B">
        <w:rPr>
          <w:color w:val="000000"/>
          <w:sz w:val="24"/>
        </w:rPr>
        <w:t>7</w:t>
      </w:r>
      <w:r w:rsidRPr="00DC315B">
        <w:rPr>
          <w:color w:val="000000"/>
          <w:sz w:val="24"/>
        </w:rPr>
        <w:t>月</w:t>
      </w:r>
      <w:r w:rsidRPr="00DC315B">
        <w:rPr>
          <w:color w:val="000000"/>
          <w:sz w:val="24"/>
        </w:rPr>
        <w:t>1</w:t>
      </w:r>
      <w:r w:rsidRPr="00DC315B">
        <w:rPr>
          <w:color w:val="000000"/>
          <w:sz w:val="24"/>
        </w:rPr>
        <w:t>日起至</w:t>
      </w:r>
      <w:r w:rsidRPr="00DC315B">
        <w:rPr>
          <w:color w:val="000000"/>
          <w:sz w:val="24"/>
        </w:rPr>
        <w:t>9</w:t>
      </w:r>
      <w:r w:rsidRPr="00DC315B">
        <w:rPr>
          <w:color w:val="000000"/>
          <w:sz w:val="24"/>
        </w:rPr>
        <w:t>月</w:t>
      </w:r>
      <w:r w:rsidRPr="00DC315B">
        <w:rPr>
          <w:color w:val="000000"/>
          <w:sz w:val="24"/>
        </w:rPr>
        <w:t>30</w:t>
      </w:r>
      <w:r w:rsidRPr="00DC315B">
        <w:rPr>
          <w:color w:val="000000"/>
          <w:sz w:val="24"/>
        </w:rPr>
        <w:t>日止。</w:t>
      </w:r>
    </w:p>
    <w:p w:rsidR="00A62673" w:rsidRPr="00EC5CE0" w:rsidRDefault="00A62673" w:rsidP="00F729DC">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2  </w:t>
      </w:r>
      <w:r w:rsidRPr="00EC5CE0">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694"/>
        <w:gridCol w:w="2693"/>
      </w:tblGrid>
      <w:tr w:rsidR="00A62673" w:rsidRPr="00EC5CE0" w:rsidTr="005F23CA">
        <w:tc>
          <w:tcPr>
            <w:tcW w:w="2835" w:type="dxa"/>
          </w:tcPr>
          <w:p w:rsidR="00A62673" w:rsidRPr="00DC315B" w:rsidRDefault="00A62673" w:rsidP="00C21C43">
            <w:pPr>
              <w:adjustRightInd w:val="0"/>
              <w:spacing w:before="29" w:line="360" w:lineRule="auto"/>
              <w:ind w:left="17"/>
              <w:jc w:val="left"/>
              <w:rPr>
                <w:kern w:val="0"/>
                <w:sz w:val="24"/>
              </w:rPr>
            </w:pPr>
            <w:r w:rsidRPr="00DC315B">
              <w:rPr>
                <w:kern w:val="0"/>
                <w:sz w:val="24"/>
              </w:rPr>
              <w:t>基金简称</w:t>
            </w:r>
          </w:p>
        </w:tc>
        <w:tc>
          <w:tcPr>
            <w:tcW w:w="5387" w:type="dxa"/>
            <w:gridSpan w:val="2"/>
          </w:tcPr>
          <w:p w:rsidR="00A62673" w:rsidRPr="00DC315B" w:rsidRDefault="00A62673" w:rsidP="00C21C43">
            <w:pPr>
              <w:adjustRightInd w:val="0"/>
              <w:spacing w:before="29" w:line="360" w:lineRule="auto"/>
              <w:ind w:left="17"/>
              <w:jc w:val="left"/>
              <w:rPr>
                <w:color w:val="000000"/>
                <w:kern w:val="0"/>
                <w:sz w:val="24"/>
              </w:rPr>
            </w:pPr>
            <w:r w:rsidRPr="00DC315B">
              <w:rPr>
                <w:color w:val="000000"/>
                <w:kern w:val="0"/>
                <w:sz w:val="24"/>
              </w:rPr>
              <w:t>易方达上证</w:t>
            </w:r>
            <w:r w:rsidRPr="00DC315B">
              <w:rPr>
                <w:color w:val="000000"/>
                <w:kern w:val="0"/>
                <w:sz w:val="24"/>
              </w:rPr>
              <w:t>50</w:t>
            </w:r>
            <w:r w:rsidRPr="00DC315B">
              <w:rPr>
                <w:color w:val="000000"/>
                <w:kern w:val="0"/>
                <w:sz w:val="24"/>
              </w:rPr>
              <w:t>指数</w:t>
            </w:r>
          </w:p>
        </w:tc>
      </w:tr>
      <w:tr w:rsidR="00A62673" w:rsidRPr="00EC5CE0" w:rsidTr="005F23CA">
        <w:tc>
          <w:tcPr>
            <w:tcW w:w="2835" w:type="dxa"/>
          </w:tcPr>
          <w:p w:rsidR="00A62673" w:rsidRPr="00DC315B" w:rsidRDefault="00A62673">
            <w:pPr>
              <w:adjustRightInd w:val="0"/>
              <w:spacing w:before="29" w:line="360" w:lineRule="auto"/>
              <w:ind w:left="17"/>
              <w:jc w:val="left"/>
              <w:rPr>
                <w:kern w:val="0"/>
                <w:sz w:val="24"/>
              </w:rPr>
            </w:pPr>
            <w:r w:rsidRPr="00DC315B">
              <w:rPr>
                <w:kern w:val="0"/>
                <w:sz w:val="24"/>
              </w:rPr>
              <w:t>基金主代码</w:t>
            </w:r>
          </w:p>
        </w:tc>
        <w:tc>
          <w:tcPr>
            <w:tcW w:w="5387" w:type="dxa"/>
            <w:gridSpan w:val="2"/>
          </w:tcPr>
          <w:p w:rsidR="00A62673" w:rsidRPr="00DC315B" w:rsidRDefault="00A62673">
            <w:pPr>
              <w:adjustRightInd w:val="0"/>
              <w:spacing w:before="29" w:line="360" w:lineRule="auto"/>
              <w:ind w:left="17"/>
              <w:jc w:val="left"/>
              <w:rPr>
                <w:color w:val="000000"/>
                <w:kern w:val="0"/>
                <w:sz w:val="24"/>
              </w:rPr>
            </w:pPr>
            <w:r w:rsidRPr="00DC315B">
              <w:rPr>
                <w:color w:val="000000"/>
                <w:kern w:val="0"/>
                <w:sz w:val="24"/>
              </w:rPr>
              <w:t>110003</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基金运作方式</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契约型开放式</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基金合同生效日</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2004</w:t>
            </w:r>
            <w:r w:rsidRPr="00DC315B">
              <w:rPr>
                <w:color w:val="000000"/>
                <w:kern w:val="0"/>
                <w:sz w:val="24"/>
              </w:rPr>
              <w:t>年</w:t>
            </w:r>
            <w:r w:rsidRPr="00DC315B">
              <w:rPr>
                <w:color w:val="000000"/>
                <w:kern w:val="0"/>
                <w:sz w:val="24"/>
              </w:rPr>
              <w:t>3</w:t>
            </w:r>
            <w:r w:rsidRPr="00DC315B">
              <w:rPr>
                <w:color w:val="000000"/>
                <w:kern w:val="0"/>
                <w:sz w:val="24"/>
              </w:rPr>
              <w:t>月</w:t>
            </w:r>
            <w:r w:rsidRPr="00DC315B">
              <w:rPr>
                <w:color w:val="000000"/>
                <w:kern w:val="0"/>
                <w:sz w:val="24"/>
              </w:rPr>
              <w:t>22</w:t>
            </w:r>
            <w:r w:rsidRPr="00DC315B">
              <w:rPr>
                <w:color w:val="000000"/>
                <w:kern w:val="0"/>
                <w:sz w:val="24"/>
              </w:rPr>
              <w:t>日</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报告期末基金份额总额</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10,308,811,707.62</w:t>
            </w:r>
            <w:r w:rsidRPr="00DC315B">
              <w:rPr>
                <w:color w:val="000000"/>
                <w:kern w:val="0"/>
                <w:sz w:val="24"/>
              </w:rPr>
              <w:t>份</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投资目标</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在严格控制与目标指数偏离风险的前提下，力争获得超越指数的投资收益，追求长期资本增值。</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投资策略</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本基金为指数增强型基金，股票投资部分以上证</w:t>
            </w:r>
            <w:r w:rsidRPr="00DC315B">
              <w:rPr>
                <w:color w:val="000000"/>
                <w:kern w:val="0"/>
                <w:sz w:val="24"/>
              </w:rPr>
              <w:t>50</w:t>
            </w:r>
            <w:r w:rsidRPr="00DC315B">
              <w:rPr>
                <w:color w:val="000000"/>
                <w:kern w:val="0"/>
                <w:sz w:val="24"/>
              </w:rPr>
              <w:t>指数作为标的指数，资产配置上追求充分投资，不根据对市场时机的判断主动调整股票仓位，通过运用深入的基本面研究及先进的数量化投资技术，控制与目标指数的偏离风险，追求超越基准的收益水平。</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lastRenderedPageBreak/>
              <w:t>业绩比较基准</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上证</w:t>
            </w:r>
            <w:r w:rsidRPr="00DC315B">
              <w:rPr>
                <w:color w:val="000000"/>
                <w:kern w:val="0"/>
                <w:sz w:val="24"/>
              </w:rPr>
              <w:t>50</w:t>
            </w:r>
            <w:r w:rsidRPr="00DC315B">
              <w:rPr>
                <w:color w:val="000000"/>
                <w:kern w:val="0"/>
                <w:sz w:val="24"/>
              </w:rPr>
              <w:t>指数</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风险收益特征</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本基金为股票基金，其预期风险、收益水平高于混合基金、债券基金及货币市场基金。本基金在控制与目标指数偏离风险的同时，力争获得超越基准的收益。长期来看，本基金具有与目标指数相近的风险水平。</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基金管理人</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易方达基金管理有限公司</w:t>
            </w:r>
          </w:p>
        </w:tc>
      </w:tr>
      <w:tr w:rsidR="00A62673" w:rsidRPr="00EC5CE0" w:rsidTr="005F23CA">
        <w:tc>
          <w:tcPr>
            <w:tcW w:w="2835" w:type="dxa"/>
          </w:tcPr>
          <w:p w:rsidR="00A62673" w:rsidRPr="00DC315B" w:rsidRDefault="00A62673" w:rsidP="00C21C43">
            <w:pPr>
              <w:adjustRightInd w:val="0"/>
              <w:spacing w:before="29" w:line="360" w:lineRule="auto"/>
              <w:ind w:left="17"/>
              <w:jc w:val="left"/>
              <w:rPr>
                <w:sz w:val="24"/>
              </w:rPr>
            </w:pPr>
            <w:r w:rsidRPr="00DC315B">
              <w:rPr>
                <w:kern w:val="0"/>
                <w:sz w:val="24"/>
              </w:rPr>
              <w:t>基金托管人</w:t>
            </w:r>
          </w:p>
        </w:tc>
        <w:tc>
          <w:tcPr>
            <w:tcW w:w="5387" w:type="dxa"/>
            <w:gridSpan w:val="2"/>
          </w:tcPr>
          <w:p w:rsidR="00A62673" w:rsidRPr="00DC315B" w:rsidRDefault="00A62673" w:rsidP="00C21C43">
            <w:pPr>
              <w:adjustRightInd w:val="0"/>
              <w:spacing w:before="29" w:line="360" w:lineRule="auto"/>
              <w:ind w:left="17"/>
              <w:jc w:val="left"/>
              <w:rPr>
                <w:color w:val="000000"/>
                <w:sz w:val="24"/>
              </w:rPr>
            </w:pPr>
            <w:r w:rsidRPr="00DC315B">
              <w:rPr>
                <w:color w:val="000000"/>
                <w:kern w:val="0"/>
                <w:sz w:val="24"/>
              </w:rPr>
              <w:t>交通银行股份有限公司</w:t>
            </w:r>
          </w:p>
        </w:tc>
      </w:tr>
      <w:tr w:rsidR="002C4578" w:rsidRPr="00C30CFF" w:rsidTr="005F23CA">
        <w:tc>
          <w:tcPr>
            <w:tcW w:w="2835" w:type="dxa"/>
          </w:tcPr>
          <w:p w:rsidR="002C4578" w:rsidRPr="00C30CFF" w:rsidRDefault="002C4578" w:rsidP="004971F0">
            <w:pPr>
              <w:adjustRightInd w:val="0"/>
              <w:spacing w:before="29" w:line="360" w:lineRule="auto"/>
              <w:ind w:left="17"/>
              <w:jc w:val="left"/>
              <w:rPr>
                <w:kern w:val="0"/>
                <w:sz w:val="24"/>
              </w:rPr>
            </w:pPr>
            <w:r w:rsidRPr="00C30CFF">
              <w:rPr>
                <w:color w:val="000000"/>
                <w:sz w:val="24"/>
              </w:rPr>
              <w:t>下属分级基金的基金简称</w:t>
            </w:r>
          </w:p>
        </w:tc>
        <w:tc>
          <w:tcPr>
            <w:tcW w:w="2694" w:type="dxa"/>
            <w:vAlign w:val="center"/>
          </w:tcPr>
          <w:p w:rsidR="002C4578" w:rsidRPr="00C30CFF" w:rsidRDefault="002C4578" w:rsidP="004971F0">
            <w:pPr>
              <w:jc w:val="left"/>
              <w:rPr>
                <w:sz w:val="24"/>
              </w:rPr>
            </w:pPr>
            <w:r w:rsidRPr="00C30CFF">
              <w:rPr>
                <w:sz w:val="24"/>
              </w:rPr>
              <w:t>易方达上证</w:t>
            </w:r>
            <w:r w:rsidRPr="00C30CFF">
              <w:rPr>
                <w:sz w:val="24"/>
              </w:rPr>
              <w:t>50</w:t>
            </w:r>
            <w:r w:rsidRPr="00C30CFF">
              <w:rPr>
                <w:sz w:val="24"/>
              </w:rPr>
              <w:t>指数</w:t>
            </w:r>
            <w:r w:rsidRPr="00C30CFF">
              <w:rPr>
                <w:sz w:val="24"/>
              </w:rPr>
              <w:t>A</w:t>
            </w:r>
          </w:p>
        </w:tc>
        <w:tc>
          <w:tcPr>
            <w:tcW w:w="2693" w:type="dxa"/>
            <w:vAlign w:val="center"/>
          </w:tcPr>
          <w:p w:rsidR="002C4578" w:rsidRPr="00C30CFF" w:rsidRDefault="002C4578" w:rsidP="004971F0">
            <w:pPr>
              <w:jc w:val="left"/>
              <w:rPr>
                <w:sz w:val="24"/>
              </w:rPr>
            </w:pPr>
            <w:r w:rsidRPr="00C30CFF">
              <w:rPr>
                <w:sz w:val="24"/>
              </w:rPr>
              <w:t>易方达上证</w:t>
            </w:r>
            <w:r w:rsidRPr="00C30CFF">
              <w:rPr>
                <w:sz w:val="24"/>
              </w:rPr>
              <w:t>50</w:t>
            </w:r>
            <w:r w:rsidRPr="00C30CFF">
              <w:rPr>
                <w:sz w:val="24"/>
              </w:rPr>
              <w:t>指数</w:t>
            </w:r>
            <w:r w:rsidRPr="00C30CFF">
              <w:rPr>
                <w:sz w:val="24"/>
              </w:rPr>
              <w:t>C</w:t>
            </w:r>
          </w:p>
        </w:tc>
      </w:tr>
      <w:tr w:rsidR="002C4578" w:rsidRPr="00C30CFF" w:rsidTr="005F23CA">
        <w:tc>
          <w:tcPr>
            <w:tcW w:w="2835" w:type="dxa"/>
          </w:tcPr>
          <w:p w:rsidR="002C4578" w:rsidRPr="00C30CFF" w:rsidRDefault="002C4578" w:rsidP="004971F0">
            <w:pPr>
              <w:adjustRightInd w:val="0"/>
              <w:spacing w:before="29" w:line="360" w:lineRule="auto"/>
              <w:ind w:left="17"/>
              <w:jc w:val="left"/>
              <w:rPr>
                <w:color w:val="000000"/>
                <w:sz w:val="24"/>
              </w:rPr>
            </w:pPr>
            <w:r w:rsidRPr="00C30CFF">
              <w:rPr>
                <w:color w:val="000000"/>
                <w:sz w:val="24"/>
              </w:rPr>
              <w:t>下属分级基金的交易代码</w:t>
            </w:r>
          </w:p>
        </w:tc>
        <w:tc>
          <w:tcPr>
            <w:tcW w:w="2694" w:type="dxa"/>
            <w:vAlign w:val="center"/>
          </w:tcPr>
          <w:p w:rsidR="002C4578" w:rsidRPr="00C30CFF" w:rsidRDefault="002C4578" w:rsidP="004971F0">
            <w:pPr>
              <w:jc w:val="left"/>
              <w:rPr>
                <w:color w:val="000000"/>
                <w:sz w:val="24"/>
              </w:rPr>
            </w:pPr>
            <w:r w:rsidRPr="00C30CFF">
              <w:rPr>
                <w:color w:val="000000"/>
                <w:sz w:val="24"/>
              </w:rPr>
              <w:t>110003</w:t>
            </w:r>
          </w:p>
        </w:tc>
        <w:tc>
          <w:tcPr>
            <w:tcW w:w="2693" w:type="dxa"/>
            <w:vAlign w:val="center"/>
          </w:tcPr>
          <w:p w:rsidR="002C4578" w:rsidRPr="00C30CFF" w:rsidRDefault="002C4578" w:rsidP="004971F0">
            <w:pPr>
              <w:jc w:val="left"/>
              <w:rPr>
                <w:color w:val="000000"/>
                <w:sz w:val="24"/>
              </w:rPr>
            </w:pPr>
            <w:r w:rsidRPr="00C30CFF">
              <w:rPr>
                <w:color w:val="000000"/>
                <w:sz w:val="24"/>
              </w:rPr>
              <w:t>004746</w:t>
            </w:r>
          </w:p>
        </w:tc>
      </w:tr>
      <w:tr w:rsidR="002C4578" w:rsidRPr="00C30CFF" w:rsidTr="005F23CA">
        <w:tc>
          <w:tcPr>
            <w:tcW w:w="2835" w:type="dxa"/>
          </w:tcPr>
          <w:p w:rsidR="002C4578" w:rsidRPr="00C30CFF" w:rsidRDefault="002C4578" w:rsidP="004971F0">
            <w:pPr>
              <w:adjustRightInd w:val="0"/>
              <w:spacing w:before="29" w:line="360" w:lineRule="auto"/>
              <w:ind w:left="17"/>
              <w:jc w:val="left"/>
              <w:rPr>
                <w:color w:val="000000"/>
                <w:sz w:val="24"/>
              </w:rPr>
            </w:pPr>
            <w:r w:rsidRPr="00C30CFF">
              <w:rPr>
                <w:color w:val="000000"/>
                <w:sz w:val="24"/>
              </w:rPr>
              <w:t>报告期末下属分级基金的份额总额</w:t>
            </w:r>
          </w:p>
        </w:tc>
        <w:tc>
          <w:tcPr>
            <w:tcW w:w="2694" w:type="dxa"/>
            <w:vAlign w:val="center"/>
          </w:tcPr>
          <w:p w:rsidR="002C4578" w:rsidRPr="00C30CFF" w:rsidRDefault="002C4578" w:rsidP="004971F0">
            <w:pPr>
              <w:jc w:val="left"/>
              <w:rPr>
                <w:sz w:val="24"/>
              </w:rPr>
            </w:pPr>
            <w:r w:rsidRPr="00C30CFF">
              <w:rPr>
                <w:sz w:val="24"/>
              </w:rPr>
              <w:t>9,021,091,531.55</w:t>
            </w:r>
            <w:r w:rsidRPr="00C30CFF">
              <w:rPr>
                <w:color w:val="000000"/>
                <w:kern w:val="0"/>
                <w:sz w:val="24"/>
              </w:rPr>
              <w:t>份</w:t>
            </w:r>
          </w:p>
        </w:tc>
        <w:tc>
          <w:tcPr>
            <w:tcW w:w="2693" w:type="dxa"/>
            <w:vAlign w:val="center"/>
          </w:tcPr>
          <w:p w:rsidR="002C4578" w:rsidRPr="00C30CFF" w:rsidRDefault="002C4578" w:rsidP="004971F0">
            <w:pPr>
              <w:jc w:val="left"/>
              <w:rPr>
                <w:sz w:val="24"/>
              </w:rPr>
            </w:pPr>
            <w:r w:rsidRPr="00C30CFF">
              <w:rPr>
                <w:sz w:val="24"/>
              </w:rPr>
              <w:t>1,287,720,176.07</w:t>
            </w:r>
            <w:r w:rsidRPr="00C30CFF">
              <w:rPr>
                <w:color w:val="000000"/>
                <w:kern w:val="0"/>
                <w:sz w:val="24"/>
              </w:rPr>
              <w:t>份</w:t>
            </w:r>
          </w:p>
        </w:tc>
      </w:tr>
    </w:tbl>
    <w:p w:rsidR="00A62673" w:rsidRPr="00DC315B" w:rsidRDefault="00A62673" w:rsidP="00DC315B">
      <w:pPr>
        <w:spacing w:line="360" w:lineRule="auto"/>
        <w:ind w:firstLineChars="200" w:firstLine="480"/>
        <w:rPr>
          <w:color w:val="000000"/>
          <w:sz w:val="24"/>
        </w:rPr>
      </w:pPr>
      <w:r w:rsidRPr="00DC315B">
        <w:rPr>
          <w:color w:val="000000"/>
          <w:sz w:val="24"/>
        </w:rPr>
        <w:t>注：自</w:t>
      </w:r>
      <w:r w:rsidRPr="00DC315B">
        <w:rPr>
          <w:color w:val="000000"/>
          <w:sz w:val="24"/>
        </w:rPr>
        <w:t>2017</w:t>
      </w:r>
      <w:r w:rsidRPr="00DC315B">
        <w:rPr>
          <w:color w:val="000000"/>
          <w:sz w:val="24"/>
        </w:rPr>
        <w:t>年</w:t>
      </w:r>
      <w:r w:rsidRPr="00DC315B">
        <w:rPr>
          <w:color w:val="000000"/>
          <w:sz w:val="24"/>
        </w:rPr>
        <w:t>6</w:t>
      </w:r>
      <w:r w:rsidRPr="00DC315B">
        <w:rPr>
          <w:color w:val="000000"/>
          <w:sz w:val="24"/>
        </w:rPr>
        <w:t>月</w:t>
      </w:r>
      <w:r w:rsidRPr="00DC315B">
        <w:rPr>
          <w:color w:val="000000"/>
          <w:sz w:val="24"/>
        </w:rPr>
        <w:t>6</w:t>
      </w:r>
      <w:r w:rsidRPr="00DC315B">
        <w:rPr>
          <w:color w:val="000000"/>
          <w:sz w:val="24"/>
        </w:rPr>
        <w:t>日起，本基金增设</w:t>
      </w:r>
      <w:r w:rsidRPr="00DC315B">
        <w:rPr>
          <w:color w:val="000000"/>
          <w:sz w:val="24"/>
        </w:rPr>
        <w:t>C</w:t>
      </w:r>
      <w:r w:rsidRPr="00DC315B">
        <w:rPr>
          <w:color w:val="000000"/>
          <w:sz w:val="24"/>
        </w:rPr>
        <w:t>类份额类别，份额首次确认日为</w:t>
      </w:r>
      <w:r w:rsidRPr="00DC315B">
        <w:rPr>
          <w:color w:val="000000"/>
          <w:sz w:val="24"/>
        </w:rPr>
        <w:t>2017</w:t>
      </w:r>
      <w:r w:rsidRPr="00DC315B">
        <w:rPr>
          <w:color w:val="000000"/>
          <w:sz w:val="24"/>
        </w:rPr>
        <w:t>年</w:t>
      </w:r>
      <w:r w:rsidRPr="00DC315B">
        <w:rPr>
          <w:color w:val="000000"/>
          <w:sz w:val="24"/>
        </w:rPr>
        <w:t>6</w:t>
      </w:r>
      <w:r w:rsidRPr="00DC315B">
        <w:rPr>
          <w:color w:val="000000"/>
          <w:sz w:val="24"/>
        </w:rPr>
        <w:t>月</w:t>
      </w:r>
      <w:r w:rsidRPr="00DC315B">
        <w:rPr>
          <w:color w:val="000000"/>
          <w:sz w:val="24"/>
        </w:rPr>
        <w:t>7</w:t>
      </w:r>
      <w:r w:rsidRPr="00DC315B">
        <w:rPr>
          <w:color w:val="000000"/>
          <w:sz w:val="24"/>
        </w:rPr>
        <w:t>日。</w:t>
      </w:r>
    </w:p>
    <w:p w:rsidR="00A62673" w:rsidRPr="00EC5CE0" w:rsidRDefault="00A62673" w:rsidP="00F729DC">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3  </w:t>
      </w:r>
      <w:r w:rsidRPr="00EC5CE0">
        <w:rPr>
          <w:rFonts w:ascii="宋体" w:hAnsi="宋体" w:cs="Arial" w:hint="eastAsia"/>
          <w:color w:val="000000"/>
          <w:kern w:val="0"/>
          <w:sz w:val="24"/>
          <w:szCs w:val="24"/>
        </w:rPr>
        <w:t>主要财务指标和基金净值表现</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3.1 </w:t>
      </w:r>
      <w:r w:rsidRPr="00EC5CE0">
        <w:rPr>
          <w:rFonts w:ascii="宋体" w:hAnsi="宋体" w:cs="Arial" w:hint="eastAsia"/>
          <w:b/>
          <w:color w:val="000000"/>
          <w:kern w:val="0"/>
          <w:sz w:val="24"/>
        </w:rPr>
        <w:t>主要财务指标</w:t>
      </w:r>
    </w:p>
    <w:p w:rsidR="005F23CA" w:rsidRPr="00FA472B" w:rsidRDefault="005F23CA" w:rsidP="005F23CA">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5F23CA" w:rsidRPr="00FA472B" w:rsidTr="004971F0">
        <w:tc>
          <w:tcPr>
            <w:tcW w:w="3402" w:type="dxa"/>
            <w:vMerge w:val="restart"/>
            <w:vAlign w:val="center"/>
          </w:tcPr>
          <w:p w:rsidR="005F23CA" w:rsidRPr="00FA472B" w:rsidRDefault="005F23CA" w:rsidP="004971F0">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5F23CA" w:rsidRPr="00FA472B" w:rsidRDefault="005F23CA" w:rsidP="004971F0">
            <w:pPr>
              <w:adjustRightInd w:val="0"/>
              <w:spacing w:before="29" w:line="360" w:lineRule="auto"/>
              <w:ind w:left="17"/>
              <w:jc w:val="center"/>
              <w:rPr>
                <w:color w:val="000000"/>
                <w:sz w:val="24"/>
              </w:rPr>
            </w:pPr>
            <w:r w:rsidRPr="00FA472B">
              <w:rPr>
                <w:color w:val="000000"/>
                <w:sz w:val="24"/>
              </w:rPr>
              <w:t>报告期</w:t>
            </w:r>
          </w:p>
          <w:p w:rsidR="005F23CA" w:rsidRPr="00FA472B" w:rsidRDefault="005F23CA" w:rsidP="004971F0">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5F23CA" w:rsidRPr="00FA472B" w:rsidTr="004971F0">
        <w:tc>
          <w:tcPr>
            <w:tcW w:w="3402" w:type="dxa"/>
            <w:vMerge/>
            <w:vAlign w:val="center"/>
          </w:tcPr>
          <w:p w:rsidR="005F23CA" w:rsidRPr="00FA472B" w:rsidRDefault="005F23CA" w:rsidP="004971F0">
            <w:pPr>
              <w:adjustRightInd w:val="0"/>
              <w:spacing w:before="29" w:line="360" w:lineRule="auto"/>
              <w:ind w:left="17"/>
              <w:jc w:val="center"/>
              <w:rPr>
                <w:kern w:val="0"/>
                <w:sz w:val="24"/>
              </w:rPr>
            </w:pPr>
          </w:p>
        </w:tc>
        <w:tc>
          <w:tcPr>
            <w:tcW w:w="2481" w:type="dxa"/>
            <w:vAlign w:val="center"/>
          </w:tcPr>
          <w:p w:rsidR="005F23CA" w:rsidRPr="00FA472B" w:rsidRDefault="005F23CA" w:rsidP="004971F0">
            <w:pPr>
              <w:adjustRightInd w:val="0"/>
              <w:spacing w:before="29" w:line="360" w:lineRule="auto"/>
              <w:ind w:left="17"/>
              <w:jc w:val="center"/>
              <w:rPr>
                <w:color w:val="000000"/>
                <w:sz w:val="24"/>
              </w:rPr>
            </w:pPr>
            <w:r w:rsidRPr="00FA472B">
              <w:rPr>
                <w:sz w:val="24"/>
              </w:rPr>
              <w:t>易方达上证</w:t>
            </w:r>
            <w:r w:rsidRPr="00FA472B">
              <w:rPr>
                <w:sz w:val="24"/>
              </w:rPr>
              <w:t>50</w:t>
            </w:r>
            <w:r w:rsidRPr="00FA472B">
              <w:rPr>
                <w:sz w:val="24"/>
              </w:rPr>
              <w:t>指数</w:t>
            </w:r>
            <w:r w:rsidRPr="00FA472B">
              <w:rPr>
                <w:sz w:val="24"/>
              </w:rPr>
              <w:t>A</w:t>
            </w:r>
          </w:p>
        </w:tc>
        <w:tc>
          <w:tcPr>
            <w:tcW w:w="2481" w:type="dxa"/>
            <w:vAlign w:val="center"/>
          </w:tcPr>
          <w:p w:rsidR="005F23CA" w:rsidRPr="00FA472B" w:rsidRDefault="005F23CA" w:rsidP="004971F0">
            <w:pPr>
              <w:adjustRightInd w:val="0"/>
              <w:spacing w:before="29" w:line="360" w:lineRule="auto"/>
              <w:ind w:left="17"/>
              <w:jc w:val="center"/>
              <w:rPr>
                <w:color w:val="000000"/>
                <w:sz w:val="24"/>
              </w:rPr>
            </w:pPr>
            <w:r w:rsidRPr="00FA472B">
              <w:rPr>
                <w:sz w:val="24"/>
              </w:rPr>
              <w:t>易方达上证</w:t>
            </w:r>
            <w:r w:rsidRPr="00FA472B">
              <w:rPr>
                <w:sz w:val="24"/>
              </w:rPr>
              <w:t>50</w:t>
            </w:r>
            <w:r w:rsidRPr="00FA472B">
              <w:rPr>
                <w:sz w:val="24"/>
              </w:rPr>
              <w:t>指数</w:t>
            </w:r>
            <w:r w:rsidRPr="00FA472B">
              <w:rPr>
                <w:sz w:val="24"/>
              </w:rPr>
              <w:t>C</w:t>
            </w:r>
          </w:p>
        </w:tc>
      </w:tr>
      <w:tr w:rsidR="005F23CA" w:rsidRPr="00FA472B" w:rsidTr="004971F0">
        <w:tc>
          <w:tcPr>
            <w:tcW w:w="3402" w:type="dxa"/>
          </w:tcPr>
          <w:p w:rsidR="005F23CA" w:rsidRPr="00FA472B" w:rsidRDefault="005F23CA" w:rsidP="004971F0">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276,892,999.26</w:t>
            </w:r>
          </w:p>
        </w:tc>
        <w:tc>
          <w:tcPr>
            <w:tcW w:w="2481" w:type="dxa"/>
            <w:vAlign w:val="bottom"/>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35,594,814.95</w:t>
            </w:r>
          </w:p>
        </w:tc>
      </w:tr>
      <w:tr w:rsidR="005F23CA" w:rsidRPr="00FA472B" w:rsidTr="004971F0">
        <w:tc>
          <w:tcPr>
            <w:tcW w:w="3402" w:type="dxa"/>
          </w:tcPr>
          <w:p w:rsidR="005F23CA" w:rsidRPr="00FA472B" w:rsidRDefault="005F23CA" w:rsidP="004971F0">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384,517,891.28</w:t>
            </w:r>
          </w:p>
        </w:tc>
        <w:tc>
          <w:tcPr>
            <w:tcW w:w="2481" w:type="dxa"/>
            <w:vAlign w:val="bottom"/>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51,617,274.31</w:t>
            </w:r>
          </w:p>
        </w:tc>
      </w:tr>
      <w:tr w:rsidR="005F23CA" w:rsidRPr="00FA472B" w:rsidTr="004971F0">
        <w:tc>
          <w:tcPr>
            <w:tcW w:w="3402" w:type="dxa"/>
          </w:tcPr>
          <w:p w:rsidR="005F23CA" w:rsidRPr="00FA472B" w:rsidRDefault="005F23CA" w:rsidP="004971F0">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0.0430</w:t>
            </w:r>
          </w:p>
        </w:tc>
        <w:tc>
          <w:tcPr>
            <w:tcW w:w="2481" w:type="dxa"/>
            <w:vAlign w:val="bottom"/>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0.0434</w:t>
            </w:r>
          </w:p>
        </w:tc>
      </w:tr>
      <w:tr w:rsidR="005F23CA" w:rsidRPr="00FA472B" w:rsidTr="004971F0">
        <w:tc>
          <w:tcPr>
            <w:tcW w:w="3402" w:type="dxa"/>
          </w:tcPr>
          <w:p w:rsidR="005F23CA" w:rsidRPr="00FA472B" w:rsidRDefault="005F23CA" w:rsidP="004971F0">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15,792,638,645.44</w:t>
            </w:r>
          </w:p>
        </w:tc>
        <w:tc>
          <w:tcPr>
            <w:tcW w:w="2481" w:type="dxa"/>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2,241,411,595.37</w:t>
            </w:r>
          </w:p>
        </w:tc>
      </w:tr>
      <w:tr w:rsidR="005F23CA" w:rsidRPr="00FA472B" w:rsidTr="004971F0">
        <w:trPr>
          <w:trHeight w:val="158"/>
        </w:trPr>
        <w:tc>
          <w:tcPr>
            <w:tcW w:w="3402" w:type="dxa"/>
          </w:tcPr>
          <w:p w:rsidR="005F23CA" w:rsidRPr="00FA472B" w:rsidRDefault="005F23CA" w:rsidP="004971F0">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1.7506</w:t>
            </w:r>
          </w:p>
        </w:tc>
        <w:tc>
          <w:tcPr>
            <w:tcW w:w="2481" w:type="dxa"/>
          </w:tcPr>
          <w:p w:rsidR="005F23CA" w:rsidRPr="00FA472B" w:rsidRDefault="005F23CA" w:rsidP="004971F0">
            <w:pPr>
              <w:adjustRightInd w:val="0"/>
              <w:spacing w:before="29" w:line="360" w:lineRule="auto"/>
              <w:ind w:left="17"/>
              <w:jc w:val="right"/>
              <w:rPr>
                <w:color w:val="000000"/>
                <w:sz w:val="24"/>
              </w:rPr>
            </w:pPr>
            <w:r w:rsidRPr="00FA472B">
              <w:rPr>
                <w:color w:val="000000"/>
                <w:sz w:val="24"/>
              </w:rPr>
              <w:t>1.7406</w:t>
            </w:r>
          </w:p>
        </w:tc>
      </w:tr>
    </w:tbl>
    <w:p w:rsidR="00442D64" w:rsidRDefault="004B0E2D">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所述基金业绩指标不包括持有人认购或交易基金的各项费用，计入费用后实际收益水平要低于所列数字。</w:t>
      </w:r>
    </w:p>
    <w:p w:rsidR="00A62673" w:rsidRPr="00C1648E" w:rsidRDefault="005F23CA" w:rsidP="00C1648E">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3.2 </w:t>
      </w:r>
      <w:r w:rsidRPr="00EC5CE0">
        <w:rPr>
          <w:rFonts w:ascii="宋体" w:hAnsi="宋体" w:cs="Arial" w:hint="eastAsia"/>
          <w:b/>
          <w:color w:val="000000"/>
          <w:kern w:val="0"/>
          <w:sz w:val="24"/>
        </w:rPr>
        <w:t>基金净值表现</w:t>
      </w:r>
    </w:p>
    <w:p w:rsidR="009B2EE9" w:rsidRPr="0078105B" w:rsidRDefault="009B2EE9" w:rsidP="009B2EE9">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9B2EE9" w:rsidRPr="0078105B" w:rsidRDefault="009B2EE9" w:rsidP="009B2EE9">
      <w:pPr>
        <w:spacing w:line="360" w:lineRule="auto"/>
        <w:ind w:firstLineChars="150" w:firstLine="361"/>
        <w:rPr>
          <w:rFonts w:ascii="宋体"/>
          <w:b/>
          <w:sz w:val="24"/>
        </w:rPr>
      </w:pPr>
      <w:r w:rsidRPr="0078105B">
        <w:rPr>
          <w:rFonts w:ascii="宋体" w:hAnsi="宋体" w:cs="Arial"/>
          <w:b/>
          <w:color w:val="000000"/>
          <w:kern w:val="0"/>
          <w:sz w:val="24"/>
        </w:rPr>
        <w:t>易方达上证50指数A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9B2EE9" w:rsidRPr="0078105B" w:rsidTr="00AE7FCD">
        <w:trPr>
          <w:jc w:val="center"/>
        </w:trPr>
        <w:tc>
          <w:tcPr>
            <w:tcW w:w="1290"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阶段</w:t>
            </w:r>
          </w:p>
        </w:tc>
        <w:tc>
          <w:tcPr>
            <w:tcW w:w="1291"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9B2EE9" w:rsidRPr="00FA472B" w:rsidRDefault="009B2EE9" w:rsidP="004971F0">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9B2EE9" w:rsidRPr="00FA472B" w:rsidRDefault="009B2EE9" w:rsidP="004971F0">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442D64">
        <w:trPr>
          <w:jc w:val="center"/>
        </w:trPr>
        <w:tc>
          <w:tcPr>
            <w:tcW w:w="1290" w:type="dxa"/>
            <w:vAlign w:val="center"/>
          </w:tcPr>
          <w:p w:rsidR="00442D64" w:rsidRDefault="004B0E2D">
            <w:pPr>
              <w:jc w:val="left"/>
            </w:pPr>
            <w:r>
              <w:rPr>
                <w:color w:val="000000"/>
                <w:sz w:val="24"/>
              </w:rPr>
              <w:t>过去三个月</w:t>
            </w:r>
          </w:p>
        </w:tc>
        <w:tc>
          <w:tcPr>
            <w:tcW w:w="1291" w:type="dxa"/>
            <w:vAlign w:val="center"/>
          </w:tcPr>
          <w:p w:rsidR="00442D64" w:rsidRDefault="004B0E2D">
            <w:pPr>
              <w:jc w:val="center"/>
            </w:pPr>
            <w:r>
              <w:rPr>
                <w:color w:val="000000"/>
                <w:sz w:val="24"/>
              </w:rPr>
              <w:t>2.39%</w:t>
            </w:r>
          </w:p>
        </w:tc>
        <w:tc>
          <w:tcPr>
            <w:tcW w:w="1291" w:type="dxa"/>
            <w:vAlign w:val="center"/>
          </w:tcPr>
          <w:p w:rsidR="00442D64" w:rsidRDefault="004B0E2D">
            <w:pPr>
              <w:jc w:val="center"/>
            </w:pPr>
            <w:r>
              <w:rPr>
                <w:color w:val="000000"/>
                <w:sz w:val="24"/>
              </w:rPr>
              <w:t>0.93%</w:t>
            </w:r>
          </w:p>
        </w:tc>
        <w:tc>
          <w:tcPr>
            <w:tcW w:w="1291" w:type="dxa"/>
            <w:vAlign w:val="center"/>
          </w:tcPr>
          <w:p w:rsidR="00442D64" w:rsidRDefault="004B0E2D">
            <w:pPr>
              <w:jc w:val="center"/>
            </w:pPr>
            <w:r>
              <w:rPr>
                <w:color w:val="000000"/>
                <w:sz w:val="24"/>
              </w:rPr>
              <w:t>-1.12%</w:t>
            </w:r>
          </w:p>
        </w:tc>
        <w:tc>
          <w:tcPr>
            <w:tcW w:w="1291" w:type="dxa"/>
            <w:vAlign w:val="center"/>
          </w:tcPr>
          <w:p w:rsidR="00442D64" w:rsidRDefault="004B0E2D">
            <w:pPr>
              <w:jc w:val="center"/>
            </w:pPr>
            <w:r>
              <w:rPr>
                <w:color w:val="000000"/>
                <w:sz w:val="24"/>
              </w:rPr>
              <w:t>0.94%</w:t>
            </w:r>
          </w:p>
        </w:tc>
        <w:tc>
          <w:tcPr>
            <w:tcW w:w="1291" w:type="dxa"/>
            <w:vAlign w:val="center"/>
          </w:tcPr>
          <w:p w:rsidR="00442D64" w:rsidRDefault="004B0E2D">
            <w:pPr>
              <w:jc w:val="center"/>
            </w:pPr>
            <w:r>
              <w:rPr>
                <w:color w:val="000000"/>
                <w:sz w:val="24"/>
              </w:rPr>
              <w:t>3.51%</w:t>
            </w:r>
          </w:p>
        </w:tc>
        <w:tc>
          <w:tcPr>
            <w:tcW w:w="1291" w:type="dxa"/>
            <w:vAlign w:val="center"/>
          </w:tcPr>
          <w:p w:rsidR="00442D64" w:rsidRDefault="004B0E2D">
            <w:pPr>
              <w:jc w:val="center"/>
            </w:pPr>
            <w:r>
              <w:rPr>
                <w:color w:val="000000"/>
                <w:sz w:val="24"/>
              </w:rPr>
              <w:t>-0.01%</w:t>
            </w:r>
          </w:p>
        </w:tc>
      </w:tr>
    </w:tbl>
    <w:p w:rsidR="009B2EE9" w:rsidRPr="0078105B" w:rsidRDefault="009B2EE9" w:rsidP="009B2EE9">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易方达上证50指数C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9B2EE9" w:rsidRPr="0078105B" w:rsidTr="00AE7FCD">
        <w:trPr>
          <w:jc w:val="center"/>
        </w:trPr>
        <w:tc>
          <w:tcPr>
            <w:tcW w:w="1290"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阶段</w:t>
            </w:r>
          </w:p>
        </w:tc>
        <w:tc>
          <w:tcPr>
            <w:tcW w:w="1291" w:type="dxa"/>
            <w:vAlign w:val="center"/>
          </w:tcPr>
          <w:p w:rsidR="009B2EE9" w:rsidRPr="00FA472B" w:rsidRDefault="009B2EE9" w:rsidP="004971F0">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9B2EE9" w:rsidRPr="00FA472B" w:rsidRDefault="009B2EE9" w:rsidP="004971F0">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9B2EE9" w:rsidRPr="00FA472B" w:rsidRDefault="009B2EE9" w:rsidP="004971F0">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9B2EE9" w:rsidRPr="00FA472B" w:rsidRDefault="009B2EE9" w:rsidP="004971F0">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9B2EE9" w:rsidRPr="00FA472B" w:rsidRDefault="009B2EE9" w:rsidP="004971F0">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442D64">
        <w:trPr>
          <w:jc w:val="center"/>
        </w:trPr>
        <w:tc>
          <w:tcPr>
            <w:tcW w:w="1290" w:type="dxa"/>
            <w:vAlign w:val="center"/>
          </w:tcPr>
          <w:p w:rsidR="00442D64" w:rsidRDefault="004B0E2D">
            <w:pPr>
              <w:jc w:val="left"/>
            </w:pPr>
            <w:r>
              <w:rPr>
                <w:color w:val="000000"/>
                <w:sz w:val="24"/>
              </w:rPr>
              <w:t>过去三个月</w:t>
            </w:r>
          </w:p>
        </w:tc>
        <w:tc>
          <w:tcPr>
            <w:tcW w:w="1291" w:type="dxa"/>
            <w:vAlign w:val="center"/>
          </w:tcPr>
          <w:p w:rsidR="00442D64" w:rsidRDefault="004B0E2D">
            <w:pPr>
              <w:jc w:val="center"/>
            </w:pPr>
            <w:r>
              <w:rPr>
                <w:color w:val="000000"/>
                <w:sz w:val="24"/>
              </w:rPr>
              <w:t>2.32%</w:t>
            </w:r>
          </w:p>
        </w:tc>
        <w:tc>
          <w:tcPr>
            <w:tcW w:w="1291" w:type="dxa"/>
            <w:vAlign w:val="center"/>
          </w:tcPr>
          <w:p w:rsidR="00442D64" w:rsidRDefault="004B0E2D">
            <w:pPr>
              <w:jc w:val="center"/>
            </w:pPr>
            <w:r>
              <w:rPr>
                <w:color w:val="000000"/>
                <w:sz w:val="24"/>
              </w:rPr>
              <w:t>0.93%</w:t>
            </w:r>
          </w:p>
        </w:tc>
        <w:tc>
          <w:tcPr>
            <w:tcW w:w="1291" w:type="dxa"/>
            <w:vAlign w:val="center"/>
          </w:tcPr>
          <w:p w:rsidR="00442D64" w:rsidRDefault="004B0E2D">
            <w:pPr>
              <w:jc w:val="center"/>
            </w:pPr>
            <w:r>
              <w:rPr>
                <w:color w:val="000000"/>
                <w:sz w:val="24"/>
              </w:rPr>
              <w:t>-1.12%</w:t>
            </w:r>
          </w:p>
        </w:tc>
        <w:tc>
          <w:tcPr>
            <w:tcW w:w="1291" w:type="dxa"/>
            <w:vAlign w:val="center"/>
          </w:tcPr>
          <w:p w:rsidR="00442D64" w:rsidRDefault="004B0E2D">
            <w:pPr>
              <w:jc w:val="center"/>
            </w:pPr>
            <w:r>
              <w:rPr>
                <w:color w:val="000000"/>
                <w:sz w:val="24"/>
              </w:rPr>
              <w:t>0.94%</w:t>
            </w:r>
          </w:p>
        </w:tc>
        <w:tc>
          <w:tcPr>
            <w:tcW w:w="1291" w:type="dxa"/>
            <w:vAlign w:val="center"/>
          </w:tcPr>
          <w:p w:rsidR="00442D64" w:rsidRDefault="004B0E2D">
            <w:pPr>
              <w:jc w:val="center"/>
            </w:pPr>
            <w:r>
              <w:rPr>
                <w:color w:val="000000"/>
                <w:sz w:val="24"/>
              </w:rPr>
              <w:t>3.44%</w:t>
            </w:r>
          </w:p>
        </w:tc>
        <w:tc>
          <w:tcPr>
            <w:tcW w:w="1291" w:type="dxa"/>
            <w:vAlign w:val="center"/>
          </w:tcPr>
          <w:p w:rsidR="00442D64" w:rsidRDefault="004B0E2D">
            <w:pPr>
              <w:jc w:val="center"/>
            </w:pPr>
            <w:r>
              <w:rPr>
                <w:color w:val="000000"/>
                <w:sz w:val="24"/>
              </w:rPr>
              <w:t>-0.01%</w:t>
            </w:r>
          </w:p>
        </w:tc>
      </w:tr>
    </w:tbl>
    <w:p w:rsidR="009B2EE9" w:rsidRPr="0078105B" w:rsidRDefault="009B2EE9" w:rsidP="009B2EE9">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62A16" w:rsidRPr="00A62A16">
        <w:rPr>
          <w:rStyle w:val="af8"/>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9B2EE9" w:rsidRPr="00FA472B" w:rsidRDefault="009B2EE9" w:rsidP="009B2EE9">
      <w:pPr>
        <w:spacing w:line="360" w:lineRule="auto"/>
        <w:jc w:val="center"/>
        <w:rPr>
          <w:color w:val="000000"/>
          <w:sz w:val="24"/>
        </w:rPr>
      </w:pPr>
      <w:r w:rsidRPr="00FA472B">
        <w:rPr>
          <w:color w:val="000000"/>
          <w:sz w:val="24"/>
        </w:rPr>
        <w:t>易方达</w:t>
      </w:r>
      <w:r w:rsidRPr="00FA472B">
        <w:rPr>
          <w:color w:val="000000"/>
          <w:sz w:val="24"/>
        </w:rPr>
        <w:t>50</w:t>
      </w:r>
      <w:r w:rsidRPr="00FA472B">
        <w:rPr>
          <w:color w:val="000000"/>
          <w:sz w:val="24"/>
        </w:rPr>
        <w:t>指数证券投资基金</w:t>
      </w:r>
    </w:p>
    <w:p w:rsidR="009B2EE9" w:rsidRPr="00FA472B" w:rsidRDefault="009B2EE9" w:rsidP="009B2EE9">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9B2EE9" w:rsidRDefault="009B2EE9" w:rsidP="009B2EE9">
      <w:pPr>
        <w:snapToGrid w:val="0"/>
        <w:spacing w:line="360" w:lineRule="auto"/>
        <w:ind w:firstLineChars="50" w:firstLine="120"/>
        <w:rPr>
          <w:color w:val="000000"/>
          <w:sz w:val="24"/>
        </w:rPr>
      </w:pPr>
      <w:r w:rsidRPr="00611CB2">
        <w:rPr>
          <w:color w:val="000000"/>
          <w:sz w:val="24"/>
        </w:rPr>
        <w:t>易方达上证</w:t>
      </w:r>
      <w:r w:rsidRPr="00611CB2">
        <w:rPr>
          <w:color w:val="000000"/>
          <w:sz w:val="24"/>
        </w:rPr>
        <w:t>50</w:t>
      </w:r>
      <w:r w:rsidRPr="00611CB2">
        <w:rPr>
          <w:color w:val="000000"/>
          <w:sz w:val="24"/>
        </w:rPr>
        <w:t>指数</w:t>
      </w:r>
      <w:r w:rsidRPr="00611CB2">
        <w:rPr>
          <w:color w:val="000000"/>
          <w:sz w:val="24"/>
        </w:rPr>
        <w:t>A</w:t>
      </w:r>
    </w:p>
    <w:p w:rsidR="001F4A65" w:rsidRPr="00611CB2" w:rsidRDefault="001F4A65" w:rsidP="001F4A65">
      <w:pPr>
        <w:snapToGrid w:val="0"/>
        <w:spacing w:line="360" w:lineRule="auto"/>
        <w:ind w:firstLineChars="50" w:firstLine="120"/>
        <w:jc w:val="center"/>
        <w:rPr>
          <w:color w:val="000000"/>
          <w:sz w:val="24"/>
        </w:rPr>
      </w:pPr>
      <w:r w:rsidRPr="00FA472B">
        <w:rPr>
          <w:sz w:val="24"/>
        </w:rPr>
        <w:t>(2004</w:t>
      </w:r>
      <w:r w:rsidRPr="00FA472B">
        <w:rPr>
          <w:sz w:val="24"/>
        </w:rPr>
        <w:t>年</w:t>
      </w:r>
      <w:r w:rsidRPr="00FA472B">
        <w:rPr>
          <w:sz w:val="24"/>
        </w:rPr>
        <w:t>3</w:t>
      </w:r>
      <w:r w:rsidRPr="00FA472B">
        <w:rPr>
          <w:sz w:val="24"/>
        </w:rPr>
        <w:t>月</w:t>
      </w:r>
      <w:r w:rsidRPr="00FA472B">
        <w:rPr>
          <w:sz w:val="24"/>
        </w:rPr>
        <w:t>22</w:t>
      </w:r>
      <w:r w:rsidRPr="00FA472B">
        <w:rPr>
          <w:sz w:val="24"/>
        </w:rPr>
        <w:t>日至</w:t>
      </w:r>
      <w:r w:rsidRPr="00FA472B">
        <w:rPr>
          <w:sz w:val="24"/>
        </w:rPr>
        <w:t>2019</w:t>
      </w:r>
      <w:r w:rsidRPr="00FA472B">
        <w:rPr>
          <w:sz w:val="24"/>
        </w:rPr>
        <w:t>年</w:t>
      </w:r>
      <w:r w:rsidRPr="00FA472B">
        <w:rPr>
          <w:sz w:val="24"/>
        </w:rPr>
        <w:t>9</w:t>
      </w:r>
      <w:r w:rsidRPr="00FA472B">
        <w:rPr>
          <w:sz w:val="24"/>
        </w:rPr>
        <w:t>月</w:t>
      </w:r>
      <w:r w:rsidRPr="00FA472B">
        <w:rPr>
          <w:sz w:val="24"/>
        </w:rPr>
        <w:t>30</w:t>
      </w:r>
      <w:r w:rsidRPr="00FA472B">
        <w:rPr>
          <w:sz w:val="24"/>
        </w:rPr>
        <w:t>日</w:t>
      </w:r>
      <w:r w:rsidRPr="00FA472B">
        <w:rPr>
          <w:sz w:val="24"/>
        </w:rPr>
        <w:t>)</w:t>
      </w:r>
    </w:p>
    <w:p w:rsidR="009B2EE9" w:rsidRPr="0078105B" w:rsidRDefault="009B2EE9" w:rsidP="009B2EE9">
      <w:pPr>
        <w:pStyle w:val="20"/>
        <w:spacing w:line="288" w:lineRule="auto"/>
        <w:ind w:firstLineChars="0" w:firstLine="0"/>
        <w:jc w:val="center"/>
        <w:rPr>
          <w:color w:val="000000"/>
        </w:rPr>
      </w:pPr>
      <w:r>
        <w:rPr>
          <w:noProof/>
          <w:color w:val="000000"/>
        </w:rPr>
        <w:lastRenderedPageBreak/>
        <w:drawing>
          <wp:inline distT="0" distB="0" distL="0" distR="0">
            <wp:extent cx="5538470" cy="32759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8470" cy="3275965"/>
                    </a:xfrm>
                    <a:prstGeom prst="rect">
                      <a:avLst/>
                    </a:prstGeom>
                    <a:noFill/>
                    <a:ln>
                      <a:noFill/>
                    </a:ln>
                  </pic:spPr>
                </pic:pic>
              </a:graphicData>
            </a:graphic>
          </wp:inline>
        </w:drawing>
      </w:r>
    </w:p>
    <w:p w:rsidR="009B2EE9" w:rsidRDefault="009B2EE9" w:rsidP="009B2EE9">
      <w:pPr>
        <w:snapToGrid w:val="0"/>
        <w:spacing w:line="360" w:lineRule="auto"/>
        <w:ind w:firstLineChars="50" w:firstLine="120"/>
        <w:rPr>
          <w:color w:val="000000"/>
          <w:sz w:val="24"/>
        </w:rPr>
      </w:pPr>
      <w:r w:rsidRPr="00611CB2">
        <w:rPr>
          <w:color w:val="000000"/>
          <w:sz w:val="24"/>
        </w:rPr>
        <w:t>易方达上证</w:t>
      </w:r>
      <w:r w:rsidRPr="00611CB2">
        <w:rPr>
          <w:color w:val="000000"/>
          <w:sz w:val="24"/>
        </w:rPr>
        <w:t>50</w:t>
      </w:r>
      <w:r w:rsidRPr="00611CB2">
        <w:rPr>
          <w:color w:val="000000"/>
          <w:sz w:val="24"/>
        </w:rPr>
        <w:t>指数</w:t>
      </w:r>
      <w:r w:rsidRPr="00611CB2">
        <w:rPr>
          <w:color w:val="000000"/>
          <w:sz w:val="24"/>
        </w:rPr>
        <w:t>C</w:t>
      </w:r>
    </w:p>
    <w:p w:rsidR="001F4A65" w:rsidRPr="00611CB2" w:rsidRDefault="001F4A65" w:rsidP="001F4A65">
      <w:pPr>
        <w:snapToGrid w:val="0"/>
        <w:spacing w:line="360" w:lineRule="auto"/>
        <w:ind w:firstLineChars="50" w:firstLine="120"/>
        <w:jc w:val="center"/>
        <w:rPr>
          <w:color w:val="000000"/>
          <w:sz w:val="24"/>
        </w:rPr>
      </w:pPr>
      <w:r w:rsidRPr="00FA472B">
        <w:rPr>
          <w:sz w:val="24"/>
        </w:rPr>
        <w:t>(</w:t>
      </w:r>
      <w:r>
        <w:rPr>
          <w:sz w:val="24"/>
        </w:rPr>
        <w:t>2017</w:t>
      </w:r>
      <w:r>
        <w:rPr>
          <w:rFonts w:hint="eastAsia"/>
          <w:sz w:val="24"/>
        </w:rPr>
        <w:t>年</w:t>
      </w:r>
      <w:r>
        <w:rPr>
          <w:rFonts w:hint="eastAsia"/>
          <w:sz w:val="24"/>
        </w:rPr>
        <w:t>6</w:t>
      </w:r>
      <w:r>
        <w:rPr>
          <w:rFonts w:hint="eastAsia"/>
          <w:sz w:val="24"/>
        </w:rPr>
        <w:t>月</w:t>
      </w:r>
      <w:r>
        <w:rPr>
          <w:rFonts w:hint="eastAsia"/>
          <w:sz w:val="24"/>
        </w:rPr>
        <w:t>7</w:t>
      </w:r>
      <w:r>
        <w:rPr>
          <w:rFonts w:hint="eastAsia"/>
          <w:sz w:val="24"/>
        </w:rPr>
        <w:t>日</w:t>
      </w:r>
      <w:r w:rsidRPr="00FA472B">
        <w:rPr>
          <w:sz w:val="24"/>
        </w:rPr>
        <w:t>至</w:t>
      </w:r>
      <w:r w:rsidRPr="00FA472B">
        <w:rPr>
          <w:sz w:val="24"/>
        </w:rPr>
        <w:t>2019</w:t>
      </w:r>
      <w:r w:rsidRPr="00FA472B">
        <w:rPr>
          <w:sz w:val="24"/>
        </w:rPr>
        <w:t>年</w:t>
      </w:r>
      <w:r w:rsidRPr="00FA472B">
        <w:rPr>
          <w:sz w:val="24"/>
        </w:rPr>
        <w:t>9</w:t>
      </w:r>
      <w:r w:rsidRPr="00FA472B">
        <w:rPr>
          <w:sz w:val="24"/>
        </w:rPr>
        <w:t>月</w:t>
      </w:r>
      <w:r w:rsidRPr="00FA472B">
        <w:rPr>
          <w:sz w:val="24"/>
        </w:rPr>
        <w:t>30</w:t>
      </w:r>
      <w:r w:rsidRPr="00FA472B">
        <w:rPr>
          <w:sz w:val="24"/>
        </w:rPr>
        <w:t>日</w:t>
      </w:r>
      <w:r w:rsidRPr="00FA472B">
        <w:rPr>
          <w:sz w:val="24"/>
        </w:rPr>
        <w:t>)</w:t>
      </w:r>
    </w:p>
    <w:p w:rsidR="009B2EE9" w:rsidRPr="0078105B" w:rsidRDefault="009B2EE9" w:rsidP="009B2EE9">
      <w:pPr>
        <w:pStyle w:val="20"/>
        <w:spacing w:line="288" w:lineRule="auto"/>
        <w:ind w:firstLineChars="0" w:firstLine="0"/>
        <w:jc w:val="center"/>
        <w:rPr>
          <w:color w:val="000000"/>
        </w:rPr>
      </w:pPr>
      <w:r>
        <w:rPr>
          <w:noProof/>
          <w:color w:val="000000"/>
        </w:rPr>
        <w:drawing>
          <wp:inline distT="0" distB="0" distL="0" distR="0">
            <wp:extent cx="5538470" cy="32759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8470" cy="3275965"/>
                    </a:xfrm>
                    <a:prstGeom prst="rect">
                      <a:avLst/>
                    </a:prstGeom>
                    <a:noFill/>
                    <a:ln>
                      <a:noFill/>
                    </a:ln>
                  </pic:spPr>
                </pic:pic>
              </a:graphicData>
            </a:graphic>
          </wp:inline>
        </w:drawing>
      </w:r>
    </w:p>
    <w:p w:rsidR="00442D64" w:rsidRDefault="004B0E2D">
      <w:pPr>
        <w:spacing w:line="360" w:lineRule="auto"/>
        <w:ind w:firstLineChars="200" w:firstLine="480"/>
        <w:rPr>
          <w:rFonts w:hAnsi="宋体"/>
          <w:color w:val="000000"/>
          <w:sz w:val="24"/>
        </w:rPr>
      </w:pPr>
      <w:r>
        <w:rPr>
          <w:color w:val="000000"/>
          <w:sz w:val="24"/>
        </w:rPr>
        <w:t>注：</w:t>
      </w:r>
      <w:r>
        <w:rPr>
          <w:color w:val="000000"/>
          <w:sz w:val="24"/>
        </w:rPr>
        <w:t>1.</w:t>
      </w:r>
      <w:r>
        <w:rPr>
          <w:color w:val="000000"/>
          <w:sz w:val="24"/>
        </w:rPr>
        <w:t>自</w:t>
      </w:r>
      <w:r>
        <w:rPr>
          <w:color w:val="000000"/>
          <w:sz w:val="24"/>
        </w:rPr>
        <w:t>2017</w:t>
      </w:r>
      <w:r>
        <w:rPr>
          <w:color w:val="000000"/>
          <w:sz w:val="24"/>
        </w:rPr>
        <w:t>年</w:t>
      </w:r>
      <w:r>
        <w:rPr>
          <w:color w:val="000000"/>
          <w:sz w:val="24"/>
        </w:rPr>
        <w:t>6</w:t>
      </w:r>
      <w:r>
        <w:rPr>
          <w:color w:val="000000"/>
          <w:sz w:val="24"/>
        </w:rPr>
        <w:t>月</w:t>
      </w:r>
      <w:r>
        <w:rPr>
          <w:color w:val="000000"/>
          <w:sz w:val="24"/>
        </w:rPr>
        <w:t>6</w:t>
      </w:r>
      <w:r>
        <w:rPr>
          <w:color w:val="000000"/>
          <w:sz w:val="24"/>
        </w:rPr>
        <w:t>日起，本基金增设</w:t>
      </w:r>
      <w:r>
        <w:rPr>
          <w:color w:val="000000"/>
          <w:sz w:val="24"/>
        </w:rPr>
        <w:t>C</w:t>
      </w:r>
      <w:r>
        <w:rPr>
          <w:color w:val="000000"/>
          <w:sz w:val="24"/>
        </w:rPr>
        <w:t>类份额类别，份额首次确认日为</w:t>
      </w:r>
      <w:r>
        <w:rPr>
          <w:color w:val="000000"/>
          <w:sz w:val="24"/>
        </w:rPr>
        <w:t>2017</w:t>
      </w:r>
      <w:r>
        <w:rPr>
          <w:color w:val="000000"/>
          <w:sz w:val="24"/>
        </w:rPr>
        <w:t>年</w:t>
      </w:r>
      <w:r>
        <w:rPr>
          <w:color w:val="000000"/>
          <w:sz w:val="24"/>
        </w:rPr>
        <w:t>6</w:t>
      </w:r>
      <w:r>
        <w:rPr>
          <w:color w:val="000000"/>
          <w:sz w:val="24"/>
        </w:rPr>
        <w:t>月</w:t>
      </w:r>
      <w:r>
        <w:rPr>
          <w:color w:val="000000"/>
          <w:sz w:val="24"/>
        </w:rPr>
        <w:t>7</w:t>
      </w:r>
      <w:r>
        <w:rPr>
          <w:color w:val="000000"/>
          <w:sz w:val="24"/>
        </w:rPr>
        <w:t>日，增设当期的相关数据和指标按实际存续期计算。</w:t>
      </w:r>
    </w:p>
    <w:p w:rsidR="00A62673" w:rsidRPr="00EC5CE0" w:rsidRDefault="009B2EE9" w:rsidP="009B2EE9">
      <w:pPr>
        <w:spacing w:line="360" w:lineRule="auto"/>
        <w:ind w:firstLineChars="200" w:firstLine="480"/>
        <w:rPr>
          <w:rFonts w:hAnsi="宋体"/>
          <w:color w:val="000000"/>
          <w:sz w:val="24"/>
        </w:rPr>
      </w:pPr>
      <w:r w:rsidRPr="00DF18FE">
        <w:rPr>
          <w:color w:val="000000"/>
          <w:sz w:val="24"/>
        </w:rPr>
        <w:t>2.</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434.80%</w:t>
      </w:r>
      <w:r w:rsidRPr="00DF18FE">
        <w:rPr>
          <w:color w:val="000000"/>
          <w:sz w:val="24"/>
        </w:rPr>
        <w:t>，同期业绩比较基准收益率为</w:t>
      </w:r>
      <w:r w:rsidRPr="00DF18FE">
        <w:rPr>
          <w:color w:val="000000"/>
          <w:sz w:val="24"/>
        </w:rPr>
        <w:t>170.38%</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52.74%</w:t>
      </w:r>
      <w:r w:rsidRPr="00DF18FE">
        <w:rPr>
          <w:color w:val="000000"/>
          <w:sz w:val="24"/>
        </w:rPr>
        <w:t>，同期业绩比较基准收益率为</w:t>
      </w:r>
      <w:r w:rsidRPr="00DF18FE">
        <w:rPr>
          <w:color w:val="000000"/>
          <w:sz w:val="24"/>
        </w:rPr>
        <w:t>17.51%</w:t>
      </w:r>
      <w:r w:rsidRPr="00DF18FE">
        <w:rPr>
          <w:color w:val="000000"/>
          <w:sz w:val="24"/>
        </w:rPr>
        <w:t>。</w:t>
      </w:r>
    </w:p>
    <w:p w:rsidR="00A62673" w:rsidRPr="00C1648E" w:rsidRDefault="00A62673" w:rsidP="006C1D5C">
      <w:pPr>
        <w:tabs>
          <w:tab w:val="left" w:pos="1800"/>
        </w:tabs>
        <w:spacing w:line="288" w:lineRule="auto"/>
        <w:rPr>
          <w:color w:val="000000"/>
          <w:sz w:val="24"/>
        </w:rPr>
      </w:pPr>
    </w:p>
    <w:p w:rsidR="00A62673" w:rsidRPr="00EC5CE0" w:rsidRDefault="00A62673" w:rsidP="00F729DC">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4  </w:t>
      </w:r>
      <w:r w:rsidRPr="00EC5CE0">
        <w:rPr>
          <w:rFonts w:ascii="宋体" w:hAnsi="宋体" w:cs="Arial" w:hint="eastAsia"/>
          <w:color w:val="000000"/>
          <w:kern w:val="0"/>
          <w:sz w:val="24"/>
          <w:szCs w:val="24"/>
        </w:rPr>
        <w:t>管理人报告</w:t>
      </w:r>
    </w:p>
    <w:p w:rsidR="007467A8" w:rsidRPr="0078105B" w:rsidRDefault="00A62673" w:rsidP="007467A8">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4.1 </w:t>
      </w:r>
      <w:r w:rsidRPr="00EC5CE0">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7467A8" w:rsidRPr="0078105B" w:rsidTr="002C4578">
        <w:trPr>
          <w:cantSplit/>
        </w:trPr>
        <w:tc>
          <w:tcPr>
            <w:tcW w:w="567" w:type="dxa"/>
            <w:vMerge w:val="restart"/>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7467A8" w:rsidRPr="0078105B" w:rsidTr="002C4578">
        <w:trPr>
          <w:cantSplit/>
        </w:trPr>
        <w:tc>
          <w:tcPr>
            <w:tcW w:w="567" w:type="dxa"/>
            <w:vMerge/>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p>
        </w:tc>
        <w:tc>
          <w:tcPr>
            <w:tcW w:w="2835" w:type="dxa"/>
            <w:vMerge/>
          </w:tcPr>
          <w:p w:rsidR="007467A8" w:rsidRPr="00FA472B" w:rsidRDefault="007467A8" w:rsidP="002C4578">
            <w:pPr>
              <w:autoSpaceDE w:val="0"/>
              <w:autoSpaceDN w:val="0"/>
              <w:adjustRightInd w:val="0"/>
              <w:spacing w:before="29" w:line="288" w:lineRule="auto"/>
              <w:ind w:left="15"/>
              <w:jc w:val="center"/>
              <w:rPr>
                <w:color w:val="000000"/>
                <w:kern w:val="0"/>
                <w:sz w:val="24"/>
              </w:rPr>
            </w:pPr>
          </w:p>
        </w:tc>
        <w:tc>
          <w:tcPr>
            <w:tcW w:w="851" w:type="dxa"/>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p>
        </w:tc>
        <w:tc>
          <w:tcPr>
            <w:tcW w:w="2977" w:type="dxa"/>
            <w:vMerge/>
            <w:vAlign w:val="center"/>
          </w:tcPr>
          <w:p w:rsidR="007467A8" w:rsidRPr="00FA472B" w:rsidRDefault="007467A8" w:rsidP="002C4578">
            <w:pPr>
              <w:autoSpaceDE w:val="0"/>
              <w:autoSpaceDN w:val="0"/>
              <w:adjustRightInd w:val="0"/>
              <w:spacing w:before="29" w:line="288" w:lineRule="auto"/>
              <w:ind w:left="15"/>
              <w:jc w:val="center"/>
              <w:rPr>
                <w:color w:val="000000"/>
                <w:kern w:val="0"/>
                <w:sz w:val="24"/>
              </w:rPr>
            </w:pPr>
          </w:p>
        </w:tc>
      </w:tr>
      <w:tr w:rsidR="00442D64">
        <w:tc>
          <w:tcPr>
            <w:tcW w:w="567" w:type="dxa"/>
            <w:vAlign w:val="center"/>
          </w:tcPr>
          <w:p w:rsidR="00442D64" w:rsidRDefault="004B0E2D">
            <w:pPr>
              <w:jc w:val="center"/>
            </w:pPr>
            <w:r>
              <w:rPr>
                <w:color w:val="000000"/>
                <w:sz w:val="24"/>
              </w:rPr>
              <w:t>张胜记</w:t>
            </w:r>
          </w:p>
        </w:tc>
        <w:tc>
          <w:tcPr>
            <w:tcW w:w="2835" w:type="dxa"/>
            <w:vAlign w:val="center"/>
          </w:tcPr>
          <w:p w:rsidR="00442D64" w:rsidRDefault="004B0E2D">
            <w:pPr>
              <w:jc w:val="center"/>
            </w:pPr>
            <w:r>
              <w:rPr>
                <w:color w:val="000000"/>
                <w:sz w:val="24"/>
              </w:rPr>
              <w:t>本基金的基金经理、易方达原油证券投资基金</w:t>
            </w:r>
            <w:r>
              <w:rPr>
                <w:color w:val="000000"/>
                <w:sz w:val="24"/>
              </w:rPr>
              <w:t>(QDII)</w:t>
            </w:r>
            <w:r>
              <w:rPr>
                <w:color w:val="000000"/>
                <w:sz w:val="24"/>
              </w:rPr>
              <w:t>的基金经理、易方达香港恒生综合小型股指数证券投资基金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标普全球高端消费品指数增强型证券投资基金的基金经理、指数投资部总经理</w:t>
            </w:r>
          </w:p>
        </w:tc>
        <w:tc>
          <w:tcPr>
            <w:tcW w:w="851" w:type="dxa"/>
            <w:vAlign w:val="center"/>
          </w:tcPr>
          <w:p w:rsidR="00442D64" w:rsidRDefault="004B0E2D">
            <w:pPr>
              <w:jc w:val="center"/>
            </w:pPr>
            <w:r>
              <w:rPr>
                <w:color w:val="000000"/>
                <w:sz w:val="24"/>
              </w:rPr>
              <w:t>2012-09-28</w:t>
            </w:r>
          </w:p>
        </w:tc>
        <w:tc>
          <w:tcPr>
            <w:tcW w:w="850" w:type="dxa"/>
            <w:vAlign w:val="center"/>
          </w:tcPr>
          <w:p w:rsidR="00442D64" w:rsidRDefault="004B0E2D">
            <w:pPr>
              <w:jc w:val="center"/>
            </w:pPr>
            <w:r>
              <w:rPr>
                <w:color w:val="000000"/>
                <w:sz w:val="24"/>
              </w:rPr>
              <w:t>-</w:t>
            </w:r>
          </w:p>
        </w:tc>
        <w:tc>
          <w:tcPr>
            <w:tcW w:w="851" w:type="dxa"/>
            <w:vAlign w:val="center"/>
          </w:tcPr>
          <w:p w:rsidR="00442D64" w:rsidRDefault="004B0E2D">
            <w:pPr>
              <w:jc w:val="center"/>
            </w:pPr>
            <w:r>
              <w:rPr>
                <w:color w:val="000000"/>
                <w:sz w:val="24"/>
              </w:rPr>
              <w:t>14</w:t>
            </w:r>
            <w:r>
              <w:rPr>
                <w:color w:val="000000"/>
                <w:sz w:val="24"/>
              </w:rPr>
              <w:t>年</w:t>
            </w:r>
          </w:p>
        </w:tc>
        <w:tc>
          <w:tcPr>
            <w:tcW w:w="2977" w:type="dxa"/>
            <w:vAlign w:val="center"/>
          </w:tcPr>
          <w:p w:rsidR="00442D64" w:rsidRDefault="004B0E2D">
            <w:r>
              <w:rPr>
                <w:color w:val="000000"/>
                <w:sz w:val="24"/>
              </w:rPr>
              <w:t>硕士研究生，曾任易方达基金管理有限公司投资经理助理、基金经理助理、行业研究员、指数与量化投资部总经理助理、指数与量化投资部副总经理、指数及增强投资部副总</w:t>
            </w:r>
            <w:r>
              <w:rPr>
                <w:color w:val="000000"/>
                <w:sz w:val="24"/>
              </w:rPr>
              <w:t>经理、易方达沪深</w:t>
            </w:r>
            <w:r>
              <w:rPr>
                <w:color w:val="000000"/>
                <w:sz w:val="24"/>
              </w:rPr>
              <w:t>300</w:t>
            </w:r>
            <w:r>
              <w:rPr>
                <w:color w:val="000000"/>
                <w:sz w:val="24"/>
              </w:rPr>
              <w:t>交易型开放式指数发起式证券投资基金联接基金（原易方达沪深</w:t>
            </w:r>
            <w:r>
              <w:rPr>
                <w:color w:val="000000"/>
                <w:sz w:val="24"/>
              </w:rPr>
              <w:t>300</w:t>
            </w:r>
            <w:r>
              <w:rPr>
                <w:color w:val="000000"/>
                <w:sz w:val="24"/>
              </w:rPr>
              <w:t>指数证券投资基金）基金经理、易方达上证中盘交易型开放式指数证券投资基金基金经理、易方达上证中盘交易型开放式指数证券投资基金联接基金基金经理、易方达标普医疗保健指数证券投资基金（</w:t>
            </w:r>
            <w:r>
              <w:rPr>
                <w:color w:val="000000"/>
                <w:sz w:val="24"/>
              </w:rPr>
              <w:t>LOF</w:t>
            </w:r>
            <w:r>
              <w:rPr>
                <w:color w:val="000000"/>
                <w:sz w:val="24"/>
              </w:rPr>
              <w:t>）基金经理、易方达标普</w:t>
            </w:r>
            <w:r>
              <w:rPr>
                <w:color w:val="000000"/>
                <w:sz w:val="24"/>
              </w:rPr>
              <w:t>500</w:t>
            </w:r>
            <w:r>
              <w:rPr>
                <w:color w:val="000000"/>
                <w:sz w:val="24"/>
              </w:rPr>
              <w:t>指数证券投资基金（</w:t>
            </w:r>
            <w:r>
              <w:rPr>
                <w:color w:val="000000"/>
                <w:sz w:val="24"/>
              </w:rPr>
              <w:t>LOF</w:t>
            </w:r>
            <w:r>
              <w:rPr>
                <w:color w:val="000000"/>
                <w:sz w:val="24"/>
              </w:rPr>
              <w:t>）基金经理、易方达标普生物科技指数证券投资基金</w:t>
            </w:r>
            <w:r>
              <w:rPr>
                <w:color w:val="000000"/>
                <w:sz w:val="24"/>
              </w:rPr>
              <w:t>(LOF)</w:t>
            </w:r>
            <w:r>
              <w:rPr>
                <w:color w:val="000000"/>
                <w:sz w:val="24"/>
              </w:rPr>
              <w:t>基金经理、易方达标普信息科技指数证券投资基金（</w:t>
            </w:r>
            <w:r>
              <w:rPr>
                <w:color w:val="000000"/>
                <w:sz w:val="24"/>
              </w:rPr>
              <w:t>LOF</w:t>
            </w:r>
            <w:r>
              <w:rPr>
                <w:color w:val="000000"/>
                <w:sz w:val="24"/>
              </w:rPr>
              <w:t>）基金经理。</w:t>
            </w:r>
          </w:p>
        </w:tc>
      </w:tr>
    </w:tbl>
    <w:p w:rsidR="00442D64" w:rsidRDefault="004B0E2D">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60F37" w:rsidRPr="00232B03" w:rsidRDefault="007467A8" w:rsidP="007467A8">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A62673" w:rsidRPr="00EC5CE0" w:rsidRDefault="00A62673" w:rsidP="00560F37">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4.2</w:t>
      </w:r>
      <w:r w:rsidRPr="00EC5CE0">
        <w:rPr>
          <w:rFonts w:ascii="宋体" w:hAnsi="宋体" w:hint="eastAsia"/>
          <w:b/>
          <w:bCs/>
          <w:color w:val="000000"/>
          <w:sz w:val="24"/>
        </w:rPr>
        <w:t>管理人对报告期内本基金运作遵规守信情况的说明</w:t>
      </w:r>
    </w:p>
    <w:p w:rsidR="00A62673" w:rsidRPr="00C1648E" w:rsidRDefault="00A62673" w:rsidP="00C1648E">
      <w:pPr>
        <w:spacing w:line="360" w:lineRule="auto"/>
        <w:ind w:firstLineChars="200" w:firstLine="480"/>
        <w:rPr>
          <w:color w:val="000000"/>
          <w:sz w:val="24"/>
        </w:rPr>
      </w:pPr>
      <w:r w:rsidRPr="00DC315B">
        <w:rPr>
          <w:color w:val="000000"/>
          <w:sz w:val="24"/>
        </w:rPr>
        <w:lastRenderedPageBreak/>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4.3 </w:t>
      </w:r>
      <w:r w:rsidRPr="00EC5CE0">
        <w:rPr>
          <w:rFonts w:ascii="宋体" w:hAnsi="宋体" w:cs="Arial" w:hint="eastAsia"/>
          <w:b/>
          <w:color w:val="000000"/>
          <w:kern w:val="0"/>
          <w:sz w:val="24"/>
        </w:rPr>
        <w:t>公平交易专项说明</w:t>
      </w:r>
    </w:p>
    <w:p w:rsidR="00A62673" w:rsidRPr="00EC5CE0" w:rsidRDefault="00A62673" w:rsidP="005A2DCB">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C5CE0">
          <w:rPr>
            <w:rFonts w:ascii="宋体" w:hAnsi="宋体"/>
            <w:sz w:val="24"/>
          </w:rPr>
          <w:t>4.3.1</w:t>
        </w:r>
      </w:smartTag>
      <w:r w:rsidRPr="00EC5CE0">
        <w:rPr>
          <w:rFonts w:ascii="宋体" w:hAnsi="宋体" w:hint="eastAsia"/>
          <w:sz w:val="24"/>
        </w:rPr>
        <w:t>公平交易制度的执行情况</w:t>
      </w:r>
    </w:p>
    <w:p w:rsidR="00A62673" w:rsidRPr="00DC315B" w:rsidRDefault="00A62673" w:rsidP="005A2769">
      <w:pPr>
        <w:spacing w:line="360" w:lineRule="auto"/>
        <w:ind w:firstLineChars="200" w:firstLine="480"/>
        <w:rPr>
          <w:color w:val="000000"/>
          <w:sz w:val="24"/>
        </w:rPr>
      </w:pPr>
      <w:r w:rsidRPr="00DC315B">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C315B">
        <w:rPr>
          <w:color w:val="000000"/>
          <w:sz w:val="24"/>
        </w:rPr>
        <w:t>“</w:t>
      </w:r>
      <w:r w:rsidRPr="00DC315B">
        <w:rPr>
          <w:color w:val="000000"/>
          <w:sz w:val="24"/>
        </w:rPr>
        <w:t>时间优先、价格优先</w:t>
      </w:r>
      <w:r w:rsidRPr="00DC315B">
        <w:rPr>
          <w:color w:val="000000"/>
          <w:sz w:val="24"/>
        </w:rPr>
        <w:t>”</w:t>
      </w:r>
      <w:r w:rsidRPr="00DC315B">
        <w:rPr>
          <w:color w:val="000000"/>
          <w:sz w:val="24"/>
        </w:rPr>
        <w:t>作为执行指令的基本原则，通过投资交易系统中的公平交易模块，以尽可能确保公平对待各投资组合。本报告期内，公平交易制度总体执行情况良好。</w:t>
      </w:r>
    </w:p>
    <w:p w:rsidR="00A62673" w:rsidRPr="00EC5CE0" w:rsidRDefault="00A62673" w:rsidP="005A2DCB">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C5CE0">
          <w:rPr>
            <w:rFonts w:ascii="宋体" w:hAnsi="宋体"/>
            <w:sz w:val="24"/>
          </w:rPr>
          <w:t>4.3.2</w:t>
        </w:r>
      </w:smartTag>
      <w:r w:rsidRPr="00EC5CE0">
        <w:rPr>
          <w:rFonts w:ascii="宋体" w:hAnsi="宋体" w:hint="eastAsia"/>
          <w:sz w:val="24"/>
        </w:rPr>
        <w:t>异常交易行为的专项说明</w:t>
      </w:r>
    </w:p>
    <w:p w:rsidR="00442D64" w:rsidRDefault="004B0E2D">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A62673" w:rsidRPr="00C1648E" w:rsidRDefault="00A62673" w:rsidP="00C1648E">
      <w:pPr>
        <w:spacing w:line="360" w:lineRule="auto"/>
        <w:ind w:firstLineChars="200" w:firstLine="480"/>
        <w:rPr>
          <w:color w:val="000000"/>
          <w:sz w:val="24"/>
        </w:rPr>
      </w:pPr>
      <w:r w:rsidRPr="00DC315B">
        <w:rPr>
          <w:color w:val="000000"/>
          <w:sz w:val="24"/>
        </w:rPr>
        <w:t>本报告期内，未发现本基金有可能导致不公平交易和利益输送的异常交易。</w:t>
      </w:r>
    </w:p>
    <w:p w:rsidR="00A62673" w:rsidRPr="00EC5CE0" w:rsidRDefault="00A62673" w:rsidP="005A2DCB">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4.4 </w:t>
      </w:r>
      <w:r w:rsidRPr="00EC5CE0">
        <w:rPr>
          <w:rFonts w:ascii="宋体" w:hAnsi="宋体" w:cs="Arial" w:hint="eastAsia"/>
          <w:b/>
          <w:color w:val="000000"/>
          <w:kern w:val="0"/>
          <w:sz w:val="24"/>
        </w:rPr>
        <w:t>报告期内基金的投资策略和业绩表现说明</w:t>
      </w:r>
    </w:p>
    <w:p w:rsidR="00A62673" w:rsidRPr="00EC5CE0" w:rsidRDefault="00A62673" w:rsidP="005A2DCB">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C5CE0">
          <w:rPr>
            <w:rFonts w:ascii="宋体" w:hAnsi="宋体"/>
            <w:sz w:val="24"/>
          </w:rPr>
          <w:t>4.4.1</w:t>
        </w:r>
      </w:smartTag>
      <w:r w:rsidRPr="00EC5CE0">
        <w:rPr>
          <w:rFonts w:ascii="宋体" w:hAnsi="宋体" w:hint="eastAsia"/>
          <w:sz w:val="24"/>
        </w:rPr>
        <w:t>报告期内基金投资策略和运作分析</w:t>
      </w:r>
    </w:p>
    <w:p w:rsidR="00442D64" w:rsidRDefault="004B0E2D">
      <w:pPr>
        <w:spacing w:line="360" w:lineRule="auto"/>
        <w:ind w:firstLineChars="200" w:firstLine="480"/>
        <w:rPr>
          <w:color w:val="000000"/>
          <w:sz w:val="24"/>
        </w:rPr>
      </w:pPr>
      <w:r>
        <w:rPr>
          <w:color w:val="000000"/>
          <w:sz w:val="24"/>
        </w:rPr>
        <w:t>2019</w:t>
      </w:r>
      <w:r>
        <w:rPr>
          <w:color w:val="000000"/>
          <w:sz w:val="24"/>
        </w:rPr>
        <w:t>年第三季度，国内经济增速继续在底部徘徊，货币和财政政策维持中性宽松。中美贸易谈判跌宕起伏，市场受到较大冲击，出现大幅震荡。</w:t>
      </w:r>
      <w:r>
        <w:rPr>
          <w:color w:val="000000"/>
          <w:sz w:val="24"/>
        </w:rPr>
        <w:t>1-8</w:t>
      </w:r>
      <w:r>
        <w:rPr>
          <w:color w:val="000000"/>
          <w:sz w:val="24"/>
        </w:rPr>
        <w:t>月全国规模以上工业增加值同比增长</w:t>
      </w:r>
      <w:r>
        <w:rPr>
          <w:color w:val="000000"/>
          <w:sz w:val="24"/>
        </w:rPr>
        <w:t>5.6%</w:t>
      </w:r>
      <w:r>
        <w:rPr>
          <w:color w:val="000000"/>
          <w:sz w:val="24"/>
        </w:rPr>
        <w:t>，全国固定资产投资同比增长</w:t>
      </w:r>
      <w:r>
        <w:rPr>
          <w:color w:val="000000"/>
          <w:sz w:val="24"/>
        </w:rPr>
        <w:t>5.5%</w:t>
      </w:r>
      <w:r>
        <w:rPr>
          <w:color w:val="000000"/>
          <w:sz w:val="24"/>
        </w:rPr>
        <w:t>，房地产开发投资同比增长</w:t>
      </w:r>
      <w:r>
        <w:rPr>
          <w:color w:val="000000"/>
          <w:sz w:val="24"/>
        </w:rPr>
        <w:t>10.5%</w:t>
      </w:r>
      <w:r>
        <w:rPr>
          <w:color w:val="000000"/>
          <w:sz w:val="24"/>
        </w:rPr>
        <w:t>，仍在放缓。社会消费品零售总额同比名义增长</w:t>
      </w:r>
      <w:r>
        <w:rPr>
          <w:color w:val="000000"/>
          <w:sz w:val="24"/>
        </w:rPr>
        <w:t>8.2%</w:t>
      </w:r>
      <w:r>
        <w:rPr>
          <w:color w:val="000000"/>
          <w:sz w:val="24"/>
        </w:rPr>
        <w:t>，汽车销量下滑幅度较大，房地产销售回落，前</w:t>
      </w:r>
      <w:r>
        <w:rPr>
          <w:color w:val="000000"/>
          <w:sz w:val="24"/>
        </w:rPr>
        <w:t>8</w:t>
      </w:r>
      <w:r>
        <w:rPr>
          <w:color w:val="000000"/>
          <w:sz w:val="24"/>
        </w:rPr>
        <w:t>个月全国住宅累计销</w:t>
      </w:r>
      <w:r>
        <w:rPr>
          <w:color w:val="000000"/>
          <w:sz w:val="24"/>
        </w:rPr>
        <w:t>售面积同比下降</w:t>
      </w:r>
      <w:r>
        <w:rPr>
          <w:color w:val="000000"/>
          <w:sz w:val="24"/>
        </w:rPr>
        <w:t>0.6%</w:t>
      </w:r>
      <w:r>
        <w:rPr>
          <w:color w:val="000000"/>
          <w:sz w:val="24"/>
        </w:rPr>
        <w:t>。在猪肉和水果价格上涨的带动下国内的通胀回升，</w:t>
      </w:r>
      <w:r>
        <w:rPr>
          <w:color w:val="000000"/>
          <w:sz w:val="24"/>
        </w:rPr>
        <w:t>8</w:t>
      </w:r>
      <w:r>
        <w:rPr>
          <w:color w:val="000000"/>
          <w:sz w:val="24"/>
        </w:rPr>
        <w:t>月份居民消费价格指数（</w:t>
      </w:r>
      <w:r>
        <w:rPr>
          <w:color w:val="000000"/>
          <w:sz w:val="24"/>
        </w:rPr>
        <w:t>CPI</w:t>
      </w:r>
      <w:r>
        <w:rPr>
          <w:color w:val="000000"/>
          <w:sz w:val="24"/>
        </w:rPr>
        <w:t>）同比上涨</w:t>
      </w:r>
      <w:r>
        <w:rPr>
          <w:color w:val="000000"/>
          <w:sz w:val="24"/>
        </w:rPr>
        <w:t>2.8%</w:t>
      </w:r>
      <w:r>
        <w:rPr>
          <w:color w:val="000000"/>
          <w:sz w:val="24"/>
        </w:rPr>
        <w:t>，工业生产者出厂价格指数（</w:t>
      </w:r>
      <w:r>
        <w:rPr>
          <w:color w:val="000000"/>
          <w:sz w:val="24"/>
        </w:rPr>
        <w:t>PPI</w:t>
      </w:r>
      <w:r>
        <w:rPr>
          <w:color w:val="000000"/>
          <w:sz w:val="24"/>
        </w:rPr>
        <w:t>）同比下降</w:t>
      </w:r>
      <w:r>
        <w:rPr>
          <w:color w:val="000000"/>
          <w:sz w:val="24"/>
        </w:rPr>
        <w:t>0.8%</w:t>
      </w:r>
      <w:r>
        <w:rPr>
          <w:color w:val="000000"/>
          <w:sz w:val="24"/>
        </w:rPr>
        <w:t>。报告期内，美联储连续两次降息，美国股市大幅震荡。我国货币政策保持宽松，</w:t>
      </w:r>
      <w:r>
        <w:rPr>
          <w:color w:val="000000"/>
          <w:sz w:val="24"/>
        </w:rPr>
        <w:t>8</w:t>
      </w:r>
      <w:r>
        <w:rPr>
          <w:color w:val="000000"/>
          <w:sz w:val="24"/>
        </w:rPr>
        <w:t>月末广义货币供应量</w:t>
      </w:r>
      <w:r>
        <w:rPr>
          <w:color w:val="000000"/>
          <w:sz w:val="24"/>
        </w:rPr>
        <w:t>M2</w:t>
      </w:r>
      <w:r>
        <w:rPr>
          <w:color w:val="000000"/>
          <w:sz w:val="24"/>
        </w:rPr>
        <w:t>同比增长</w:t>
      </w:r>
      <w:r>
        <w:rPr>
          <w:color w:val="000000"/>
          <w:sz w:val="24"/>
        </w:rPr>
        <w:t>8.2%</w:t>
      </w:r>
      <w:r>
        <w:rPr>
          <w:color w:val="000000"/>
          <w:sz w:val="24"/>
        </w:rPr>
        <w:t>，银行间利率和国债利率维持在低位。</w:t>
      </w:r>
      <w:r>
        <w:rPr>
          <w:color w:val="000000"/>
          <w:sz w:val="24"/>
        </w:rPr>
        <w:lastRenderedPageBreak/>
        <w:t>财政政策更为积极，减税降费措施落地，地方政府专项债推出力度不断加大。报告期内，</w:t>
      </w:r>
      <w:r>
        <w:rPr>
          <w:color w:val="000000"/>
          <w:sz w:val="24"/>
        </w:rPr>
        <w:t>A</w:t>
      </w:r>
      <w:r>
        <w:rPr>
          <w:color w:val="000000"/>
          <w:sz w:val="24"/>
        </w:rPr>
        <w:t>股大幅震荡下跌，上证指数下跌</w:t>
      </w:r>
      <w:r>
        <w:rPr>
          <w:color w:val="000000"/>
          <w:sz w:val="24"/>
        </w:rPr>
        <w:t>2.47%</w:t>
      </w:r>
      <w:r>
        <w:rPr>
          <w:color w:val="000000"/>
          <w:sz w:val="24"/>
        </w:rPr>
        <w:t>，上证</w:t>
      </w:r>
      <w:r>
        <w:rPr>
          <w:color w:val="000000"/>
          <w:sz w:val="24"/>
        </w:rPr>
        <w:t>50</w:t>
      </w:r>
      <w:r>
        <w:rPr>
          <w:color w:val="000000"/>
          <w:sz w:val="24"/>
        </w:rPr>
        <w:t>指数下跌</w:t>
      </w:r>
      <w:r>
        <w:rPr>
          <w:color w:val="000000"/>
          <w:sz w:val="24"/>
        </w:rPr>
        <w:t>1.12%</w:t>
      </w:r>
      <w:r>
        <w:rPr>
          <w:color w:val="000000"/>
          <w:sz w:val="24"/>
        </w:rPr>
        <w:t>。从行业表现来看，电子、医药生物、计算机等科技新兴行业</w:t>
      </w:r>
      <w:r>
        <w:rPr>
          <w:color w:val="000000"/>
          <w:sz w:val="24"/>
        </w:rPr>
        <w:t>涨幅居前；钢铁、采掘、建筑、有色金属等传统行业出现下跌。</w:t>
      </w:r>
    </w:p>
    <w:p w:rsidR="00A62673" w:rsidRPr="00DC315B" w:rsidRDefault="00A62673" w:rsidP="005A2769">
      <w:pPr>
        <w:spacing w:line="360" w:lineRule="auto"/>
        <w:ind w:firstLineChars="200" w:firstLine="480"/>
        <w:rPr>
          <w:color w:val="000000"/>
          <w:sz w:val="24"/>
        </w:rPr>
      </w:pPr>
      <w:r w:rsidRPr="00DC315B">
        <w:rPr>
          <w:color w:val="000000"/>
          <w:sz w:val="24"/>
        </w:rPr>
        <w:t>本基金是跟踪上证</w:t>
      </w:r>
      <w:r w:rsidRPr="00DC315B">
        <w:rPr>
          <w:color w:val="000000"/>
          <w:sz w:val="24"/>
        </w:rPr>
        <w:t>50</w:t>
      </w:r>
      <w:r w:rsidRPr="00DC315B">
        <w:rPr>
          <w:color w:val="000000"/>
          <w:sz w:val="24"/>
        </w:rPr>
        <w:t>指数的增强型指数基金，股票仓位根据合同要求一直保持在</w:t>
      </w:r>
      <w:r w:rsidRPr="00DC315B">
        <w:rPr>
          <w:color w:val="000000"/>
          <w:sz w:val="24"/>
        </w:rPr>
        <w:t>90%</w:t>
      </w:r>
      <w:r w:rsidRPr="00DC315B">
        <w:rPr>
          <w:color w:val="000000"/>
          <w:sz w:val="24"/>
        </w:rPr>
        <w:t>以上，在行业配置上，多数行业与指数权重分布一致，食品饮料、医药等行业有一定的超配，银行、券商等行业低配。报告期内，根据对市场形势的判断，本基金进行了少量调整操作，主要是降低了食品饮料、医药生物等板块的权重，增加了银行、保险等行业的配置。本基金报告期业绩战胜基准指数。</w:t>
      </w:r>
    </w:p>
    <w:p w:rsidR="00A62673" w:rsidRPr="00EC5CE0" w:rsidRDefault="00A62673" w:rsidP="005A2DCB">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C5CE0">
          <w:rPr>
            <w:rFonts w:ascii="宋体" w:hAnsi="宋体"/>
            <w:sz w:val="24"/>
          </w:rPr>
          <w:t>4.4.2</w:t>
        </w:r>
      </w:smartTag>
      <w:r w:rsidRPr="00EC5CE0">
        <w:rPr>
          <w:rFonts w:ascii="宋体" w:hAnsi="宋体" w:hint="eastAsia"/>
          <w:sz w:val="24"/>
        </w:rPr>
        <w:t>报告期内基金的业绩表现</w:t>
      </w:r>
    </w:p>
    <w:p w:rsidR="00A62673" w:rsidRPr="00C1648E" w:rsidRDefault="00A62673" w:rsidP="00C1648E">
      <w:pPr>
        <w:spacing w:line="360" w:lineRule="auto"/>
        <w:ind w:firstLineChars="200" w:firstLine="480"/>
        <w:rPr>
          <w:color w:val="000000"/>
          <w:sz w:val="24"/>
        </w:rPr>
      </w:pPr>
      <w:r w:rsidRPr="00DC315B">
        <w:rPr>
          <w:color w:val="000000"/>
          <w:sz w:val="24"/>
        </w:rPr>
        <w:t>截至报告期末，本基金</w:t>
      </w:r>
      <w:r w:rsidRPr="00DC315B">
        <w:rPr>
          <w:color w:val="000000"/>
          <w:sz w:val="24"/>
        </w:rPr>
        <w:t>A</w:t>
      </w:r>
      <w:r w:rsidRPr="00DC315B">
        <w:rPr>
          <w:color w:val="000000"/>
          <w:sz w:val="24"/>
        </w:rPr>
        <w:t>类基金份额净值为</w:t>
      </w:r>
      <w:r w:rsidRPr="00DC315B">
        <w:rPr>
          <w:color w:val="000000"/>
          <w:sz w:val="24"/>
        </w:rPr>
        <w:t>1.7506</w:t>
      </w:r>
      <w:r w:rsidRPr="00DC315B">
        <w:rPr>
          <w:color w:val="000000"/>
          <w:sz w:val="24"/>
        </w:rPr>
        <w:t>元，本报告期份额净值增长率为</w:t>
      </w:r>
      <w:r w:rsidRPr="00DC315B">
        <w:rPr>
          <w:color w:val="000000"/>
          <w:sz w:val="24"/>
        </w:rPr>
        <w:t>2.39%</w:t>
      </w:r>
      <w:r w:rsidRPr="00DC315B">
        <w:rPr>
          <w:color w:val="000000"/>
          <w:sz w:val="24"/>
        </w:rPr>
        <w:t>；</w:t>
      </w:r>
      <w:r w:rsidRPr="00DC315B">
        <w:rPr>
          <w:color w:val="000000"/>
          <w:sz w:val="24"/>
        </w:rPr>
        <w:t>C</w:t>
      </w:r>
      <w:r w:rsidRPr="00DC315B">
        <w:rPr>
          <w:color w:val="000000"/>
          <w:sz w:val="24"/>
        </w:rPr>
        <w:t>类基金份额净值为</w:t>
      </w:r>
      <w:r w:rsidRPr="00DC315B">
        <w:rPr>
          <w:color w:val="000000"/>
          <w:sz w:val="24"/>
        </w:rPr>
        <w:t>1.7406</w:t>
      </w:r>
      <w:r w:rsidRPr="00DC315B">
        <w:rPr>
          <w:color w:val="000000"/>
          <w:sz w:val="24"/>
        </w:rPr>
        <w:t>元，本报告期份额净值增长率为</w:t>
      </w:r>
      <w:r w:rsidRPr="00DC315B">
        <w:rPr>
          <w:color w:val="000000"/>
          <w:sz w:val="24"/>
        </w:rPr>
        <w:t>2.32%</w:t>
      </w:r>
      <w:r w:rsidRPr="00DC315B">
        <w:rPr>
          <w:color w:val="000000"/>
          <w:sz w:val="24"/>
        </w:rPr>
        <w:t>；同期业绩比较基准收益率为</w:t>
      </w:r>
      <w:r w:rsidRPr="00DC315B">
        <w:rPr>
          <w:color w:val="000000"/>
          <w:sz w:val="24"/>
        </w:rPr>
        <w:t>-1.12%</w:t>
      </w:r>
      <w:r w:rsidRPr="00DC315B">
        <w:rPr>
          <w:color w:val="000000"/>
          <w:sz w:val="24"/>
        </w:rPr>
        <w:t>，年化跟踪误差</w:t>
      </w:r>
      <w:r w:rsidRPr="00DC315B">
        <w:rPr>
          <w:color w:val="000000"/>
          <w:sz w:val="24"/>
        </w:rPr>
        <w:t>4.45%</w:t>
      </w:r>
      <w:r w:rsidRPr="00DC315B">
        <w:rPr>
          <w:color w:val="000000"/>
          <w:sz w:val="24"/>
        </w:rPr>
        <w:t>，超过合同规定的目标控制范围，主要是投资组合与指数权重的偏差有所扩大所致。</w:t>
      </w:r>
    </w:p>
    <w:p w:rsidR="00A62673" w:rsidRPr="00EC5CE0" w:rsidRDefault="00A62673" w:rsidP="00F729DC">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5  </w:t>
      </w:r>
      <w:r w:rsidRPr="00EC5CE0">
        <w:rPr>
          <w:rFonts w:ascii="宋体" w:hAnsi="宋体" w:cs="Arial" w:hint="eastAsia"/>
          <w:color w:val="000000"/>
          <w:kern w:val="0"/>
          <w:sz w:val="24"/>
          <w:szCs w:val="24"/>
        </w:rPr>
        <w:t>投资组合报告</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5.1 </w:t>
      </w:r>
      <w:r w:rsidRPr="00EC5CE0">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序号</w:t>
            </w:r>
          </w:p>
        </w:tc>
        <w:tc>
          <w:tcPr>
            <w:tcW w:w="3357"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项目</w:t>
            </w:r>
          </w:p>
        </w:tc>
        <w:tc>
          <w:tcPr>
            <w:tcW w:w="2977" w:type="dxa"/>
            <w:vAlign w:val="center"/>
          </w:tcPr>
          <w:p w:rsidR="00A62673" w:rsidRPr="00C1648E" w:rsidRDefault="00A62673" w:rsidP="005A2769">
            <w:pPr>
              <w:spacing w:before="29" w:line="360" w:lineRule="auto"/>
              <w:ind w:left="17"/>
              <w:jc w:val="center"/>
              <w:rPr>
                <w:color w:val="000000"/>
                <w:sz w:val="24"/>
              </w:rPr>
            </w:pPr>
            <w:r w:rsidRPr="00C1648E">
              <w:rPr>
                <w:color w:val="000000"/>
                <w:sz w:val="24"/>
              </w:rPr>
              <w:t>金额</w:t>
            </w:r>
            <w:r w:rsidR="005A2769" w:rsidRPr="00C1648E">
              <w:rPr>
                <w:color w:val="000000"/>
                <w:sz w:val="24"/>
              </w:rPr>
              <w:t>（元）</w:t>
            </w:r>
          </w:p>
        </w:tc>
        <w:tc>
          <w:tcPr>
            <w:tcW w:w="1843" w:type="dxa"/>
            <w:vAlign w:val="center"/>
          </w:tcPr>
          <w:p w:rsidR="00A62673" w:rsidRPr="00C1648E" w:rsidRDefault="00A62673" w:rsidP="005A2769">
            <w:pPr>
              <w:spacing w:before="29" w:line="360" w:lineRule="auto"/>
              <w:ind w:left="17"/>
              <w:jc w:val="center"/>
              <w:rPr>
                <w:color w:val="000000"/>
                <w:sz w:val="24"/>
              </w:rPr>
            </w:pPr>
            <w:r w:rsidRPr="00C1648E">
              <w:rPr>
                <w:color w:val="000000"/>
                <w:sz w:val="24"/>
              </w:rPr>
              <w:t>占基金总资产的比例</w:t>
            </w:r>
            <w:r w:rsidR="005A2769" w:rsidRPr="00C1648E">
              <w:rPr>
                <w:color w:val="000000"/>
                <w:sz w:val="24"/>
              </w:rPr>
              <w:t>（</w:t>
            </w:r>
            <w:r w:rsidR="005A2769" w:rsidRPr="00C1648E">
              <w:rPr>
                <w:color w:val="000000"/>
                <w:sz w:val="24"/>
              </w:rPr>
              <w:t>%</w:t>
            </w:r>
            <w:r w:rsidR="005A2769"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1</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权益投资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16,827,599,592.07</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92.89</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其中：股票</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16,827,599,592.07</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92.89</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2</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固定收益投资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其中：债券</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autoSpaceDE w:val="0"/>
              <w:autoSpaceDN w:val="0"/>
              <w:adjustRightInd w:val="0"/>
              <w:spacing w:before="29" w:line="360" w:lineRule="auto"/>
              <w:ind w:left="17"/>
              <w:jc w:val="left"/>
              <w:rPr>
                <w:color w:val="000000"/>
                <w:sz w:val="24"/>
              </w:rPr>
            </w:pPr>
            <w:r w:rsidRPr="00C1648E">
              <w:rPr>
                <w:color w:val="000000"/>
                <w:sz w:val="24"/>
              </w:rPr>
              <w:t>资产支持证券</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tcPr>
          <w:p w:rsidR="00A62673" w:rsidRPr="00C1648E" w:rsidRDefault="00A62673" w:rsidP="006B315F">
            <w:pPr>
              <w:spacing w:before="29" w:line="360" w:lineRule="auto"/>
              <w:ind w:left="17"/>
              <w:jc w:val="center"/>
              <w:rPr>
                <w:color w:val="000000"/>
                <w:sz w:val="24"/>
              </w:rPr>
            </w:pPr>
            <w:r w:rsidRPr="00C1648E">
              <w:rPr>
                <w:color w:val="000000"/>
                <w:sz w:val="24"/>
              </w:rPr>
              <w:t>3</w:t>
            </w:r>
          </w:p>
        </w:tc>
        <w:tc>
          <w:tcPr>
            <w:tcW w:w="3357" w:type="dxa"/>
          </w:tcPr>
          <w:p w:rsidR="00A62673" w:rsidRPr="00C1648E" w:rsidRDefault="00A62673" w:rsidP="005A2769">
            <w:pPr>
              <w:spacing w:before="29" w:line="360" w:lineRule="auto"/>
              <w:ind w:leftChars="50" w:left="105"/>
              <w:rPr>
                <w:color w:val="000000"/>
                <w:sz w:val="24"/>
              </w:rPr>
            </w:pPr>
            <w:r w:rsidRPr="00C1648E">
              <w:rPr>
                <w:color w:val="000000"/>
                <w:sz w:val="24"/>
              </w:rPr>
              <w:t>贵金属投资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4</w:t>
            </w:r>
          </w:p>
        </w:tc>
        <w:tc>
          <w:tcPr>
            <w:tcW w:w="3357" w:type="dxa"/>
            <w:vAlign w:val="center"/>
          </w:tcPr>
          <w:p w:rsidR="00A62673" w:rsidRPr="00C1648E" w:rsidRDefault="00A62673" w:rsidP="006B315F">
            <w:pPr>
              <w:spacing w:before="29" w:line="360" w:lineRule="auto"/>
              <w:ind w:left="17"/>
              <w:jc w:val="left"/>
              <w:rPr>
                <w:color w:val="000000"/>
                <w:sz w:val="24"/>
              </w:rPr>
            </w:pPr>
            <w:r w:rsidRPr="00C1648E">
              <w:rPr>
                <w:color w:val="000000"/>
                <w:sz w:val="24"/>
              </w:rPr>
              <w:t>金融衍生品投资</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5</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买入返售金融资产</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其中：买断式回购的买入返售</w:t>
            </w:r>
            <w:r w:rsidRPr="00C1648E">
              <w:rPr>
                <w:color w:val="000000"/>
                <w:sz w:val="24"/>
              </w:rPr>
              <w:lastRenderedPageBreak/>
              <w:t>金融资产</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lastRenderedPageBreak/>
              <w:t>-</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6</w:t>
            </w:r>
          </w:p>
        </w:tc>
        <w:tc>
          <w:tcPr>
            <w:tcW w:w="3357" w:type="dxa"/>
            <w:vAlign w:val="center"/>
          </w:tcPr>
          <w:p w:rsidR="00A62673" w:rsidRPr="00C1648E" w:rsidRDefault="00A62673" w:rsidP="006B315F">
            <w:pPr>
              <w:spacing w:before="29" w:line="360" w:lineRule="auto"/>
              <w:ind w:left="17"/>
              <w:jc w:val="left"/>
              <w:rPr>
                <w:sz w:val="24"/>
              </w:rPr>
            </w:pPr>
            <w:r w:rsidRPr="00C1648E">
              <w:rPr>
                <w:color w:val="000000"/>
                <w:sz w:val="24"/>
              </w:rPr>
              <w:t>银行存款和结算备付金合计</w:t>
            </w:r>
          </w:p>
        </w:tc>
        <w:tc>
          <w:tcPr>
            <w:tcW w:w="2977"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1,233,077,416.64</w:t>
            </w:r>
          </w:p>
        </w:tc>
        <w:tc>
          <w:tcPr>
            <w:tcW w:w="1843" w:type="dxa"/>
            <w:vAlign w:val="center"/>
          </w:tcPr>
          <w:p w:rsidR="00A62673" w:rsidRPr="00C1648E" w:rsidRDefault="00A62673" w:rsidP="006B315F">
            <w:pPr>
              <w:spacing w:before="29" w:line="360" w:lineRule="auto"/>
              <w:ind w:left="17"/>
              <w:jc w:val="right"/>
              <w:rPr>
                <w:color w:val="000000"/>
                <w:sz w:val="24"/>
              </w:rPr>
            </w:pPr>
            <w:r w:rsidRPr="00C1648E">
              <w:rPr>
                <w:color w:val="000000"/>
                <w:sz w:val="24"/>
              </w:rPr>
              <w:t>6.81</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7</w:t>
            </w:r>
          </w:p>
        </w:tc>
        <w:tc>
          <w:tcPr>
            <w:tcW w:w="3357" w:type="dxa"/>
            <w:vAlign w:val="center"/>
          </w:tcPr>
          <w:p w:rsidR="00A62673" w:rsidRPr="00C1648E" w:rsidRDefault="00A62673" w:rsidP="006B315F">
            <w:pPr>
              <w:jc w:val="left"/>
              <w:rPr>
                <w:sz w:val="24"/>
              </w:rPr>
            </w:pPr>
            <w:r w:rsidRPr="00C1648E">
              <w:rPr>
                <w:color w:val="000000"/>
                <w:sz w:val="24"/>
              </w:rPr>
              <w:t>其他资产</w:t>
            </w:r>
          </w:p>
        </w:tc>
        <w:tc>
          <w:tcPr>
            <w:tcW w:w="2977" w:type="dxa"/>
            <w:vAlign w:val="center"/>
          </w:tcPr>
          <w:p w:rsidR="00A62673" w:rsidRPr="00C1648E" w:rsidRDefault="00A62673" w:rsidP="006B315F">
            <w:pPr>
              <w:jc w:val="right"/>
              <w:rPr>
                <w:color w:val="000000"/>
                <w:sz w:val="24"/>
              </w:rPr>
            </w:pPr>
            <w:r w:rsidRPr="00C1648E">
              <w:rPr>
                <w:color w:val="000000"/>
                <w:sz w:val="24"/>
              </w:rPr>
              <w:t>55,316,236.13</w:t>
            </w:r>
          </w:p>
        </w:tc>
        <w:tc>
          <w:tcPr>
            <w:tcW w:w="1843" w:type="dxa"/>
            <w:vAlign w:val="center"/>
          </w:tcPr>
          <w:p w:rsidR="00A62673" w:rsidRPr="00C1648E" w:rsidRDefault="00A62673" w:rsidP="006B315F">
            <w:pPr>
              <w:jc w:val="right"/>
              <w:rPr>
                <w:color w:val="000000"/>
                <w:sz w:val="24"/>
              </w:rPr>
            </w:pPr>
            <w:r w:rsidRPr="00C1648E">
              <w:rPr>
                <w:color w:val="000000"/>
                <w:sz w:val="24"/>
              </w:rPr>
              <w:t>0.31</w:t>
            </w:r>
          </w:p>
        </w:tc>
      </w:tr>
      <w:tr w:rsidR="00A62673" w:rsidRPr="00264E55" w:rsidTr="006B315F">
        <w:trPr>
          <w:jc w:val="center"/>
        </w:trPr>
        <w:tc>
          <w:tcPr>
            <w:tcW w:w="720" w:type="dxa"/>
            <w:vAlign w:val="center"/>
          </w:tcPr>
          <w:p w:rsidR="00A62673" w:rsidRPr="00C1648E" w:rsidRDefault="00A62673" w:rsidP="006B315F">
            <w:pPr>
              <w:spacing w:before="29" w:line="360" w:lineRule="auto"/>
              <w:ind w:left="17"/>
              <w:jc w:val="center"/>
              <w:rPr>
                <w:color w:val="000000"/>
                <w:sz w:val="24"/>
              </w:rPr>
            </w:pPr>
            <w:r w:rsidRPr="00C1648E">
              <w:rPr>
                <w:color w:val="000000"/>
                <w:sz w:val="24"/>
              </w:rPr>
              <w:t>8</w:t>
            </w:r>
          </w:p>
        </w:tc>
        <w:tc>
          <w:tcPr>
            <w:tcW w:w="3357" w:type="dxa"/>
            <w:vAlign w:val="center"/>
          </w:tcPr>
          <w:p w:rsidR="00A62673" w:rsidRPr="00C1648E" w:rsidRDefault="00A62673" w:rsidP="006B315F">
            <w:pPr>
              <w:jc w:val="left"/>
              <w:rPr>
                <w:sz w:val="24"/>
              </w:rPr>
            </w:pPr>
            <w:r w:rsidRPr="00C1648E">
              <w:rPr>
                <w:color w:val="000000"/>
                <w:sz w:val="24"/>
              </w:rPr>
              <w:t>合计</w:t>
            </w:r>
          </w:p>
        </w:tc>
        <w:tc>
          <w:tcPr>
            <w:tcW w:w="2977" w:type="dxa"/>
            <w:vAlign w:val="center"/>
          </w:tcPr>
          <w:p w:rsidR="00A62673" w:rsidRPr="00C1648E" w:rsidRDefault="00A62673" w:rsidP="006B315F">
            <w:pPr>
              <w:jc w:val="right"/>
              <w:rPr>
                <w:color w:val="000000"/>
                <w:sz w:val="24"/>
              </w:rPr>
            </w:pPr>
            <w:r w:rsidRPr="00C1648E">
              <w:rPr>
                <w:color w:val="000000"/>
                <w:sz w:val="24"/>
              </w:rPr>
              <w:t>18,115,993,244.84</w:t>
            </w:r>
          </w:p>
        </w:tc>
        <w:tc>
          <w:tcPr>
            <w:tcW w:w="1843" w:type="dxa"/>
            <w:vAlign w:val="center"/>
          </w:tcPr>
          <w:p w:rsidR="00A62673" w:rsidRPr="00C1648E" w:rsidRDefault="00A62673" w:rsidP="006B315F">
            <w:pPr>
              <w:jc w:val="right"/>
              <w:rPr>
                <w:color w:val="000000"/>
                <w:sz w:val="24"/>
              </w:rPr>
            </w:pPr>
            <w:r w:rsidRPr="00C1648E">
              <w:rPr>
                <w:color w:val="000000"/>
                <w:sz w:val="24"/>
              </w:rPr>
              <w:t>100.00</w:t>
            </w:r>
          </w:p>
        </w:tc>
      </w:tr>
    </w:tbl>
    <w:p w:rsidR="008624F9" w:rsidRDefault="008624F9" w:rsidP="008624F9">
      <w:pPr>
        <w:autoSpaceDE w:val="0"/>
        <w:autoSpaceDN w:val="0"/>
        <w:adjustRightInd w:val="0"/>
        <w:spacing w:line="360" w:lineRule="auto"/>
        <w:jc w:val="left"/>
        <w:rPr>
          <w:rFonts w:eastAsiaTheme="minorEastAsia"/>
          <w:b/>
          <w:color w:val="000000" w:themeColor="text1"/>
          <w:kern w:val="0"/>
          <w:sz w:val="24"/>
        </w:rPr>
      </w:pPr>
      <w:r w:rsidRPr="00105C87">
        <w:rPr>
          <w:rFonts w:eastAsiaTheme="minorEastAsia"/>
          <w:b/>
          <w:color w:val="000000" w:themeColor="text1"/>
          <w:kern w:val="0"/>
          <w:sz w:val="24"/>
        </w:rPr>
        <w:t xml:space="preserve">5.2 </w:t>
      </w:r>
      <w:r w:rsidRPr="00105C87">
        <w:rPr>
          <w:rFonts w:eastAsiaTheme="minorEastAsia"/>
          <w:b/>
          <w:color w:val="000000" w:themeColor="text1"/>
          <w:kern w:val="0"/>
          <w:sz w:val="24"/>
        </w:rPr>
        <w:t>报告期末按行业分类的股票投资组合</w:t>
      </w:r>
    </w:p>
    <w:p w:rsidR="008D2265" w:rsidRPr="008D2265" w:rsidRDefault="008D2265" w:rsidP="008624F9">
      <w:pPr>
        <w:autoSpaceDE w:val="0"/>
        <w:autoSpaceDN w:val="0"/>
        <w:adjustRightInd w:val="0"/>
        <w:spacing w:line="360" w:lineRule="auto"/>
        <w:jc w:val="left"/>
        <w:rPr>
          <w:rFonts w:eastAsiaTheme="minorEastAsia"/>
          <w:b/>
          <w:color w:val="000000" w:themeColor="text1"/>
          <w:kern w:val="0"/>
          <w:sz w:val="24"/>
        </w:rPr>
      </w:pPr>
      <w:r>
        <w:rPr>
          <w:rFonts w:eastAsiaTheme="minorEastAsia" w:hint="eastAsia"/>
          <w:b/>
          <w:color w:val="000000" w:themeColor="text1"/>
          <w:kern w:val="0"/>
          <w:sz w:val="24"/>
        </w:rPr>
        <w:t>5.2.1</w:t>
      </w:r>
      <w:r w:rsidRPr="008D2265">
        <w:rPr>
          <w:rFonts w:eastAsiaTheme="minorEastAsia" w:hint="eastAsia"/>
          <w:b/>
          <w:color w:val="000000" w:themeColor="text1"/>
          <w:kern w:val="0"/>
          <w:sz w:val="24"/>
        </w:rPr>
        <w:t>报告期末按行业分类的境内股票投资组合</w:t>
      </w:r>
    </w:p>
    <w:p w:rsidR="008624F9" w:rsidRPr="00105C87" w:rsidRDefault="008624F9" w:rsidP="008624F9">
      <w:pPr>
        <w:autoSpaceDE w:val="0"/>
        <w:autoSpaceDN w:val="0"/>
        <w:adjustRightInd w:val="0"/>
        <w:spacing w:line="360" w:lineRule="auto"/>
        <w:jc w:val="left"/>
        <w:rPr>
          <w:rFonts w:eastAsiaTheme="minorEastAsia"/>
          <w:b/>
          <w:color w:val="000000" w:themeColor="text1"/>
          <w:kern w:val="0"/>
          <w:sz w:val="24"/>
        </w:rPr>
      </w:pPr>
      <w:smartTag w:uri="urn:schemas-microsoft-com:office:smarttags" w:element="chsdate">
        <w:smartTagPr>
          <w:attr w:name="IsROCDate" w:val="False"/>
          <w:attr w:name="IsLunarDate" w:val="False"/>
          <w:attr w:name="Day" w:val="30"/>
          <w:attr w:name="Month" w:val="12"/>
          <w:attr w:name="Year" w:val="1899"/>
        </w:smartTagPr>
        <w:r w:rsidRPr="00105C87">
          <w:rPr>
            <w:rFonts w:eastAsiaTheme="minorEastAsia"/>
            <w:b/>
            <w:color w:val="000000" w:themeColor="text1"/>
            <w:kern w:val="0"/>
            <w:sz w:val="24"/>
          </w:rPr>
          <w:t>5.2.1</w:t>
        </w:r>
        <w:r w:rsidR="008D2265">
          <w:rPr>
            <w:rFonts w:eastAsiaTheme="minorEastAsia"/>
            <w:b/>
            <w:color w:val="000000" w:themeColor="text1"/>
            <w:kern w:val="0"/>
            <w:sz w:val="24"/>
          </w:rPr>
          <w:t>.1</w:t>
        </w:r>
      </w:smartTag>
      <w:r w:rsidRPr="00105C87">
        <w:rPr>
          <w:rFonts w:eastAsiaTheme="minorEastAsia"/>
          <w:b/>
          <w:color w:val="000000" w:themeColor="text1"/>
          <w:kern w:val="0"/>
          <w:sz w:val="24"/>
        </w:rPr>
        <w:t>积极投资按行业分类的股票投资组合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624F9" w:rsidRPr="00105C87" w:rsidTr="002C457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占基金资产净值比例（％）</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2,115,000.00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0.01</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2,137,061,486.76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11.85</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0.01</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134,437,326.68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0.75</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1,469,142.25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0.01</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968,904,104.72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5.37</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5,568,790.00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0.03</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517C2">
            <w:pPr>
              <w:adjustRightInd w:val="0"/>
              <w:snapToGrid w:val="0"/>
              <w:spacing w:line="400" w:lineRule="exact"/>
              <w:jc w:val="left"/>
              <w:rPr>
                <w:rFonts w:eastAsiaTheme="minorEastAsia"/>
                <w:color w:val="000000" w:themeColor="text1"/>
                <w:sz w:val="24"/>
              </w:rPr>
            </w:pPr>
            <w:r w:rsidRPr="00105C87">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3,251,695,090.81</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18.03</w:t>
            </w:r>
          </w:p>
        </w:tc>
      </w:tr>
    </w:tbl>
    <w:p w:rsidR="008624F9" w:rsidRPr="00105C87" w:rsidRDefault="008624F9" w:rsidP="008624F9">
      <w:pPr>
        <w:autoSpaceDE w:val="0"/>
        <w:autoSpaceDN w:val="0"/>
        <w:adjustRightInd w:val="0"/>
        <w:spacing w:line="360" w:lineRule="auto"/>
        <w:jc w:val="left"/>
        <w:rPr>
          <w:rFonts w:eastAsiaTheme="minorEastAsia"/>
          <w:b/>
          <w:color w:val="000000" w:themeColor="text1"/>
          <w:kern w:val="0"/>
          <w:sz w:val="24"/>
        </w:rPr>
      </w:pPr>
      <w:r w:rsidRPr="00105C87">
        <w:rPr>
          <w:rFonts w:eastAsiaTheme="minorEastAsia"/>
          <w:b/>
          <w:color w:val="000000" w:themeColor="text1"/>
          <w:kern w:val="0"/>
          <w:sz w:val="24"/>
        </w:rPr>
        <w:t>5.2.</w:t>
      </w:r>
      <w:r w:rsidR="008D2265">
        <w:rPr>
          <w:rFonts w:eastAsiaTheme="minorEastAsia"/>
          <w:b/>
          <w:color w:val="000000" w:themeColor="text1"/>
          <w:kern w:val="0"/>
          <w:sz w:val="24"/>
        </w:rPr>
        <w:t>1.</w:t>
      </w:r>
      <w:r w:rsidRPr="00105C87">
        <w:rPr>
          <w:rFonts w:eastAsiaTheme="minorEastAsia"/>
          <w:b/>
          <w:color w:val="000000" w:themeColor="text1"/>
          <w:kern w:val="0"/>
          <w:sz w:val="24"/>
        </w:rPr>
        <w:t>2</w:t>
      </w:r>
      <w:r w:rsidRPr="00105C87">
        <w:rPr>
          <w:rFonts w:eastAsiaTheme="minorEastAsia"/>
          <w:b/>
          <w:color w:val="000000" w:themeColor="text1"/>
          <w:kern w:val="0"/>
          <w:sz w:val="24"/>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624F9" w:rsidRPr="00105C87" w:rsidTr="002C457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lastRenderedPageBreak/>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占基金资产净值比例（％）</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utoSpaceDE w:val="0"/>
              <w:autoSpaceDN w:val="0"/>
              <w:adjustRightInd w:val="0"/>
              <w:spacing w:before="29" w:line="360" w:lineRule="auto"/>
              <w:ind w:left="15"/>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509,283,986.96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2.82</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5,785,504,777.45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32.08</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709,387,189.44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3.93</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142,254,858.54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0.79</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5,258,893,042.73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29.16</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765,675,196.00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4.25</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368,491,450.14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2.04</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36,414,000.00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0.20</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r w:rsidRPr="00105C87">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w:t>
            </w:r>
          </w:p>
        </w:tc>
      </w:tr>
      <w:tr w:rsidR="008624F9" w:rsidRPr="00105C87" w:rsidTr="002C457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624F9" w:rsidRPr="00105C87" w:rsidRDefault="008624F9" w:rsidP="002C4578">
            <w:pPr>
              <w:adjustRightInd w:val="0"/>
              <w:snapToGrid w:val="0"/>
              <w:spacing w:line="400" w:lineRule="exact"/>
              <w:rPr>
                <w:rFonts w:eastAsiaTheme="minorEastAsia"/>
                <w:color w:val="000000" w:themeColor="text1"/>
                <w:sz w:val="24"/>
              </w:rPr>
            </w:pPr>
            <w:r w:rsidRPr="00105C87">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13,575,904,501.26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624F9" w:rsidRPr="00105C87" w:rsidRDefault="008624F9" w:rsidP="002C4578">
            <w:pPr>
              <w:jc w:val="right"/>
              <w:rPr>
                <w:rFonts w:eastAsiaTheme="minorEastAsia"/>
                <w:color w:val="000000" w:themeColor="text1"/>
                <w:sz w:val="24"/>
              </w:rPr>
            </w:pPr>
            <w:r w:rsidRPr="00105C87">
              <w:rPr>
                <w:rFonts w:eastAsiaTheme="minorEastAsia"/>
                <w:color w:val="000000" w:themeColor="text1"/>
                <w:sz w:val="24"/>
              </w:rPr>
              <w:t>75.28</w:t>
            </w:r>
          </w:p>
        </w:tc>
      </w:tr>
    </w:tbl>
    <w:p w:rsidR="00774C7D" w:rsidRPr="00EC5CE0" w:rsidRDefault="00774C7D" w:rsidP="00774C7D">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5.3</w:t>
      </w:r>
      <w:r w:rsidRPr="007F456A">
        <w:rPr>
          <w:rFonts w:ascii="宋体" w:hAnsi="宋体" w:cs="Arial" w:hint="eastAsia"/>
          <w:b/>
          <w:color w:val="000000"/>
          <w:kern w:val="0"/>
          <w:sz w:val="24"/>
        </w:rPr>
        <w:t>报告期末按公允价值占基金资产净值比例大小排序的股票投资明细</w:t>
      </w:r>
    </w:p>
    <w:p w:rsidR="00774C7D" w:rsidRPr="00045BEC" w:rsidRDefault="00774C7D" w:rsidP="00774C7D">
      <w:pPr>
        <w:spacing w:line="360" w:lineRule="auto"/>
        <w:rPr>
          <w:rFonts w:ascii="宋体"/>
          <w:b/>
          <w:sz w:val="24"/>
        </w:rPr>
      </w:pPr>
      <w:r w:rsidRPr="00045BEC">
        <w:rPr>
          <w:rFonts w:ascii="宋体" w:hAnsi="宋体" w:cs="Arial"/>
          <w:b/>
          <w:color w:val="000000"/>
          <w:kern w:val="0"/>
          <w:sz w:val="24"/>
        </w:rPr>
        <w:t>5.3.1</w:t>
      </w:r>
      <w:r w:rsidRPr="00045BEC">
        <w:rPr>
          <w:rFonts w:ascii="宋体" w:hAnsi="宋体" w:cs="Arial" w:hint="eastAsia"/>
          <w:b/>
          <w:color w:val="000000"/>
          <w:kern w:val="0"/>
          <w:sz w:val="24"/>
        </w:rPr>
        <w:t>期末</w:t>
      </w:r>
      <w:r w:rsidRPr="00045BEC">
        <w:rPr>
          <w:rFonts w:ascii="宋体" w:hAnsi="宋体" w:hint="eastAsia"/>
          <w:b/>
          <w:sz w:val="24"/>
        </w:rPr>
        <w:t>指数投资按公允价值占基金资产净值比例大小排序的前十名股票投资明细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559"/>
        <w:gridCol w:w="1843"/>
        <w:gridCol w:w="2268"/>
        <w:gridCol w:w="1134"/>
      </w:tblGrid>
      <w:tr w:rsidR="00774C7D" w:rsidRPr="00EC5CE0" w:rsidTr="002C4578">
        <w:tc>
          <w:tcPr>
            <w:tcW w:w="817"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序号</w:t>
            </w:r>
          </w:p>
        </w:tc>
        <w:tc>
          <w:tcPr>
            <w:tcW w:w="1276"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股票代码</w:t>
            </w:r>
          </w:p>
        </w:tc>
        <w:tc>
          <w:tcPr>
            <w:tcW w:w="1559"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股票名称</w:t>
            </w:r>
          </w:p>
        </w:tc>
        <w:tc>
          <w:tcPr>
            <w:tcW w:w="1843"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数量（股）</w:t>
            </w:r>
          </w:p>
        </w:tc>
        <w:tc>
          <w:tcPr>
            <w:tcW w:w="2268" w:type="dxa"/>
            <w:vAlign w:val="center"/>
          </w:tcPr>
          <w:p w:rsidR="00774C7D" w:rsidRPr="00C1648E" w:rsidRDefault="00774C7D" w:rsidP="002C4578">
            <w:pPr>
              <w:autoSpaceDE w:val="0"/>
              <w:autoSpaceDN w:val="0"/>
              <w:adjustRightInd w:val="0"/>
              <w:spacing w:before="29" w:line="360" w:lineRule="auto"/>
              <w:ind w:left="17"/>
              <w:jc w:val="center"/>
              <w:rPr>
                <w:color w:val="000000"/>
                <w:sz w:val="24"/>
              </w:rPr>
            </w:pPr>
            <w:r w:rsidRPr="00C1648E">
              <w:rPr>
                <w:color w:val="000000"/>
                <w:sz w:val="24"/>
              </w:rPr>
              <w:t>公允价值（元）</w:t>
            </w:r>
          </w:p>
        </w:tc>
        <w:tc>
          <w:tcPr>
            <w:tcW w:w="1134"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占基金资产净值比例</w:t>
            </w:r>
            <w:r w:rsidRPr="00C1648E">
              <w:rPr>
                <w:color w:val="000000"/>
                <w:sz w:val="24"/>
              </w:rPr>
              <w:t>(</w:t>
            </w:r>
            <w:r w:rsidRPr="00C1648E">
              <w:rPr>
                <w:color w:val="000000"/>
                <w:sz w:val="24"/>
              </w:rPr>
              <w:t>％</w:t>
            </w:r>
            <w:r w:rsidRPr="00C1648E">
              <w:rPr>
                <w:color w:val="000000"/>
                <w:sz w:val="24"/>
              </w:rPr>
              <w:t>)</w:t>
            </w:r>
          </w:p>
        </w:tc>
      </w:tr>
      <w:tr w:rsidR="00442D64">
        <w:tc>
          <w:tcPr>
            <w:tcW w:w="817" w:type="dxa"/>
            <w:vAlign w:val="center"/>
          </w:tcPr>
          <w:p w:rsidR="00442D64" w:rsidRDefault="004B0E2D">
            <w:pPr>
              <w:jc w:val="center"/>
            </w:pPr>
            <w:r>
              <w:rPr>
                <w:color w:val="000000"/>
                <w:sz w:val="24"/>
              </w:rPr>
              <w:t>1</w:t>
            </w:r>
          </w:p>
        </w:tc>
        <w:tc>
          <w:tcPr>
            <w:tcW w:w="1276" w:type="dxa"/>
            <w:vAlign w:val="center"/>
          </w:tcPr>
          <w:p w:rsidR="00442D64" w:rsidRDefault="004B0E2D">
            <w:pPr>
              <w:jc w:val="center"/>
            </w:pPr>
            <w:r>
              <w:rPr>
                <w:color w:val="000000"/>
                <w:sz w:val="24"/>
              </w:rPr>
              <w:t>601318</w:t>
            </w:r>
          </w:p>
        </w:tc>
        <w:tc>
          <w:tcPr>
            <w:tcW w:w="1559" w:type="dxa"/>
            <w:vAlign w:val="center"/>
          </w:tcPr>
          <w:p w:rsidR="00442D64" w:rsidRDefault="004B0E2D">
            <w:pPr>
              <w:jc w:val="center"/>
            </w:pPr>
            <w:r>
              <w:rPr>
                <w:color w:val="000000"/>
                <w:sz w:val="24"/>
              </w:rPr>
              <w:t>中国平安</w:t>
            </w:r>
          </w:p>
        </w:tc>
        <w:tc>
          <w:tcPr>
            <w:tcW w:w="1843" w:type="dxa"/>
            <w:vAlign w:val="center"/>
          </w:tcPr>
          <w:p w:rsidR="00442D64" w:rsidRDefault="004B0E2D">
            <w:pPr>
              <w:jc w:val="right"/>
            </w:pPr>
            <w:r>
              <w:rPr>
                <w:color w:val="000000"/>
                <w:sz w:val="24"/>
              </w:rPr>
              <w:t>24,178,931</w:t>
            </w:r>
          </w:p>
        </w:tc>
        <w:tc>
          <w:tcPr>
            <w:tcW w:w="2268" w:type="dxa"/>
            <w:vAlign w:val="center"/>
          </w:tcPr>
          <w:p w:rsidR="00442D64" w:rsidRDefault="004B0E2D">
            <w:pPr>
              <w:jc w:val="right"/>
            </w:pPr>
            <w:r>
              <w:rPr>
                <w:color w:val="000000"/>
                <w:sz w:val="24"/>
              </w:rPr>
              <w:t>2,104,534,154.24</w:t>
            </w:r>
          </w:p>
        </w:tc>
        <w:tc>
          <w:tcPr>
            <w:tcW w:w="1134" w:type="dxa"/>
            <w:vAlign w:val="center"/>
          </w:tcPr>
          <w:p w:rsidR="00442D64" w:rsidRDefault="004B0E2D">
            <w:pPr>
              <w:jc w:val="right"/>
            </w:pPr>
            <w:r>
              <w:rPr>
                <w:color w:val="000000"/>
                <w:sz w:val="24"/>
              </w:rPr>
              <w:t>11.67</w:t>
            </w:r>
          </w:p>
        </w:tc>
      </w:tr>
      <w:tr w:rsidR="00442D64">
        <w:tc>
          <w:tcPr>
            <w:tcW w:w="817" w:type="dxa"/>
            <w:vAlign w:val="center"/>
          </w:tcPr>
          <w:p w:rsidR="00442D64" w:rsidRDefault="004B0E2D">
            <w:pPr>
              <w:jc w:val="center"/>
            </w:pPr>
            <w:r>
              <w:rPr>
                <w:color w:val="000000"/>
                <w:sz w:val="24"/>
              </w:rPr>
              <w:t>2</w:t>
            </w:r>
          </w:p>
        </w:tc>
        <w:tc>
          <w:tcPr>
            <w:tcW w:w="1276" w:type="dxa"/>
            <w:vAlign w:val="center"/>
          </w:tcPr>
          <w:p w:rsidR="00442D64" w:rsidRDefault="004B0E2D">
            <w:pPr>
              <w:jc w:val="center"/>
            </w:pPr>
            <w:r>
              <w:rPr>
                <w:color w:val="000000"/>
                <w:sz w:val="24"/>
              </w:rPr>
              <w:t>600519</w:t>
            </w:r>
          </w:p>
        </w:tc>
        <w:tc>
          <w:tcPr>
            <w:tcW w:w="1559" w:type="dxa"/>
            <w:vAlign w:val="center"/>
          </w:tcPr>
          <w:p w:rsidR="00442D64" w:rsidRDefault="004B0E2D">
            <w:pPr>
              <w:jc w:val="center"/>
            </w:pPr>
            <w:r>
              <w:rPr>
                <w:color w:val="000000"/>
                <w:sz w:val="24"/>
              </w:rPr>
              <w:t>贵州茅台</w:t>
            </w:r>
          </w:p>
        </w:tc>
        <w:tc>
          <w:tcPr>
            <w:tcW w:w="1843" w:type="dxa"/>
            <w:vAlign w:val="center"/>
          </w:tcPr>
          <w:p w:rsidR="00442D64" w:rsidRDefault="004B0E2D">
            <w:pPr>
              <w:jc w:val="right"/>
            </w:pPr>
            <w:r>
              <w:rPr>
                <w:color w:val="000000"/>
                <w:sz w:val="24"/>
              </w:rPr>
              <w:t>1,607,461</w:t>
            </w:r>
          </w:p>
        </w:tc>
        <w:tc>
          <w:tcPr>
            <w:tcW w:w="2268" w:type="dxa"/>
            <w:vAlign w:val="center"/>
          </w:tcPr>
          <w:p w:rsidR="00442D64" w:rsidRDefault="004B0E2D">
            <w:pPr>
              <w:jc w:val="right"/>
            </w:pPr>
            <w:r>
              <w:rPr>
                <w:color w:val="000000"/>
                <w:sz w:val="24"/>
              </w:rPr>
              <w:t>1,848,580,150.00</w:t>
            </w:r>
          </w:p>
        </w:tc>
        <w:tc>
          <w:tcPr>
            <w:tcW w:w="1134" w:type="dxa"/>
            <w:vAlign w:val="center"/>
          </w:tcPr>
          <w:p w:rsidR="00442D64" w:rsidRDefault="004B0E2D">
            <w:pPr>
              <w:jc w:val="right"/>
            </w:pPr>
            <w:r>
              <w:rPr>
                <w:color w:val="000000"/>
                <w:sz w:val="24"/>
              </w:rPr>
              <w:t>10.25</w:t>
            </w:r>
          </w:p>
        </w:tc>
      </w:tr>
      <w:tr w:rsidR="00442D64">
        <w:tc>
          <w:tcPr>
            <w:tcW w:w="817" w:type="dxa"/>
            <w:vAlign w:val="center"/>
          </w:tcPr>
          <w:p w:rsidR="00442D64" w:rsidRDefault="004B0E2D">
            <w:pPr>
              <w:jc w:val="center"/>
            </w:pPr>
            <w:r>
              <w:rPr>
                <w:color w:val="000000"/>
                <w:sz w:val="24"/>
              </w:rPr>
              <w:lastRenderedPageBreak/>
              <w:t>3</w:t>
            </w:r>
          </w:p>
        </w:tc>
        <w:tc>
          <w:tcPr>
            <w:tcW w:w="1276" w:type="dxa"/>
            <w:vAlign w:val="center"/>
          </w:tcPr>
          <w:p w:rsidR="00442D64" w:rsidRDefault="004B0E2D">
            <w:pPr>
              <w:jc w:val="center"/>
            </w:pPr>
            <w:r>
              <w:rPr>
                <w:color w:val="000000"/>
                <w:sz w:val="24"/>
              </w:rPr>
              <w:t>600887</w:t>
            </w:r>
          </w:p>
        </w:tc>
        <w:tc>
          <w:tcPr>
            <w:tcW w:w="1559" w:type="dxa"/>
            <w:vAlign w:val="center"/>
          </w:tcPr>
          <w:p w:rsidR="00442D64" w:rsidRDefault="004B0E2D">
            <w:pPr>
              <w:jc w:val="center"/>
            </w:pPr>
            <w:r>
              <w:rPr>
                <w:color w:val="000000"/>
                <w:sz w:val="24"/>
              </w:rPr>
              <w:t>伊利股份</w:t>
            </w:r>
          </w:p>
        </w:tc>
        <w:tc>
          <w:tcPr>
            <w:tcW w:w="1843" w:type="dxa"/>
            <w:vAlign w:val="center"/>
          </w:tcPr>
          <w:p w:rsidR="00442D64" w:rsidRDefault="004B0E2D">
            <w:pPr>
              <w:jc w:val="right"/>
            </w:pPr>
            <w:r>
              <w:rPr>
                <w:color w:val="000000"/>
                <w:sz w:val="24"/>
              </w:rPr>
              <w:t>57,909,711</w:t>
            </w:r>
          </w:p>
        </w:tc>
        <w:tc>
          <w:tcPr>
            <w:tcW w:w="2268" w:type="dxa"/>
            <w:vAlign w:val="center"/>
          </w:tcPr>
          <w:p w:rsidR="00442D64" w:rsidRDefault="004B0E2D">
            <w:pPr>
              <w:jc w:val="right"/>
            </w:pPr>
            <w:r>
              <w:rPr>
                <w:color w:val="000000"/>
                <w:sz w:val="24"/>
              </w:rPr>
              <w:t>1,651,584,957.72</w:t>
            </w:r>
          </w:p>
        </w:tc>
        <w:tc>
          <w:tcPr>
            <w:tcW w:w="1134" w:type="dxa"/>
            <w:vAlign w:val="center"/>
          </w:tcPr>
          <w:p w:rsidR="00442D64" w:rsidRDefault="004B0E2D">
            <w:pPr>
              <w:jc w:val="right"/>
            </w:pPr>
            <w:r>
              <w:rPr>
                <w:color w:val="000000"/>
                <w:sz w:val="24"/>
              </w:rPr>
              <w:t>9.16</w:t>
            </w:r>
          </w:p>
        </w:tc>
      </w:tr>
      <w:tr w:rsidR="00442D64">
        <w:tc>
          <w:tcPr>
            <w:tcW w:w="817" w:type="dxa"/>
            <w:vAlign w:val="center"/>
          </w:tcPr>
          <w:p w:rsidR="00442D64" w:rsidRDefault="004B0E2D">
            <w:pPr>
              <w:jc w:val="center"/>
            </w:pPr>
            <w:r>
              <w:rPr>
                <w:color w:val="000000"/>
                <w:sz w:val="24"/>
              </w:rPr>
              <w:t>4</w:t>
            </w:r>
          </w:p>
        </w:tc>
        <w:tc>
          <w:tcPr>
            <w:tcW w:w="1276" w:type="dxa"/>
            <w:vAlign w:val="center"/>
          </w:tcPr>
          <w:p w:rsidR="00442D64" w:rsidRDefault="004B0E2D">
            <w:pPr>
              <w:jc w:val="center"/>
            </w:pPr>
            <w:r>
              <w:rPr>
                <w:color w:val="000000"/>
                <w:sz w:val="24"/>
              </w:rPr>
              <w:t>600036</w:t>
            </w:r>
          </w:p>
        </w:tc>
        <w:tc>
          <w:tcPr>
            <w:tcW w:w="1559" w:type="dxa"/>
            <w:vAlign w:val="center"/>
          </w:tcPr>
          <w:p w:rsidR="00442D64" w:rsidRDefault="004B0E2D">
            <w:pPr>
              <w:jc w:val="center"/>
            </w:pPr>
            <w:r>
              <w:rPr>
                <w:color w:val="000000"/>
                <w:sz w:val="24"/>
              </w:rPr>
              <w:t>招商银行</w:t>
            </w:r>
          </w:p>
        </w:tc>
        <w:tc>
          <w:tcPr>
            <w:tcW w:w="1843" w:type="dxa"/>
            <w:vAlign w:val="center"/>
          </w:tcPr>
          <w:p w:rsidR="00442D64" w:rsidRDefault="004B0E2D">
            <w:pPr>
              <w:jc w:val="right"/>
            </w:pPr>
            <w:r>
              <w:rPr>
                <w:color w:val="000000"/>
                <w:sz w:val="24"/>
              </w:rPr>
              <w:t>36,402,404</w:t>
            </w:r>
          </w:p>
        </w:tc>
        <w:tc>
          <w:tcPr>
            <w:tcW w:w="2268" w:type="dxa"/>
            <w:vAlign w:val="center"/>
          </w:tcPr>
          <w:p w:rsidR="00442D64" w:rsidRDefault="004B0E2D">
            <w:pPr>
              <w:jc w:val="right"/>
            </w:pPr>
            <w:r>
              <w:rPr>
                <w:color w:val="000000"/>
                <w:sz w:val="24"/>
              </w:rPr>
              <w:t>1,264,983,539.00</w:t>
            </w:r>
          </w:p>
        </w:tc>
        <w:tc>
          <w:tcPr>
            <w:tcW w:w="1134" w:type="dxa"/>
            <w:vAlign w:val="center"/>
          </w:tcPr>
          <w:p w:rsidR="00442D64" w:rsidRDefault="004B0E2D">
            <w:pPr>
              <w:jc w:val="right"/>
            </w:pPr>
            <w:r>
              <w:rPr>
                <w:color w:val="000000"/>
                <w:sz w:val="24"/>
              </w:rPr>
              <w:t>7.01</w:t>
            </w:r>
          </w:p>
        </w:tc>
      </w:tr>
      <w:tr w:rsidR="00442D64">
        <w:tc>
          <w:tcPr>
            <w:tcW w:w="817" w:type="dxa"/>
            <w:vAlign w:val="center"/>
          </w:tcPr>
          <w:p w:rsidR="00442D64" w:rsidRDefault="004B0E2D">
            <w:pPr>
              <w:jc w:val="center"/>
            </w:pPr>
            <w:r>
              <w:rPr>
                <w:color w:val="000000"/>
                <w:sz w:val="24"/>
              </w:rPr>
              <w:t>5</w:t>
            </w:r>
          </w:p>
        </w:tc>
        <w:tc>
          <w:tcPr>
            <w:tcW w:w="1276" w:type="dxa"/>
            <w:vAlign w:val="center"/>
          </w:tcPr>
          <w:p w:rsidR="00442D64" w:rsidRDefault="004B0E2D">
            <w:pPr>
              <w:jc w:val="center"/>
            </w:pPr>
            <w:r>
              <w:rPr>
                <w:color w:val="000000"/>
                <w:sz w:val="24"/>
              </w:rPr>
              <w:t>600276</w:t>
            </w:r>
          </w:p>
        </w:tc>
        <w:tc>
          <w:tcPr>
            <w:tcW w:w="1559" w:type="dxa"/>
            <w:vAlign w:val="center"/>
          </w:tcPr>
          <w:p w:rsidR="00442D64" w:rsidRDefault="004B0E2D">
            <w:pPr>
              <w:jc w:val="center"/>
            </w:pPr>
            <w:r>
              <w:rPr>
                <w:color w:val="000000"/>
                <w:sz w:val="24"/>
              </w:rPr>
              <w:t>恒瑞医药</w:t>
            </w:r>
          </w:p>
        </w:tc>
        <w:tc>
          <w:tcPr>
            <w:tcW w:w="1843" w:type="dxa"/>
            <w:vAlign w:val="center"/>
          </w:tcPr>
          <w:p w:rsidR="00442D64" w:rsidRDefault="004B0E2D">
            <w:pPr>
              <w:jc w:val="right"/>
            </w:pPr>
            <w:r>
              <w:rPr>
                <w:color w:val="000000"/>
                <w:sz w:val="24"/>
              </w:rPr>
              <w:t>13,875,974</w:t>
            </w:r>
          </w:p>
        </w:tc>
        <w:tc>
          <w:tcPr>
            <w:tcW w:w="2268" w:type="dxa"/>
            <w:vAlign w:val="center"/>
          </w:tcPr>
          <w:p w:rsidR="00442D64" w:rsidRDefault="004B0E2D">
            <w:pPr>
              <w:jc w:val="right"/>
            </w:pPr>
            <w:r>
              <w:rPr>
                <w:color w:val="000000"/>
                <w:sz w:val="24"/>
              </w:rPr>
              <w:t>1,119,513,582.32</w:t>
            </w:r>
          </w:p>
        </w:tc>
        <w:tc>
          <w:tcPr>
            <w:tcW w:w="1134" w:type="dxa"/>
            <w:vAlign w:val="center"/>
          </w:tcPr>
          <w:p w:rsidR="00442D64" w:rsidRDefault="004B0E2D">
            <w:pPr>
              <w:jc w:val="right"/>
            </w:pPr>
            <w:r>
              <w:rPr>
                <w:color w:val="000000"/>
                <w:sz w:val="24"/>
              </w:rPr>
              <w:t>6.21</w:t>
            </w:r>
          </w:p>
        </w:tc>
      </w:tr>
      <w:tr w:rsidR="00442D64">
        <w:tc>
          <w:tcPr>
            <w:tcW w:w="817" w:type="dxa"/>
            <w:vAlign w:val="center"/>
          </w:tcPr>
          <w:p w:rsidR="00442D64" w:rsidRDefault="004B0E2D">
            <w:pPr>
              <w:jc w:val="center"/>
            </w:pPr>
            <w:r>
              <w:rPr>
                <w:color w:val="000000"/>
                <w:sz w:val="24"/>
              </w:rPr>
              <w:t>6</w:t>
            </w:r>
          </w:p>
        </w:tc>
        <w:tc>
          <w:tcPr>
            <w:tcW w:w="1276" w:type="dxa"/>
            <w:vAlign w:val="center"/>
          </w:tcPr>
          <w:p w:rsidR="00442D64" w:rsidRDefault="004B0E2D">
            <w:pPr>
              <w:jc w:val="center"/>
            </w:pPr>
            <w:r>
              <w:rPr>
                <w:color w:val="000000"/>
                <w:sz w:val="24"/>
              </w:rPr>
              <w:t>600048</w:t>
            </w:r>
          </w:p>
        </w:tc>
        <w:tc>
          <w:tcPr>
            <w:tcW w:w="1559" w:type="dxa"/>
            <w:vAlign w:val="center"/>
          </w:tcPr>
          <w:p w:rsidR="00442D64" w:rsidRDefault="004B0E2D">
            <w:pPr>
              <w:jc w:val="center"/>
            </w:pPr>
            <w:r>
              <w:rPr>
                <w:color w:val="000000"/>
                <w:sz w:val="24"/>
              </w:rPr>
              <w:t>保利地产</w:t>
            </w:r>
          </w:p>
        </w:tc>
        <w:tc>
          <w:tcPr>
            <w:tcW w:w="1843" w:type="dxa"/>
            <w:vAlign w:val="center"/>
          </w:tcPr>
          <w:p w:rsidR="00442D64" w:rsidRDefault="004B0E2D">
            <w:pPr>
              <w:jc w:val="right"/>
            </w:pPr>
            <w:r>
              <w:rPr>
                <w:color w:val="000000"/>
                <w:sz w:val="24"/>
              </w:rPr>
              <w:t>53,543,720</w:t>
            </w:r>
          </w:p>
        </w:tc>
        <w:tc>
          <w:tcPr>
            <w:tcW w:w="2268" w:type="dxa"/>
            <w:vAlign w:val="center"/>
          </w:tcPr>
          <w:p w:rsidR="00442D64" w:rsidRDefault="004B0E2D">
            <w:pPr>
              <w:jc w:val="right"/>
            </w:pPr>
            <w:r>
              <w:rPr>
                <w:color w:val="000000"/>
                <w:sz w:val="24"/>
              </w:rPr>
              <w:t>765,675,196.00</w:t>
            </w:r>
          </w:p>
        </w:tc>
        <w:tc>
          <w:tcPr>
            <w:tcW w:w="1134" w:type="dxa"/>
            <w:vAlign w:val="center"/>
          </w:tcPr>
          <w:p w:rsidR="00442D64" w:rsidRDefault="004B0E2D">
            <w:pPr>
              <w:jc w:val="right"/>
            </w:pPr>
            <w:r>
              <w:rPr>
                <w:color w:val="000000"/>
                <w:sz w:val="24"/>
              </w:rPr>
              <w:t>4.25</w:t>
            </w:r>
          </w:p>
        </w:tc>
      </w:tr>
      <w:tr w:rsidR="00442D64">
        <w:tc>
          <w:tcPr>
            <w:tcW w:w="817" w:type="dxa"/>
            <w:vAlign w:val="center"/>
          </w:tcPr>
          <w:p w:rsidR="00442D64" w:rsidRDefault="004B0E2D">
            <w:pPr>
              <w:jc w:val="center"/>
            </w:pPr>
            <w:r>
              <w:rPr>
                <w:color w:val="000000"/>
                <w:sz w:val="24"/>
              </w:rPr>
              <w:t>7</w:t>
            </w:r>
          </w:p>
        </w:tc>
        <w:tc>
          <w:tcPr>
            <w:tcW w:w="1276" w:type="dxa"/>
            <w:vAlign w:val="center"/>
          </w:tcPr>
          <w:p w:rsidR="00442D64" w:rsidRDefault="004B0E2D">
            <w:pPr>
              <w:jc w:val="center"/>
            </w:pPr>
            <w:r>
              <w:rPr>
                <w:color w:val="000000"/>
                <w:sz w:val="24"/>
              </w:rPr>
              <w:t>601668</w:t>
            </w:r>
          </w:p>
        </w:tc>
        <w:tc>
          <w:tcPr>
            <w:tcW w:w="1559" w:type="dxa"/>
            <w:vAlign w:val="center"/>
          </w:tcPr>
          <w:p w:rsidR="00442D64" w:rsidRDefault="004B0E2D">
            <w:pPr>
              <w:jc w:val="center"/>
            </w:pPr>
            <w:r>
              <w:rPr>
                <w:color w:val="000000"/>
                <w:sz w:val="24"/>
              </w:rPr>
              <w:t>中国建筑</w:t>
            </w:r>
          </w:p>
        </w:tc>
        <w:tc>
          <w:tcPr>
            <w:tcW w:w="1843" w:type="dxa"/>
            <w:vAlign w:val="center"/>
          </w:tcPr>
          <w:p w:rsidR="00442D64" w:rsidRDefault="004B0E2D">
            <w:pPr>
              <w:jc w:val="right"/>
            </w:pPr>
            <w:r>
              <w:rPr>
                <w:color w:val="000000"/>
                <w:sz w:val="24"/>
              </w:rPr>
              <w:t>130,642,208</w:t>
            </w:r>
          </w:p>
        </w:tc>
        <w:tc>
          <w:tcPr>
            <w:tcW w:w="2268" w:type="dxa"/>
            <w:vAlign w:val="center"/>
          </w:tcPr>
          <w:p w:rsidR="00442D64" w:rsidRDefault="004B0E2D">
            <w:pPr>
              <w:jc w:val="right"/>
            </w:pPr>
            <w:r>
              <w:rPr>
                <w:color w:val="000000"/>
                <w:sz w:val="24"/>
              </w:rPr>
              <w:t>709,387,189.44</w:t>
            </w:r>
          </w:p>
        </w:tc>
        <w:tc>
          <w:tcPr>
            <w:tcW w:w="1134" w:type="dxa"/>
            <w:vAlign w:val="center"/>
          </w:tcPr>
          <w:p w:rsidR="00442D64" w:rsidRDefault="004B0E2D">
            <w:pPr>
              <w:jc w:val="right"/>
            </w:pPr>
            <w:r>
              <w:rPr>
                <w:color w:val="000000"/>
                <w:sz w:val="24"/>
              </w:rPr>
              <w:t>3.93</w:t>
            </w:r>
          </w:p>
        </w:tc>
      </w:tr>
      <w:tr w:rsidR="00442D64">
        <w:tc>
          <w:tcPr>
            <w:tcW w:w="817" w:type="dxa"/>
            <w:vAlign w:val="center"/>
          </w:tcPr>
          <w:p w:rsidR="00442D64" w:rsidRDefault="004B0E2D">
            <w:pPr>
              <w:jc w:val="center"/>
            </w:pPr>
            <w:r>
              <w:rPr>
                <w:color w:val="000000"/>
                <w:sz w:val="24"/>
              </w:rPr>
              <w:t>8</w:t>
            </w:r>
          </w:p>
        </w:tc>
        <w:tc>
          <w:tcPr>
            <w:tcW w:w="1276" w:type="dxa"/>
            <w:vAlign w:val="center"/>
          </w:tcPr>
          <w:p w:rsidR="00442D64" w:rsidRDefault="004B0E2D">
            <w:pPr>
              <w:jc w:val="center"/>
            </w:pPr>
            <w:r>
              <w:rPr>
                <w:color w:val="000000"/>
                <w:sz w:val="24"/>
              </w:rPr>
              <w:t>601166</w:t>
            </w:r>
          </w:p>
        </w:tc>
        <w:tc>
          <w:tcPr>
            <w:tcW w:w="1559" w:type="dxa"/>
            <w:vAlign w:val="center"/>
          </w:tcPr>
          <w:p w:rsidR="00442D64" w:rsidRDefault="004B0E2D">
            <w:pPr>
              <w:jc w:val="center"/>
            </w:pPr>
            <w:r>
              <w:rPr>
                <w:color w:val="000000"/>
                <w:sz w:val="24"/>
              </w:rPr>
              <w:t>兴业银行</w:t>
            </w:r>
          </w:p>
        </w:tc>
        <w:tc>
          <w:tcPr>
            <w:tcW w:w="1843" w:type="dxa"/>
            <w:vAlign w:val="center"/>
          </w:tcPr>
          <w:p w:rsidR="00442D64" w:rsidRDefault="004B0E2D">
            <w:pPr>
              <w:jc w:val="right"/>
            </w:pPr>
            <w:r>
              <w:rPr>
                <w:color w:val="000000"/>
                <w:sz w:val="24"/>
              </w:rPr>
              <w:t>38,355,834</w:t>
            </w:r>
          </w:p>
        </w:tc>
        <w:tc>
          <w:tcPr>
            <w:tcW w:w="2268" w:type="dxa"/>
            <w:vAlign w:val="center"/>
          </w:tcPr>
          <w:p w:rsidR="00442D64" w:rsidRDefault="004B0E2D">
            <w:pPr>
              <w:jc w:val="right"/>
            </w:pPr>
            <w:r>
              <w:rPr>
                <w:color w:val="000000"/>
                <w:sz w:val="24"/>
              </w:rPr>
              <w:t>672,377,770.02</w:t>
            </w:r>
          </w:p>
        </w:tc>
        <w:tc>
          <w:tcPr>
            <w:tcW w:w="1134" w:type="dxa"/>
            <w:vAlign w:val="center"/>
          </w:tcPr>
          <w:p w:rsidR="00442D64" w:rsidRDefault="004B0E2D">
            <w:pPr>
              <w:jc w:val="right"/>
            </w:pPr>
            <w:r>
              <w:rPr>
                <w:color w:val="000000"/>
                <w:sz w:val="24"/>
              </w:rPr>
              <w:t>3.73</w:t>
            </w:r>
          </w:p>
        </w:tc>
      </w:tr>
      <w:tr w:rsidR="00442D64">
        <w:tc>
          <w:tcPr>
            <w:tcW w:w="817" w:type="dxa"/>
            <w:vAlign w:val="center"/>
          </w:tcPr>
          <w:p w:rsidR="00442D64" w:rsidRDefault="004B0E2D">
            <w:pPr>
              <w:jc w:val="center"/>
            </w:pPr>
            <w:r>
              <w:rPr>
                <w:color w:val="000000"/>
                <w:sz w:val="24"/>
              </w:rPr>
              <w:t>9</w:t>
            </w:r>
          </w:p>
        </w:tc>
        <w:tc>
          <w:tcPr>
            <w:tcW w:w="1276" w:type="dxa"/>
            <w:vAlign w:val="center"/>
          </w:tcPr>
          <w:p w:rsidR="00442D64" w:rsidRDefault="004B0E2D">
            <w:pPr>
              <w:jc w:val="center"/>
            </w:pPr>
            <w:r>
              <w:rPr>
                <w:color w:val="000000"/>
                <w:sz w:val="24"/>
              </w:rPr>
              <w:t>601601</w:t>
            </w:r>
          </w:p>
        </w:tc>
        <w:tc>
          <w:tcPr>
            <w:tcW w:w="1559" w:type="dxa"/>
            <w:vAlign w:val="center"/>
          </w:tcPr>
          <w:p w:rsidR="00442D64" w:rsidRDefault="004B0E2D">
            <w:pPr>
              <w:jc w:val="center"/>
            </w:pPr>
            <w:r>
              <w:rPr>
                <w:color w:val="000000"/>
                <w:sz w:val="24"/>
              </w:rPr>
              <w:t>中国太保</w:t>
            </w:r>
          </w:p>
        </w:tc>
        <w:tc>
          <w:tcPr>
            <w:tcW w:w="1843" w:type="dxa"/>
            <w:vAlign w:val="center"/>
          </w:tcPr>
          <w:p w:rsidR="00442D64" w:rsidRDefault="004B0E2D">
            <w:pPr>
              <w:jc w:val="right"/>
            </w:pPr>
            <w:r>
              <w:rPr>
                <w:color w:val="000000"/>
                <w:sz w:val="24"/>
              </w:rPr>
              <w:t>17,396,713</w:t>
            </w:r>
          </w:p>
        </w:tc>
        <w:tc>
          <w:tcPr>
            <w:tcW w:w="2268" w:type="dxa"/>
            <w:vAlign w:val="center"/>
          </w:tcPr>
          <w:p w:rsidR="00442D64" w:rsidRDefault="004B0E2D">
            <w:pPr>
              <w:jc w:val="right"/>
            </w:pPr>
            <w:r>
              <w:rPr>
                <w:color w:val="000000"/>
                <w:sz w:val="24"/>
              </w:rPr>
              <w:t>606,623,382.31</w:t>
            </w:r>
          </w:p>
        </w:tc>
        <w:tc>
          <w:tcPr>
            <w:tcW w:w="1134" w:type="dxa"/>
            <w:vAlign w:val="center"/>
          </w:tcPr>
          <w:p w:rsidR="00442D64" w:rsidRDefault="004B0E2D">
            <w:pPr>
              <w:jc w:val="right"/>
            </w:pPr>
            <w:r>
              <w:rPr>
                <w:color w:val="000000"/>
                <w:sz w:val="24"/>
              </w:rPr>
              <w:t>3.36</w:t>
            </w:r>
          </w:p>
        </w:tc>
      </w:tr>
      <w:tr w:rsidR="00442D64">
        <w:tc>
          <w:tcPr>
            <w:tcW w:w="817" w:type="dxa"/>
            <w:vAlign w:val="center"/>
          </w:tcPr>
          <w:p w:rsidR="00442D64" w:rsidRDefault="004B0E2D">
            <w:pPr>
              <w:jc w:val="center"/>
            </w:pPr>
            <w:r>
              <w:rPr>
                <w:color w:val="000000"/>
                <w:sz w:val="24"/>
              </w:rPr>
              <w:t>10</w:t>
            </w:r>
          </w:p>
        </w:tc>
        <w:tc>
          <w:tcPr>
            <w:tcW w:w="1276" w:type="dxa"/>
            <w:vAlign w:val="center"/>
          </w:tcPr>
          <w:p w:rsidR="00442D64" w:rsidRDefault="004B0E2D">
            <w:pPr>
              <w:jc w:val="center"/>
            </w:pPr>
            <w:r>
              <w:rPr>
                <w:color w:val="000000"/>
                <w:sz w:val="24"/>
              </w:rPr>
              <w:t>601398</w:t>
            </w:r>
          </w:p>
        </w:tc>
        <w:tc>
          <w:tcPr>
            <w:tcW w:w="1559" w:type="dxa"/>
            <w:vAlign w:val="center"/>
          </w:tcPr>
          <w:p w:rsidR="00442D64" w:rsidRDefault="004B0E2D">
            <w:pPr>
              <w:jc w:val="center"/>
            </w:pPr>
            <w:r>
              <w:rPr>
                <w:color w:val="000000"/>
                <w:sz w:val="24"/>
              </w:rPr>
              <w:t>工商银行</w:t>
            </w:r>
          </w:p>
        </w:tc>
        <w:tc>
          <w:tcPr>
            <w:tcW w:w="1843" w:type="dxa"/>
            <w:vAlign w:val="center"/>
          </w:tcPr>
          <w:p w:rsidR="00442D64" w:rsidRDefault="004B0E2D">
            <w:pPr>
              <w:jc w:val="right"/>
            </w:pPr>
            <w:r>
              <w:rPr>
                <w:color w:val="000000"/>
                <w:sz w:val="24"/>
              </w:rPr>
              <w:t>83,056,781</w:t>
            </w:r>
          </w:p>
        </w:tc>
        <w:tc>
          <w:tcPr>
            <w:tcW w:w="2268" w:type="dxa"/>
            <w:vAlign w:val="center"/>
          </w:tcPr>
          <w:p w:rsidR="00442D64" w:rsidRDefault="004B0E2D">
            <w:pPr>
              <w:jc w:val="right"/>
            </w:pPr>
            <w:r>
              <w:rPr>
                <w:color w:val="000000"/>
                <w:sz w:val="24"/>
              </w:rPr>
              <w:t>459,303,998.93</w:t>
            </w:r>
          </w:p>
        </w:tc>
        <w:tc>
          <w:tcPr>
            <w:tcW w:w="1134" w:type="dxa"/>
            <w:vAlign w:val="center"/>
          </w:tcPr>
          <w:p w:rsidR="00442D64" w:rsidRDefault="004B0E2D">
            <w:pPr>
              <w:jc w:val="right"/>
            </w:pPr>
            <w:r>
              <w:rPr>
                <w:color w:val="000000"/>
                <w:sz w:val="24"/>
              </w:rPr>
              <w:t>2.55</w:t>
            </w:r>
          </w:p>
        </w:tc>
      </w:tr>
    </w:tbl>
    <w:p w:rsidR="00774C7D" w:rsidRPr="00045BEC" w:rsidRDefault="00774C7D" w:rsidP="00774C7D">
      <w:pPr>
        <w:spacing w:line="360" w:lineRule="auto"/>
        <w:rPr>
          <w:rFonts w:ascii="宋体"/>
          <w:b/>
          <w:sz w:val="24"/>
        </w:rPr>
      </w:pPr>
      <w:r w:rsidRPr="00045BEC">
        <w:rPr>
          <w:rFonts w:ascii="宋体" w:hAnsi="宋体" w:cs="Arial"/>
          <w:b/>
          <w:color w:val="000000"/>
          <w:kern w:val="0"/>
          <w:sz w:val="24"/>
        </w:rPr>
        <w:t>5.3.2</w:t>
      </w:r>
      <w:r w:rsidRPr="00045BEC">
        <w:rPr>
          <w:rFonts w:ascii="宋体" w:hAnsi="宋体" w:cs="Arial" w:hint="eastAsia"/>
          <w:b/>
          <w:color w:val="000000"/>
          <w:kern w:val="0"/>
          <w:sz w:val="24"/>
        </w:rPr>
        <w:t>期末</w:t>
      </w:r>
      <w:r w:rsidRPr="00045BEC">
        <w:rPr>
          <w:rFonts w:ascii="宋体" w:hAnsi="宋体" w:hint="eastAsia"/>
          <w:b/>
          <w:sz w:val="24"/>
        </w:rPr>
        <w:t>积极投资按公允价值占基金资产净值比例大小排序的前五名股票投资明细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843"/>
        <w:gridCol w:w="2126"/>
        <w:gridCol w:w="1134"/>
      </w:tblGrid>
      <w:tr w:rsidR="00774C7D" w:rsidRPr="00EC5CE0" w:rsidTr="002C4578">
        <w:tc>
          <w:tcPr>
            <w:tcW w:w="817"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序号</w:t>
            </w:r>
          </w:p>
        </w:tc>
        <w:tc>
          <w:tcPr>
            <w:tcW w:w="1276"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股票代码</w:t>
            </w:r>
          </w:p>
        </w:tc>
        <w:tc>
          <w:tcPr>
            <w:tcW w:w="1701"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股票名称</w:t>
            </w:r>
          </w:p>
        </w:tc>
        <w:tc>
          <w:tcPr>
            <w:tcW w:w="1843"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数量（股）</w:t>
            </w:r>
          </w:p>
        </w:tc>
        <w:tc>
          <w:tcPr>
            <w:tcW w:w="2126" w:type="dxa"/>
            <w:vAlign w:val="center"/>
          </w:tcPr>
          <w:p w:rsidR="00774C7D" w:rsidRPr="00C1648E" w:rsidRDefault="00774C7D" w:rsidP="002C4578">
            <w:pPr>
              <w:autoSpaceDE w:val="0"/>
              <w:autoSpaceDN w:val="0"/>
              <w:adjustRightInd w:val="0"/>
              <w:spacing w:before="29" w:line="360" w:lineRule="auto"/>
              <w:ind w:left="17"/>
              <w:jc w:val="center"/>
              <w:rPr>
                <w:color w:val="000000"/>
                <w:sz w:val="24"/>
              </w:rPr>
            </w:pPr>
            <w:r w:rsidRPr="00C1648E">
              <w:rPr>
                <w:color w:val="000000"/>
                <w:sz w:val="24"/>
              </w:rPr>
              <w:t>公允价值（元）</w:t>
            </w:r>
          </w:p>
        </w:tc>
        <w:tc>
          <w:tcPr>
            <w:tcW w:w="1134" w:type="dxa"/>
            <w:vAlign w:val="center"/>
          </w:tcPr>
          <w:p w:rsidR="00774C7D" w:rsidRPr="00C1648E" w:rsidRDefault="00774C7D" w:rsidP="002C4578">
            <w:pPr>
              <w:spacing w:before="29" w:line="360" w:lineRule="auto"/>
              <w:ind w:left="17"/>
              <w:jc w:val="center"/>
              <w:rPr>
                <w:color w:val="000000"/>
                <w:sz w:val="24"/>
              </w:rPr>
            </w:pPr>
            <w:r w:rsidRPr="00C1648E">
              <w:rPr>
                <w:color w:val="000000"/>
                <w:sz w:val="24"/>
              </w:rPr>
              <w:t>占基金资产净值比例</w:t>
            </w:r>
            <w:r w:rsidRPr="00C1648E">
              <w:rPr>
                <w:color w:val="000000"/>
                <w:sz w:val="24"/>
              </w:rPr>
              <w:t>(</w:t>
            </w:r>
            <w:r w:rsidRPr="00C1648E">
              <w:rPr>
                <w:color w:val="000000"/>
                <w:sz w:val="24"/>
              </w:rPr>
              <w:t>％</w:t>
            </w:r>
            <w:r w:rsidRPr="00C1648E">
              <w:rPr>
                <w:color w:val="000000"/>
                <w:sz w:val="24"/>
              </w:rPr>
              <w:t>)</w:t>
            </w:r>
          </w:p>
        </w:tc>
      </w:tr>
      <w:tr w:rsidR="00442D64">
        <w:tc>
          <w:tcPr>
            <w:tcW w:w="817" w:type="dxa"/>
            <w:vAlign w:val="center"/>
          </w:tcPr>
          <w:p w:rsidR="00442D64" w:rsidRDefault="004B0E2D">
            <w:pPr>
              <w:jc w:val="center"/>
            </w:pPr>
            <w:r>
              <w:rPr>
                <w:color w:val="000000"/>
                <w:sz w:val="24"/>
              </w:rPr>
              <w:t>1</w:t>
            </w:r>
          </w:p>
        </w:tc>
        <w:tc>
          <w:tcPr>
            <w:tcW w:w="1276" w:type="dxa"/>
            <w:vAlign w:val="center"/>
          </w:tcPr>
          <w:p w:rsidR="00442D64" w:rsidRDefault="004B0E2D">
            <w:pPr>
              <w:jc w:val="center"/>
            </w:pPr>
            <w:r>
              <w:rPr>
                <w:color w:val="000000"/>
                <w:sz w:val="24"/>
              </w:rPr>
              <w:t>000001</w:t>
            </w:r>
          </w:p>
        </w:tc>
        <w:tc>
          <w:tcPr>
            <w:tcW w:w="1701" w:type="dxa"/>
            <w:vAlign w:val="center"/>
          </w:tcPr>
          <w:p w:rsidR="00442D64" w:rsidRDefault="004B0E2D">
            <w:pPr>
              <w:jc w:val="center"/>
            </w:pPr>
            <w:r>
              <w:rPr>
                <w:color w:val="000000"/>
                <w:sz w:val="24"/>
              </w:rPr>
              <w:t>平安银行</w:t>
            </w:r>
          </w:p>
        </w:tc>
        <w:tc>
          <w:tcPr>
            <w:tcW w:w="1843" w:type="dxa"/>
            <w:vAlign w:val="center"/>
          </w:tcPr>
          <w:p w:rsidR="00442D64" w:rsidRDefault="004B0E2D">
            <w:pPr>
              <w:jc w:val="right"/>
            </w:pPr>
            <w:r>
              <w:rPr>
                <w:color w:val="000000"/>
                <w:sz w:val="24"/>
              </w:rPr>
              <w:t>62,143,555</w:t>
            </w:r>
          </w:p>
        </w:tc>
        <w:tc>
          <w:tcPr>
            <w:tcW w:w="2126" w:type="dxa"/>
            <w:vAlign w:val="center"/>
          </w:tcPr>
          <w:p w:rsidR="00442D64" w:rsidRDefault="004B0E2D">
            <w:pPr>
              <w:jc w:val="right"/>
            </w:pPr>
            <w:r>
              <w:rPr>
                <w:color w:val="000000"/>
                <w:sz w:val="24"/>
              </w:rPr>
              <w:t>968,818,022.45</w:t>
            </w:r>
          </w:p>
        </w:tc>
        <w:tc>
          <w:tcPr>
            <w:tcW w:w="1134" w:type="dxa"/>
            <w:vAlign w:val="center"/>
          </w:tcPr>
          <w:p w:rsidR="00442D64" w:rsidRDefault="004B0E2D">
            <w:pPr>
              <w:jc w:val="right"/>
            </w:pPr>
            <w:r>
              <w:rPr>
                <w:color w:val="000000"/>
                <w:sz w:val="24"/>
              </w:rPr>
              <w:t>5.37</w:t>
            </w:r>
          </w:p>
        </w:tc>
      </w:tr>
      <w:tr w:rsidR="00442D64">
        <w:tc>
          <w:tcPr>
            <w:tcW w:w="817" w:type="dxa"/>
            <w:vAlign w:val="center"/>
          </w:tcPr>
          <w:p w:rsidR="00442D64" w:rsidRDefault="004B0E2D">
            <w:pPr>
              <w:jc w:val="center"/>
            </w:pPr>
            <w:r>
              <w:rPr>
                <w:color w:val="000000"/>
                <w:sz w:val="24"/>
              </w:rPr>
              <w:t>2</w:t>
            </w:r>
          </w:p>
        </w:tc>
        <w:tc>
          <w:tcPr>
            <w:tcW w:w="1276" w:type="dxa"/>
            <w:vAlign w:val="center"/>
          </w:tcPr>
          <w:p w:rsidR="00442D64" w:rsidRDefault="004B0E2D">
            <w:pPr>
              <w:jc w:val="center"/>
            </w:pPr>
            <w:r>
              <w:rPr>
                <w:color w:val="000000"/>
                <w:sz w:val="24"/>
              </w:rPr>
              <w:t>000858</w:t>
            </w:r>
          </w:p>
        </w:tc>
        <w:tc>
          <w:tcPr>
            <w:tcW w:w="1701" w:type="dxa"/>
            <w:vAlign w:val="center"/>
          </w:tcPr>
          <w:p w:rsidR="00442D64" w:rsidRDefault="004B0E2D">
            <w:pPr>
              <w:jc w:val="center"/>
            </w:pPr>
            <w:r>
              <w:rPr>
                <w:color w:val="000000"/>
                <w:sz w:val="24"/>
              </w:rPr>
              <w:t>五粮液</w:t>
            </w:r>
          </w:p>
        </w:tc>
        <w:tc>
          <w:tcPr>
            <w:tcW w:w="1843" w:type="dxa"/>
            <w:vAlign w:val="center"/>
          </w:tcPr>
          <w:p w:rsidR="00442D64" w:rsidRDefault="004B0E2D">
            <w:pPr>
              <w:jc w:val="right"/>
            </w:pPr>
            <w:r>
              <w:rPr>
                <w:color w:val="000000"/>
                <w:sz w:val="24"/>
              </w:rPr>
              <w:t>7,121,600</w:t>
            </w:r>
          </w:p>
        </w:tc>
        <w:tc>
          <w:tcPr>
            <w:tcW w:w="2126" w:type="dxa"/>
            <w:vAlign w:val="center"/>
          </w:tcPr>
          <w:p w:rsidR="00442D64" w:rsidRDefault="004B0E2D">
            <w:pPr>
              <w:jc w:val="right"/>
            </w:pPr>
            <w:r>
              <w:rPr>
                <w:color w:val="000000"/>
                <w:sz w:val="24"/>
              </w:rPr>
              <w:t>924,383,680.00</w:t>
            </w:r>
          </w:p>
        </w:tc>
        <w:tc>
          <w:tcPr>
            <w:tcW w:w="1134" w:type="dxa"/>
            <w:vAlign w:val="center"/>
          </w:tcPr>
          <w:p w:rsidR="00442D64" w:rsidRDefault="004B0E2D">
            <w:pPr>
              <w:jc w:val="right"/>
            </w:pPr>
            <w:r>
              <w:rPr>
                <w:color w:val="000000"/>
                <w:sz w:val="24"/>
              </w:rPr>
              <w:t>5.13</w:t>
            </w:r>
          </w:p>
        </w:tc>
      </w:tr>
      <w:tr w:rsidR="00442D64">
        <w:tc>
          <w:tcPr>
            <w:tcW w:w="817" w:type="dxa"/>
            <w:vAlign w:val="center"/>
          </w:tcPr>
          <w:p w:rsidR="00442D64" w:rsidRDefault="004B0E2D">
            <w:pPr>
              <w:jc w:val="center"/>
            </w:pPr>
            <w:r>
              <w:rPr>
                <w:color w:val="000000"/>
                <w:sz w:val="24"/>
              </w:rPr>
              <w:t>3</w:t>
            </w:r>
          </w:p>
        </w:tc>
        <w:tc>
          <w:tcPr>
            <w:tcW w:w="1276" w:type="dxa"/>
            <w:vAlign w:val="center"/>
          </w:tcPr>
          <w:p w:rsidR="00442D64" w:rsidRDefault="004B0E2D">
            <w:pPr>
              <w:jc w:val="center"/>
            </w:pPr>
            <w:r>
              <w:rPr>
                <w:color w:val="000000"/>
                <w:sz w:val="24"/>
              </w:rPr>
              <w:t>000661</w:t>
            </w:r>
          </w:p>
        </w:tc>
        <w:tc>
          <w:tcPr>
            <w:tcW w:w="1701" w:type="dxa"/>
            <w:vAlign w:val="center"/>
          </w:tcPr>
          <w:p w:rsidR="00442D64" w:rsidRDefault="004B0E2D">
            <w:pPr>
              <w:jc w:val="center"/>
            </w:pPr>
            <w:r>
              <w:rPr>
                <w:color w:val="000000"/>
                <w:sz w:val="24"/>
              </w:rPr>
              <w:t>长春高新</w:t>
            </w:r>
          </w:p>
        </w:tc>
        <w:tc>
          <w:tcPr>
            <w:tcW w:w="1843" w:type="dxa"/>
            <w:vAlign w:val="center"/>
          </w:tcPr>
          <w:p w:rsidR="00442D64" w:rsidRDefault="004B0E2D">
            <w:pPr>
              <w:jc w:val="right"/>
            </w:pPr>
            <w:r>
              <w:rPr>
                <w:color w:val="000000"/>
                <w:sz w:val="24"/>
              </w:rPr>
              <w:t>1,416,986</w:t>
            </w:r>
          </w:p>
        </w:tc>
        <w:tc>
          <w:tcPr>
            <w:tcW w:w="2126" w:type="dxa"/>
            <w:vAlign w:val="center"/>
          </w:tcPr>
          <w:p w:rsidR="00442D64" w:rsidRDefault="004B0E2D">
            <w:pPr>
              <w:jc w:val="right"/>
            </w:pPr>
            <w:r>
              <w:rPr>
                <w:color w:val="000000"/>
                <w:sz w:val="24"/>
              </w:rPr>
              <w:t>558,802,598.96</w:t>
            </w:r>
          </w:p>
        </w:tc>
        <w:tc>
          <w:tcPr>
            <w:tcW w:w="1134" w:type="dxa"/>
            <w:vAlign w:val="center"/>
          </w:tcPr>
          <w:p w:rsidR="00442D64" w:rsidRDefault="004B0E2D">
            <w:pPr>
              <w:jc w:val="right"/>
            </w:pPr>
            <w:r>
              <w:rPr>
                <w:color w:val="000000"/>
                <w:sz w:val="24"/>
              </w:rPr>
              <w:t>3.10</w:t>
            </w:r>
          </w:p>
        </w:tc>
      </w:tr>
      <w:tr w:rsidR="00442D64">
        <w:tc>
          <w:tcPr>
            <w:tcW w:w="817" w:type="dxa"/>
            <w:vAlign w:val="center"/>
          </w:tcPr>
          <w:p w:rsidR="00442D64" w:rsidRDefault="004B0E2D">
            <w:pPr>
              <w:jc w:val="center"/>
            </w:pPr>
            <w:r>
              <w:rPr>
                <w:color w:val="000000"/>
                <w:sz w:val="24"/>
              </w:rPr>
              <w:t>4</w:t>
            </w:r>
          </w:p>
        </w:tc>
        <w:tc>
          <w:tcPr>
            <w:tcW w:w="1276" w:type="dxa"/>
            <w:vAlign w:val="center"/>
          </w:tcPr>
          <w:p w:rsidR="00442D64" w:rsidRDefault="004B0E2D">
            <w:pPr>
              <w:jc w:val="center"/>
            </w:pPr>
            <w:r>
              <w:rPr>
                <w:color w:val="000000"/>
                <w:sz w:val="24"/>
              </w:rPr>
              <w:t>002007</w:t>
            </w:r>
          </w:p>
        </w:tc>
        <w:tc>
          <w:tcPr>
            <w:tcW w:w="1701" w:type="dxa"/>
            <w:vAlign w:val="center"/>
          </w:tcPr>
          <w:p w:rsidR="00442D64" w:rsidRDefault="004B0E2D">
            <w:pPr>
              <w:jc w:val="center"/>
            </w:pPr>
            <w:r>
              <w:rPr>
                <w:color w:val="000000"/>
                <w:sz w:val="24"/>
              </w:rPr>
              <w:t>华兰生物</w:t>
            </w:r>
          </w:p>
        </w:tc>
        <w:tc>
          <w:tcPr>
            <w:tcW w:w="1843" w:type="dxa"/>
            <w:vAlign w:val="center"/>
          </w:tcPr>
          <w:p w:rsidR="00442D64" w:rsidRDefault="004B0E2D">
            <w:pPr>
              <w:jc w:val="right"/>
            </w:pPr>
            <w:r>
              <w:rPr>
                <w:color w:val="000000"/>
                <w:sz w:val="24"/>
              </w:rPr>
              <w:t>16,062,956</w:t>
            </w:r>
          </w:p>
        </w:tc>
        <w:tc>
          <w:tcPr>
            <w:tcW w:w="2126" w:type="dxa"/>
            <w:vAlign w:val="center"/>
          </w:tcPr>
          <w:p w:rsidR="00442D64" w:rsidRDefault="004B0E2D">
            <w:pPr>
              <w:jc w:val="right"/>
            </w:pPr>
            <w:r>
              <w:rPr>
                <w:color w:val="000000"/>
                <w:sz w:val="24"/>
              </w:rPr>
              <w:t>550,959,390.80</w:t>
            </w:r>
          </w:p>
        </w:tc>
        <w:tc>
          <w:tcPr>
            <w:tcW w:w="1134" w:type="dxa"/>
            <w:vAlign w:val="center"/>
          </w:tcPr>
          <w:p w:rsidR="00442D64" w:rsidRDefault="004B0E2D">
            <w:pPr>
              <w:jc w:val="right"/>
            </w:pPr>
            <w:r>
              <w:rPr>
                <w:color w:val="000000"/>
                <w:sz w:val="24"/>
              </w:rPr>
              <w:t>3.06</w:t>
            </w:r>
          </w:p>
        </w:tc>
      </w:tr>
      <w:tr w:rsidR="00442D64">
        <w:tc>
          <w:tcPr>
            <w:tcW w:w="817" w:type="dxa"/>
            <w:vAlign w:val="center"/>
          </w:tcPr>
          <w:p w:rsidR="00442D64" w:rsidRDefault="004B0E2D">
            <w:pPr>
              <w:jc w:val="center"/>
            </w:pPr>
            <w:r>
              <w:rPr>
                <w:color w:val="000000"/>
                <w:sz w:val="24"/>
              </w:rPr>
              <w:t>5</w:t>
            </w:r>
          </w:p>
        </w:tc>
        <w:tc>
          <w:tcPr>
            <w:tcW w:w="1276" w:type="dxa"/>
            <w:vAlign w:val="center"/>
          </w:tcPr>
          <w:p w:rsidR="00442D64" w:rsidRDefault="004B0E2D">
            <w:pPr>
              <w:jc w:val="center"/>
            </w:pPr>
            <w:r>
              <w:rPr>
                <w:color w:val="000000"/>
                <w:sz w:val="24"/>
              </w:rPr>
              <w:t>601006</w:t>
            </w:r>
          </w:p>
        </w:tc>
        <w:tc>
          <w:tcPr>
            <w:tcW w:w="1701" w:type="dxa"/>
            <w:vAlign w:val="center"/>
          </w:tcPr>
          <w:p w:rsidR="00442D64" w:rsidRDefault="004B0E2D">
            <w:pPr>
              <w:jc w:val="center"/>
            </w:pPr>
            <w:r>
              <w:rPr>
                <w:color w:val="000000"/>
                <w:sz w:val="24"/>
              </w:rPr>
              <w:t>大秦铁路</w:t>
            </w:r>
          </w:p>
        </w:tc>
        <w:tc>
          <w:tcPr>
            <w:tcW w:w="1843" w:type="dxa"/>
            <w:vAlign w:val="center"/>
          </w:tcPr>
          <w:p w:rsidR="00442D64" w:rsidRDefault="004B0E2D">
            <w:pPr>
              <w:jc w:val="right"/>
            </w:pPr>
            <w:r>
              <w:rPr>
                <w:color w:val="000000"/>
                <w:sz w:val="24"/>
              </w:rPr>
              <w:t>11,572,960</w:t>
            </w:r>
          </w:p>
        </w:tc>
        <w:tc>
          <w:tcPr>
            <w:tcW w:w="2126" w:type="dxa"/>
            <w:vAlign w:val="center"/>
          </w:tcPr>
          <w:p w:rsidR="00442D64" w:rsidRDefault="004B0E2D">
            <w:pPr>
              <w:jc w:val="right"/>
            </w:pPr>
            <w:r>
              <w:rPr>
                <w:color w:val="000000"/>
                <w:sz w:val="24"/>
              </w:rPr>
              <w:t>87,838,766.40</w:t>
            </w:r>
          </w:p>
        </w:tc>
        <w:tc>
          <w:tcPr>
            <w:tcW w:w="1134" w:type="dxa"/>
            <w:vAlign w:val="center"/>
          </w:tcPr>
          <w:p w:rsidR="00442D64" w:rsidRDefault="004B0E2D">
            <w:pPr>
              <w:jc w:val="right"/>
            </w:pPr>
            <w:r>
              <w:rPr>
                <w:color w:val="000000"/>
                <w:sz w:val="24"/>
              </w:rPr>
              <w:t>0.49</w:t>
            </w:r>
          </w:p>
        </w:tc>
      </w:tr>
    </w:tbl>
    <w:p w:rsidR="00712EE5" w:rsidRPr="00712EE5" w:rsidRDefault="00A62673" w:rsidP="00712EE5">
      <w:pPr>
        <w:autoSpaceDE w:val="0"/>
        <w:autoSpaceDN w:val="0"/>
        <w:adjustRightInd w:val="0"/>
        <w:spacing w:line="360" w:lineRule="auto"/>
        <w:jc w:val="left"/>
        <w:rPr>
          <w:rFonts w:eastAsiaTheme="minorEastAsia"/>
          <w:b/>
          <w:color w:val="000000" w:themeColor="text1"/>
          <w:kern w:val="0"/>
          <w:sz w:val="24"/>
        </w:rPr>
      </w:pPr>
      <w:r w:rsidRPr="00EC5CE0">
        <w:rPr>
          <w:rFonts w:ascii="宋体" w:hAnsi="宋体" w:cs="Arial"/>
          <w:b/>
          <w:color w:val="000000"/>
          <w:kern w:val="0"/>
          <w:sz w:val="24"/>
        </w:rPr>
        <w:t xml:space="preserve">5.4 </w:t>
      </w:r>
      <w:r w:rsidRPr="00EC5CE0">
        <w:rPr>
          <w:rFonts w:ascii="宋体" w:hAnsi="宋体" w:cs="Arial" w:hint="eastAsia"/>
          <w:b/>
          <w:color w:val="000000"/>
          <w:kern w:val="0"/>
          <w:sz w:val="24"/>
        </w:rPr>
        <w:t>报告期末按债券品种分类的债券投资组合</w:t>
      </w:r>
    </w:p>
    <w:p w:rsidR="00A62673" w:rsidRPr="00BF18E8" w:rsidRDefault="00712EE5" w:rsidP="00712EE5">
      <w:pPr>
        <w:spacing w:line="360" w:lineRule="auto"/>
        <w:ind w:firstLineChars="200" w:firstLine="480"/>
        <w:rPr>
          <w:color w:val="000000"/>
          <w:sz w:val="24"/>
        </w:rPr>
      </w:pPr>
      <w:r w:rsidRPr="00BF18E8">
        <w:rPr>
          <w:color w:val="000000"/>
          <w:sz w:val="24"/>
        </w:rPr>
        <w:t>本基金本报告期末未持有债券。</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 xml:space="preserve">5.5 </w:t>
      </w:r>
      <w:r w:rsidRPr="00EC5CE0">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EC5CE0">
        <w:rPr>
          <w:rFonts w:ascii="宋体" w:hAnsi="宋体" w:cs="Arial" w:hint="eastAsia"/>
          <w:b/>
          <w:color w:val="000000"/>
          <w:kern w:val="0"/>
          <w:sz w:val="24"/>
        </w:rPr>
        <w:t>的前五名债券投资明细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本基金本报告期末未持有债券。</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5.6</w:t>
      </w:r>
      <w:r w:rsidRPr="00EC5CE0">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EC5CE0">
        <w:rPr>
          <w:rFonts w:ascii="宋体" w:hAnsi="宋体" w:cs="Arial" w:hint="eastAsia"/>
          <w:b/>
          <w:color w:val="000000"/>
          <w:kern w:val="0"/>
          <w:sz w:val="24"/>
        </w:rPr>
        <w:t>的前十名资产支持证券投资明细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本基金本报告期末未持有资产支持证券。</w:t>
      </w:r>
    </w:p>
    <w:p w:rsidR="00A62673" w:rsidRPr="001D63BB" w:rsidRDefault="00A62673" w:rsidP="008021E8">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本基金本报告期末未持有贵金属。</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cs="Arial"/>
          <w:b/>
          <w:color w:val="000000"/>
          <w:kern w:val="0"/>
          <w:sz w:val="24"/>
        </w:rPr>
        <w:t>5.8</w:t>
      </w:r>
      <w:r w:rsidRPr="00EC5CE0">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EC5CE0">
        <w:rPr>
          <w:rFonts w:ascii="宋体" w:hAnsi="宋体" w:hint="eastAsia"/>
          <w:b/>
          <w:bCs/>
          <w:color w:val="000000"/>
          <w:sz w:val="24"/>
        </w:rPr>
        <w:t>的前五名权证投资明细</w:t>
      </w:r>
    </w:p>
    <w:p w:rsidR="00A62673" w:rsidRPr="00C1648E" w:rsidRDefault="00A62673" w:rsidP="00C1648E">
      <w:pPr>
        <w:spacing w:line="360" w:lineRule="auto"/>
        <w:ind w:firstLineChars="200" w:firstLine="480"/>
        <w:rPr>
          <w:color w:val="000000"/>
          <w:sz w:val="24"/>
        </w:rPr>
      </w:pPr>
      <w:r w:rsidRPr="00DC315B">
        <w:rPr>
          <w:color w:val="000000"/>
          <w:sz w:val="24"/>
        </w:rPr>
        <w:t>本基金本报告期末未持有权证。</w:t>
      </w:r>
    </w:p>
    <w:p w:rsidR="00A62673" w:rsidRPr="00EC5CE0" w:rsidRDefault="00A62673" w:rsidP="00045BEC">
      <w:pPr>
        <w:adjustRightInd w:val="0"/>
        <w:snapToGrid w:val="0"/>
        <w:spacing w:line="360" w:lineRule="auto"/>
        <w:rPr>
          <w:rFonts w:ascii="宋体"/>
          <w:b/>
          <w:sz w:val="24"/>
        </w:rPr>
      </w:pPr>
      <w:r w:rsidRPr="00EC5CE0">
        <w:rPr>
          <w:rFonts w:ascii="宋体" w:hAnsi="宋体"/>
          <w:b/>
          <w:sz w:val="24"/>
        </w:rPr>
        <w:t xml:space="preserve">5.9 </w:t>
      </w:r>
      <w:r w:rsidRPr="00EC5CE0">
        <w:rPr>
          <w:rFonts w:ascii="宋体" w:hAnsi="宋体" w:hint="eastAsia"/>
          <w:b/>
          <w:sz w:val="24"/>
        </w:rPr>
        <w:t>报告期末本基金投资的股指期货交易情况说明</w:t>
      </w:r>
    </w:p>
    <w:p w:rsidR="008066CA" w:rsidRPr="00B34368" w:rsidRDefault="008066CA" w:rsidP="008066CA">
      <w:pPr>
        <w:spacing w:line="360" w:lineRule="auto"/>
        <w:ind w:firstLineChars="200" w:firstLine="480"/>
        <w:rPr>
          <w:rFonts w:eastAsiaTheme="minorEastAsia"/>
          <w:color w:val="000000" w:themeColor="text1"/>
          <w:sz w:val="24"/>
        </w:rPr>
      </w:pPr>
      <w:r w:rsidRPr="00D27EA0">
        <w:rPr>
          <w:rFonts w:eastAsiaTheme="minorEastAsia"/>
          <w:color w:val="000000" w:themeColor="text1"/>
          <w:sz w:val="24"/>
        </w:rPr>
        <w:t>本基金本报告期末未投资股指期货。</w:t>
      </w:r>
    </w:p>
    <w:p w:rsidR="00A62673" w:rsidRPr="00EC5CE0" w:rsidRDefault="00A62673" w:rsidP="00045BEC">
      <w:pPr>
        <w:adjustRightInd w:val="0"/>
        <w:snapToGrid w:val="0"/>
        <w:spacing w:line="360" w:lineRule="auto"/>
        <w:rPr>
          <w:rFonts w:ascii="宋体"/>
          <w:b/>
          <w:sz w:val="24"/>
        </w:rPr>
      </w:pPr>
      <w:r w:rsidRPr="00EC5CE0">
        <w:rPr>
          <w:rFonts w:ascii="宋体" w:hAnsi="宋体"/>
          <w:b/>
          <w:sz w:val="24"/>
        </w:rPr>
        <w:t>5.10</w:t>
      </w:r>
      <w:r w:rsidRPr="00EC5CE0">
        <w:rPr>
          <w:rFonts w:ascii="宋体" w:hAnsi="宋体" w:hint="eastAsia"/>
          <w:b/>
          <w:sz w:val="24"/>
        </w:rPr>
        <w:t>报告期末本基金投资的国债期货交易情况说明</w:t>
      </w:r>
    </w:p>
    <w:p w:rsidR="008066CA" w:rsidRDefault="008066CA" w:rsidP="008066CA">
      <w:pPr>
        <w:spacing w:line="360" w:lineRule="auto"/>
        <w:ind w:firstLineChars="200" w:firstLine="480"/>
      </w:pPr>
      <w:r w:rsidRPr="00DF18FE">
        <w:rPr>
          <w:color w:val="000000"/>
          <w:sz w:val="24"/>
        </w:rPr>
        <w:lastRenderedPageBreak/>
        <w:t>本基金本报告期末未投资国债期货。</w:t>
      </w:r>
    </w:p>
    <w:p w:rsidR="00A62673" w:rsidRPr="00EC5CE0" w:rsidRDefault="00A62673" w:rsidP="00045BEC">
      <w:pPr>
        <w:autoSpaceDE w:val="0"/>
        <w:autoSpaceDN w:val="0"/>
        <w:adjustRightInd w:val="0"/>
        <w:spacing w:line="360" w:lineRule="auto"/>
        <w:jc w:val="left"/>
        <w:rPr>
          <w:rFonts w:ascii="宋体" w:cs="Arial"/>
          <w:b/>
          <w:color w:val="000000"/>
          <w:kern w:val="0"/>
          <w:sz w:val="24"/>
        </w:rPr>
      </w:pPr>
      <w:r w:rsidRPr="00EC5CE0">
        <w:rPr>
          <w:rFonts w:ascii="宋体" w:hAnsi="宋体" w:cs="Arial"/>
          <w:b/>
          <w:color w:val="000000"/>
          <w:kern w:val="0"/>
          <w:sz w:val="24"/>
        </w:rPr>
        <w:t>5.11</w:t>
      </w:r>
      <w:r w:rsidRPr="00EC5CE0">
        <w:rPr>
          <w:rFonts w:ascii="宋体" w:hAnsi="宋体" w:cs="Arial" w:hint="eastAsia"/>
          <w:b/>
          <w:color w:val="000000"/>
          <w:kern w:val="0"/>
          <w:sz w:val="24"/>
        </w:rPr>
        <w:t>投资组合报告附注</w:t>
      </w:r>
    </w:p>
    <w:p w:rsidR="00A62673" w:rsidRPr="00C1648E" w:rsidRDefault="00A62673" w:rsidP="00045BEC">
      <w:pPr>
        <w:spacing w:line="360" w:lineRule="auto"/>
        <w:rPr>
          <w:color w:val="000000"/>
          <w:sz w:val="24"/>
        </w:rPr>
      </w:pPr>
      <w:r w:rsidRPr="00EC5CE0">
        <w:rPr>
          <w:rFonts w:ascii="宋体" w:hAnsi="宋体"/>
          <w:color w:val="000000"/>
          <w:sz w:val="24"/>
        </w:rPr>
        <w:t>5.11.1</w:t>
      </w:r>
      <w:r w:rsidRPr="00C1648E">
        <w:rPr>
          <w:color w:val="000000"/>
          <w:sz w:val="24"/>
        </w:rPr>
        <w:t>2018</w:t>
      </w:r>
      <w:r w:rsidRPr="00C1648E">
        <w:rPr>
          <w:color w:val="000000"/>
          <w:sz w:val="24"/>
        </w:rPr>
        <w:t>年</w:t>
      </w:r>
      <w:r w:rsidRPr="00C1648E">
        <w:rPr>
          <w:color w:val="000000"/>
          <w:sz w:val="24"/>
        </w:rPr>
        <w:t>10</w:t>
      </w:r>
      <w:r w:rsidRPr="00C1648E">
        <w:rPr>
          <w:color w:val="000000"/>
          <w:sz w:val="24"/>
        </w:rPr>
        <w:t>月</w:t>
      </w:r>
      <w:r w:rsidRPr="00C1648E">
        <w:rPr>
          <w:color w:val="000000"/>
          <w:sz w:val="24"/>
        </w:rPr>
        <w:t>16</w:t>
      </w:r>
      <w:r w:rsidRPr="00C1648E">
        <w:rPr>
          <w:color w:val="000000"/>
          <w:sz w:val="24"/>
        </w:rPr>
        <w:t>日，上海保监局针对兴业银行股份有限公司信用卡中心电话销售欺骗投保人、电话销售向投保人隐瞒与合同有关的重要情况的违法违规行为，责令改正并处</w:t>
      </w:r>
      <w:r w:rsidRPr="00C1648E">
        <w:rPr>
          <w:color w:val="000000"/>
          <w:sz w:val="24"/>
        </w:rPr>
        <w:t>35</w:t>
      </w:r>
      <w:r w:rsidRPr="00C1648E">
        <w:rPr>
          <w:color w:val="000000"/>
          <w:sz w:val="24"/>
        </w:rPr>
        <w:t>万元罚款。</w:t>
      </w:r>
    </w:p>
    <w:p w:rsidR="00442D64" w:rsidRDefault="004B0E2D">
      <w:pPr>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日，中国银行保险监督管理委员会上海监管局针对兴业银行股份有限公司信用卡中心</w:t>
      </w:r>
      <w:r>
        <w:rPr>
          <w:color w:val="000000"/>
          <w:sz w:val="24"/>
        </w:rPr>
        <w:t>1</w:t>
      </w:r>
      <w:r>
        <w:rPr>
          <w:color w:val="000000"/>
          <w:sz w:val="24"/>
        </w:rPr>
        <w:t>、</w:t>
      </w:r>
      <w:r>
        <w:rPr>
          <w:color w:val="000000"/>
          <w:sz w:val="24"/>
        </w:rPr>
        <w:t>2016</w:t>
      </w:r>
      <w:r>
        <w:rPr>
          <w:color w:val="000000"/>
          <w:sz w:val="24"/>
        </w:rPr>
        <w:t>年</w:t>
      </w:r>
      <w:r>
        <w:rPr>
          <w:color w:val="000000"/>
          <w:sz w:val="24"/>
        </w:rPr>
        <w:t>1</w:t>
      </w:r>
      <w:r>
        <w:rPr>
          <w:color w:val="000000"/>
          <w:sz w:val="24"/>
        </w:rPr>
        <w:t>月至</w:t>
      </w:r>
      <w:r>
        <w:rPr>
          <w:color w:val="000000"/>
          <w:sz w:val="24"/>
        </w:rPr>
        <w:t>2018</w:t>
      </w:r>
      <w:r>
        <w:rPr>
          <w:color w:val="000000"/>
          <w:sz w:val="24"/>
        </w:rPr>
        <w:t>年</w:t>
      </w:r>
      <w:r>
        <w:rPr>
          <w:color w:val="000000"/>
          <w:sz w:val="24"/>
        </w:rPr>
        <w:t>1</w:t>
      </w:r>
      <w:r>
        <w:rPr>
          <w:color w:val="000000"/>
          <w:sz w:val="24"/>
        </w:rPr>
        <w:t>月在为部分客户办理信用卡业务时未遵守总授信额度管理制度；</w:t>
      </w:r>
      <w:r>
        <w:rPr>
          <w:color w:val="000000"/>
          <w:sz w:val="24"/>
        </w:rPr>
        <w:t>2</w:t>
      </w:r>
      <w:r>
        <w:rPr>
          <w:color w:val="000000"/>
          <w:sz w:val="24"/>
        </w:rPr>
        <w:t>、</w:t>
      </w:r>
      <w:r>
        <w:rPr>
          <w:color w:val="000000"/>
          <w:sz w:val="24"/>
        </w:rPr>
        <w:t>2016</w:t>
      </w:r>
      <w:r>
        <w:rPr>
          <w:color w:val="000000"/>
          <w:sz w:val="24"/>
        </w:rPr>
        <w:t>年至</w:t>
      </w:r>
      <w:r>
        <w:rPr>
          <w:color w:val="000000"/>
          <w:sz w:val="24"/>
        </w:rPr>
        <w:t>2018</w:t>
      </w:r>
      <w:r>
        <w:rPr>
          <w:color w:val="000000"/>
          <w:sz w:val="24"/>
        </w:rPr>
        <w:t>年</w:t>
      </w:r>
      <w:r>
        <w:rPr>
          <w:color w:val="000000"/>
          <w:sz w:val="24"/>
        </w:rPr>
        <w:t>8</w:t>
      </w:r>
      <w:r>
        <w:rPr>
          <w:color w:val="000000"/>
          <w:sz w:val="24"/>
        </w:rPr>
        <w:t>月对部分信用卡申请人资信水平调查严重不尽职的违法违规行为，责令改正，并处罚款</w:t>
      </w:r>
      <w:r>
        <w:rPr>
          <w:color w:val="000000"/>
          <w:sz w:val="24"/>
        </w:rPr>
        <w:t>40</w:t>
      </w:r>
      <w:r>
        <w:rPr>
          <w:color w:val="000000"/>
          <w:sz w:val="24"/>
        </w:rPr>
        <w:t>万元。</w:t>
      </w:r>
    </w:p>
    <w:p w:rsidR="00442D64" w:rsidRDefault="004B0E2D">
      <w:pPr>
        <w:spacing w:line="360" w:lineRule="auto"/>
        <w:rPr>
          <w:color w:val="000000"/>
          <w:sz w:val="24"/>
        </w:rPr>
      </w:pPr>
      <w:r>
        <w:rPr>
          <w:color w:val="000000"/>
          <w:sz w:val="24"/>
        </w:rPr>
        <w:t>2018</w:t>
      </w:r>
      <w:r>
        <w:rPr>
          <w:color w:val="000000"/>
          <w:sz w:val="24"/>
        </w:rPr>
        <w:t>年</w:t>
      </w:r>
      <w:r>
        <w:rPr>
          <w:color w:val="000000"/>
          <w:sz w:val="24"/>
        </w:rPr>
        <w:t>12</w:t>
      </w:r>
      <w:r>
        <w:rPr>
          <w:color w:val="000000"/>
          <w:sz w:val="24"/>
        </w:rPr>
        <w:t>月</w:t>
      </w:r>
      <w:r>
        <w:rPr>
          <w:color w:val="000000"/>
          <w:sz w:val="24"/>
        </w:rPr>
        <w:t>13</w:t>
      </w:r>
      <w:r>
        <w:rPr>
          <w:color w:val="000000"/>
          <w:sz w:val="24"/>
        </w:rPr>
        <w:t>日，中国银行保险监督管理委</w:t>
      </w:r>
      <w:r>
        <w:rPr>
          <w:color w:val="000000"/>
          <w:sz w:val="24"/>
        </w:rPr>
        <w:t>员会宁波监管局针对平安银行股份有限公司信用卡中心宁波分中心内控管理不到位的违法违规事实，处以罚款人民币</w:t>
      </w:r>
      <w:r>
        <w:rPr>
          <w:color w:val="000000"/>
          <w:sz w:val="24"/>
        </w:rPr>
        <w:t>40</w:t>
      </w:r>
      <w:r>
        <w:rPr>
          <w:color w:val="000000"/>
          <w:sz w:val="24"/>
        </w:rPr>
        <w:t>万元，并责令机构对相关直接责任人给予纪律处分的行政处罚。</w:t>
      </w:r>
    </w:p>
    <w:p w:rsidR="00442D64" w:rsidRDefault="004B0E2D">
      <w:pPr>
        <w:spacing w:line="360" w:lineRule="auto"/>
        <w:rPr>
          <w:color w:val="000000"/>
          <w:sz w:val="24"/>
        </w:rPr>
      </w:pPr>
      <w:r>
        <w:rPr>
          <w:color w:val="000000"/>
          <w:sz w:val="24"/>
        </w:rPr>
        <w:t>2019</w:t>
      </w:r>
      <w:r>
        <w:rPr>
          <w:color w:val="000000"/>
          <w:sz w:val="24"/>
        </w:rPr>
        <w:t>年</w:t>
      </w:r>
      <w:r>
        <w:rPr>
          <w:color w:val="000000"/>
          <w:sz w:val="24"/>
        </w:rPr>
        <w:t>5</w:t>
      </w:r>
      <w:r>
        <w:rPr>
          <w:color w:val="000000"/>
          <w:sz w:val="24"/>
        </w:rPr>
        <w:t>月</w:t>
      </w:r>
      <w:r>
        <w:rPr>
          <w:color w:val="000000"/>
          <w:sz w:val="24"/>
        </w:rPr>
        <w:t>10</w:t>
      </w:r>
      <w:r>
        <w:rPr>
          <w:color w:val="000000"/>
          <w:sz w:val="24"/>
        </w:rPr>
        <w:t>日，中国银行保险监督管理委员会上海监管局针对平安银行股份有限公司信用卡中心上海分中心</w:t>
      </w:r>
      <w:r>
        <w:rPr>
          <w:color w:val="000000"/>
          <w:sz w:val="24"/>
        </w:rPr>
        <w:t>2015</w:t>
      </w:r>
      <w:r>
        <w:rPr>
          <w:color w:val="000000"/>
          <w:sz w:val="24"/>
        </w:rPr>
        <w:t>年至</w:t>
      </w:r>
      <w:r>
        <w:rPr>
          <w:color w:val="000000"/>
          <w:sz w:val="24"/>
        </w:rPr>
        <w:t>2017</w:t>
      </w:r>
      <w:r>
        <w:rPr>
          <w:color w:val="000000"/>
          <w:sz w:val="24"/>
        </w:rPr>
        <w:t>年对员工经商办企业的行为屡禁不止，员工行为管理严重违反审慎经营规则的违法违规事实，责令改正，并处罚款</w:t>
      </w:r>
      <w:r>
        <w:rPr>
          <w:color w:val="000000"/>
          <w:sz w:val="24"/>
        </w:rPr>
        <w:t>40</w:t>
      </w:r>
      <w:r>
        <w:rPr>
          <w:color w:val="000000"/>
          <w:sz w:val="24"/>
        </w:rPr>
        <w:t>万元。</w:t>
      </w:r>
    </w:p>
    <w:p w:rsidR="00442D64" w:rsidRDefault="004B0E2D">
      <w:pPr>
        <w:spacing w:line="360" w:lineRule="auto"/>
        <w:rPr>
          <w:color w:val="000000"/>
          <w:sz w:val="24"/>
        </w:rPr>
      </w:pPr>
      <w:r>
        <w:rPr>
          <w:color w:val="000000"/>
          <w:sz w:val="24"/>
        </w:rPr>
        <w:t>2019</w:t>
      </w:r>
      <w:r>
        <w:rPr>
          <w:color w:val="000000"/>
          <w:sz w:val="24"/>
        </w:rPr>
        <w:t>年</w:t>
      </w:r>
      <w:r>
        <w:rPr>
          <w:color w:val="000000"/>
          <w:sz w:val="24"/>
        </w:rPr>
        <w:t>8</w:t>
      </w:r>
      <w:r>
        <w:rPr>
          <w:color w:val="000000"/>
          <w:sz w:val="24"/>
        </w:rPr>
        <w:t>月</w:t>
      </w:r>
      <w:r>
        <w:rPr>
          <w:color w:val="000000"/>
          <w:sz w:val="24"/>
        </w:rPr>
        <w:t>12</w:t>
      </w:r>
      <w:r>
        <w:rPr>
          <w:color w:val="000000"/>
          <w:sz w:val="24"/>
        </w:rPr>
        <w:t>日，中国银行保险监督管理委员会上海监管局针对平安银行股份有限公司资金运营中心</w:t>
      </w:r>
      <w:r>
        <w:rPr>
          <w:color w:val="000000"/>
          <w:sz w:val="24"/>
        </w:rPr>
        <w:t>2017</w:t>
      </w:r>
      <w:r>
        <w:rPr>
          <w:color w:val="000000"/>
          <w:sz w:val="24"/>
        </w:rPr>
        <w:t>年末至</w:t>
      </w:r>
      <w:r>
        <w:rPr>
          <w:color w:val="000000"/>
          <w:sz w:val="24"/>
        </w:rPr>
        <w:t>201</w:t>
      </w:r>
      <w:r>
        <w:rPr>
          <w:color w:val="000000"/>
          <w:sz w:val="24"/>
        </w:rPr>
        <w:t>8</w:t>
      </w:r>
      <w:r>
        <w:rPr>
          <w:color w:val="000000"/>
          <w:sz w:val="24"/>
        </w:rPr>
        <w:t>年</w:t>
      </w:r>
      <w:r>
        <w:rPr>
          <w:color w:val="000000"/>
          <w:sz w:val="24"/>
        </w:rPr>
        <w:t>9</w:t>
      </w:r>
      <w:r>
        <w:rPr>
          <w:color w:val="000000"/>
          <w:sz w:val="24"/>
        </w:rPr>
        <w:t>月信息科技风险管理严重违反审慎经营规则的违法违规事实，责令改正，并处罚款</w:t>
      </w:r>
      <w:r>
        <w:rPr>
          <w:color w:val="000000"/>
          <w:sz w:val="24"/>
        </w:rPr>
        <w:t>20</w:t>
      </w:r>
      <w:r>
        <w:rPr>
          <w:color w:val="000000"/>
          <w:sz w:val="24"/>
        </w:rPr>
        <w:t>万元。</w:t>
      </w:r>
    </w:p>
    <w:p w:rsidR="00442D64" w:rsidRDefault="004B0E2D">
      <w:pPr>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日，中国银行保险监督管理委员会上海监管局对招商银行股份有限公司信用卡中心</w:t>
      </w:r>
      <w:r>
        <w:rPr>
          <w:color w:val="000000"/>
          <w:sz w:val="24"/>
        </w:rPr>
        <w:t>2016</w:t>
      </w:r>
      <w:r>
        <w:rPr>
          <w:color w:val="000000"/>
          <w:sz w:val="24"/>
        </w:rPr>
        <w:t>年</w:t>
      </w:r>
      <w:r>
        <w:rPr>
          <w:color w:val="000000"/>
          <w:sz w:val="24"/>
        </w:rPr>
        <w:t>9</w:t>
      </w:r>
      <w:r>
        <w:rPr>
          <w:color w:val="000000"/>
          <w:sz w:val="24"/>
        </w:rPr>
        <w:t>月至</w:t>
      </w:r>
      <w:r>
        <w:rPr>
          <w:color w:val="000000"/>
          <w:sz w:val="24"/>
        </w:rPr>
        <w:t>2018</w:t>
      </w:r>
      <w:r>
        <w:rPr>
          <w:color w:val="000000"/>
          <w:sz w:val="24"/>
        </w:rPr>
        <w:t>年</w:t>
      </w:r>
      <w:r>
        <w:rPr>
          <w:color w:val="000000"/>
          <w:sz w:val="24"/>
        </w:rPr>
        <w:t>6</w:t>
      </w:r>
      <w:r>
        <w:rPr>
          <w:color w:val="000000"/>
          <w:sz w:val="24"/>
        </w:rPr>
        <w:t>月在为部分客户办理信用卡业务时，未遵守总授信额度管理制度的违法违规事实，责令改正，并处罚款</w:t>
      </w:r>
      <w:r>
        <w:rPr>
          <w:color w:val="000000"/>
          <w:sz w:val="24"/>
        </w:rPr>
        <w:t>20</w:t>
      </w:r>
      <w:r>
        <w:rPr>
          <w:color w:val="000000"/>
          <w:sz w:val="24"/>
        </w:rPr>
        <w:t>万元。</w:t>
      </w:r>
    </w:p>
    <w:p w:rsidR="00442D64" w:rsidRDefault="004B0E2D">
      <w:pPr>
        <w:spacing w:line="360" w:lineRule="auto"/>
        <w:rPr>
          <w:color w:val="000000"/>
          <w:sz w:val="24"/>
        </w:rPr>
      </w:pPr>
      <w:r>
        <w:rPr>
          <w:color w:val="000000"/>
          <w:sz w:val="24"/>
        </w:rPr>
        <w:t>本基金为指数增强型基金，兴业银行、招商银行、平安银行的投资决策程序符合公司投资制度的规定。除兴业银行、招商银行、平安银行外，本基金投资的前十名证券的发行主体本期没有出现被监管部门立案调查，或在报告编制日前</w:t>
      </w:r>
      <w:r>
        <w:rPr>
          <w:color w:val="000000"/>
          <w:sz w:val="24"/>
        </w:rPr>
        <w:t>一年内受到公开谴责、处罚的情形。</w:t>
      </w:r>
    </w:p>
    <w:p w:rsidR="00A62673" w:rsidRPr="00C1648E" w:rsidRDefault="00A62673" w:rsidP="00045BEC">
      <w:pPr>
        <w:spacing w:line="360" w:lineRule="auto"/>
        <w:rPr>
          <w:color w:val="000000"/>
          <w:sz w:val="24"/>
        </w:rPr>
      </w:pPr>
      <w:r w:rsidRPr="00EC5CE0">
        <w:rPr>
          <w:rFonts w:ascii="宋体" w:hAnsi="宋体"/>
          <w:color w:val="000000"/>
          <w:sz w:val="24"/>
        </w:rPr>
        <w:t>5.11.2</w:t>
      </w:r>
      <w:r w:rsidRPr="00C1648E">
        <w:rPr>
          <w:color w:val="000000"/>
          <w:sz w:val="24"/>
        </w:rPr>
        <w:t>本基金投资的前十名股票没有超出基金合同规定的备选股票库。</w:t>
      </w:r>
    </w:p>
    <w:p w:rsidR="00A62673" w:rsidRPr="00977154" w:rsidRDefault="00A62673" w:rsidP="00045BEC">
      <w:pPr>
        <w:autoSpaceDE w:val="0"/>
        <w:autoSpaceDN w:val="0"/>
        <w:adjustRightInd w:val="0"/>
        <w:spacing w:line="360" w:lineRule="auto"/>
        <w:jc w:val="left"/>
        <w:rPr>
          <w:rFonts w:ascii="宋体" w:cs="Arial"/>
          <w:color w:val="000000"/>
          <w:kern w:val="0"/>
          <w:sz w:val="24"/>
        </w:rPr>
      </w:pPr>
      <w:r w:rsidRPr="00977154">
        <w:rPr>
          <w:rFonts w:ascii="宋体" w:hAnsi="宋体"/>
          <w:color w:val="000000"/>
          <w:kern w:val="0"/>
          <w:sz w:val="24"/>
        </w:rPr>
        <w:t>5.11.3</w:t>
      </w:r>
      <w:r w:rsidRPr="00977154">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2761"/>
        <w:gridCol w:w="4808"/>
      </w:tblGrid>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7"/>
              <w:jc w:val="center"/>
              <w:rPr>
                <w:color w:val="000000"/>
                <w:kern w:val="0"/>
                <w:sz w:val="24"/>
              </w:rPr>
            </w:pPr>
            <w:r w:rsidRPr="00C1648E">
              <w:rPr>
                <w:color w:val="000000"/>
                <w:kern w:val="0"/>
                <w:sz w:val="24"/>
              </w:rPr>
              <w:t>序号</w:t>
            </w:r>
          </w:p>
        </w:tc>
        <w:tc>
          <w:tcPr>
            <w:tcW w:w="2761" w:type="dxa"/>
            <w:vAlign w:val="center"/>
          </w:tcPr>
          <w:p w:rsidR="00A62673" w:rsidRPr="00C1648E" w:rsidRDefault="00A62673" w:rsidP="006B315F">
            <w:pPr>
              <w:autoSpaceDE w:val="0"/>
              <w:autoSpaceDN w:val="0"/>
              <w:adjustRightInd w:val="0"/>
              <w:spacing w:before="29" w:line="360" w:lineRule="auto"/>
              <w:ind w:left="17"/>
              <w:jc w:val="center"/>
              <w:rPr>
                <w:color w:val="000000"/>
                <w:kern w:val="0"/>
                <w:sz w:val="24"/>
              </w:rPr>
            </w:pPr>
            <w:r w:rsidRPr="00C1648E">
              <w:rPr>
                <w:color w:val="000000"/>
                <w:kern w:val="0"/>
                <w:sz w:val="24"/>
              </w:rPr>
              <w:t>名称</w:t>
            </w:r>
          </w:p>
        </w:tc>
        <w:tc>
          <w:tcPr>
            <w:tcW w:w="4808" w:type="dxa"/>
            <w:vAlign w:val="center"/>
          </w:tcPr>
          <w:p w:rsidR="00A62673" w:rsidRPr="00C1648E" w:rsidRDefault="00A62673" w:rsidP="006B315F">
            <w:pPr>
              <w:autoSpaceDE w:val="0"/>
              <w:autoSpaceDN w:val="0"/>
              <w:adjustRightInd w:val="0"/>
              <w:spacing w:before="29" w:line="360" w:lineRule="auto"/>
              <w:ind w:left="17"/>
              <w:jc w:val="center"/>
              <w:rPr>
                <w:color w:val="000000"/>
                <w:kern w:val="0"/>
                <w:sz w:val="24"/>
              </w:rPr>
            </w:pPr>
            <w:r w:rsidRPr="00C1648E">
              <w:rPr>
                <w:color w:val="000000"/>
                <w:kern w:val="0"/>
                <w:sz w:val="24"/>
              </w:rPr>
              <w:t>金额</w:t>
            </w:r>
            <w:r w:rsidR="005A2769" w:rsidRPr="00C1648E">
              <w:rPr>
                <w:color w:val="000000"/>
                <w:kern w:val="0"/>
                <w:sz w:val="24"/>
              </w:rPr>
              <w:t>（元）</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kern w:val="0"/>
                <w:sz w:val="24"/>
              </w:rPr>
            </w:pPr>
            <w:r w:rsidRPr="00C1648E">
              <w:rPr>
                <w:color w:val="000000"/>
                <w:sz w:val="24"/>
              </w:rPr>
              <w:lastRenderedPageBreak/>
              <w:t>1</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存出保证金</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1,221,847.41</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2</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应收证券清算款</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3</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应收股利</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4</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应收利息</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224,383.14</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5</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应收申购款</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53,870,005.58</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6</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其他应收款</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7</w:t>
            </w:r>
          </w:p>
        </w:tc>
        <w:tc>
          <w:tcPr>
            <w:tcW w:w="2761" w:type="dxa"/>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待摊费用</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sz w:val="24"/>
              </w:rPr>
            </w:pPr>
            <w:r w:rsidRPr="00C1648E">
              <w:rPr>
                <w:color w:val="00000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8</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其他</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w:t>
            </w:r>
          </w:p>
        </w:tc>
      </w:tr>
      <w:tr w:rsidR="00A62673" w:rsidRPr="00EC5CE0" w:rsidTr="006B315F">
        <w:tc>
          <w:tcPr>
            <w:tcW w:w="944" w:type="dxa"/>
            <w:vAlign w:val="center"/>
          </w:tcPr>
          <w:p w:rsidR="00A62673" w:rsidRPr="00C1648E" w:rsidRDefault="00A62673" w:rsidP="006B315F">
            <w:pPr>
              <w:autoSpaceDE w:val="0"/>
              <w:autoSpaceDN w:val="0"/>
              <w:adjustRightInd w:val="0"/>
              <w:spacing w:before="29" w:line="360" w:lineRule="auto"/>
              <w:ind w:left="15"/>
              <w:jc w:val="center"/>
              <w:rPr>
                <w:color w:val="000000"/>
                <w:sz w:val="24"/>
              </w:rPr>
            </w:pPr>
            <w:r w:rsidRPr="00C1648E">
              <w:rPr>
                <w:color w:val="000000"/>
                <w:sz w:val="24"/>
              </w:rPr>
              <w:t>9</w:t>
            </w:r>
          </w:p>
        </w:tc>
        <w:tc>
          <w:tcPr>
            <w:tcW w:w="2761" w:type="dxa"/>
            <w:vAlign w:val="center"/>
          </w:tcPr>
          <w:p w:rsidR="00A62673" w:rsidRPr="00C1648E" w:rsidRDefault="00A62673" w:rsidP="006B315F">
            <w:pPr>
              <w:autoSpaceDE w:val="0"/>
              <w:autoSpaceDN w:val="0"/>
              <w:adjustRightInd w:val="0"/>
              <w:spacing w:before="29" w:line="360" w:lineRule="auto"/>
              <w:ind w:left="15"/>
              <w:jc w:val="left"/>
              <w:rPr>
                <w:color w:val="000000"/>
                <w:kern w:val="0"/>
                <w:sz w:val="24"/>
              </w:rPr>
            </w:pPr>
            <w:r w:rsidRPr="00C1648E">
              <w:rPr>
                <w:color w:val="000000"/>
                <w:kern w:val="0"/>
                <w:sz w:val="24"/>
              </w:rPr>
              <w:t>合计</w:t>
            </w:r>
          </w:p>
        </w:tc>
        <w:tc>
          <w:tcPr>
            <w:tcW w:w="4808" w:type="dxa"/>
            <w:vAlign w:val="center"/>
          </w:tcPr>
          <w:p w:rsidR="00A62673" w:rsidRPr="00C1648E" w:rsidRDefault="00A62673" w:rsidP="006B315F">
            <w:pPr>
              <w:autoSpaceDE w:val="0"/>
              <w:autoSpaceDN w:val="0"/>
              <w:adjustRightInd w:val="0"/>
              <w:spacing w:before="29" w:line="360" w:lineRule="auto"/>
              <w:ind w:left="15"/>
              <w:jc w:val="right"/>
              <w:rPr>
                <w:color w:val="000000"/>
                <w:kern w:val="0"/>
                <w:sz w:val="24"/>
              </w:rPr>
            </w:pPr>
            <w:r w:rsidRPr="00C1648E">
              <w:rPr>
                <w:color w:val="000000"/>
                <w:kern w:val="0"/>
                <w:sz w:val="24"/>
              </w:rPr>
              <w:t>55,316,236.13</w:t>
            </w:r>
          </w:p>
        </w:tc>
      </w:tr>
    </w:tbl>
    <w:p w:rsidR="00A62673" w:rsidRPr="00977154" w:rsidRDefault="00A62673" w:rsidP="00045BEC">
      <w:pPr>
        <w:autoSpaceDE w:val="0"/>
        <w:autoSpaceDN w:val="0"/>
        <w:adjustRightInd w:val="0"/>
        <w:spacing w:line="360" w:lineRule="auto"/>
        <w:jc w:val="left"/>
        <w:rPr>
          <w:rFonts w:ascii="宋体" w:cs="Arial"/>
          <w:color w:val="000000"/>
          <w:kern w:val="0"/>
          <w:sz w:val="24"/>
        </w:rPr>
      </w:pPr>
      <w:r w:rsidRPr="00977154">
        <w:rPr>
          <w:rFonts w:ascii="宋体" w:hAnsi="宋体"/>
          <w:color w:val="000000"/>
          <w:kern w:val="0"/>
          <w:sz w:val="24"/>
        </w:rPr>
        <w:t>5.11.4</w:t>
      </w:r>
      <w:r w:rsidRPr="00977154">
        <w:rPr>
          <w:rFonts w:ascii="宋体" w:hAnsi="宋体" w:cs="Arial" w:hint="eastAsia"/>
          <w:color w:val="000000"/>
          <w:kern w:val="0"/>
          <w:sz w:val="24"/>
        </w:rPr>
        <w:t>报告期末持有的处于转股期的可转换债券明细</w:t>
      </w:r>
    </w:p>
    <w:p w:rsidR="00A62673" w:rsidRPr="00DC315B" w:rsidRDefault="00A62673" w:rsidP="00DC315B">
      <w:pPr>
        <w:spacing w:line="360" w:lineRule="auto"/>
        <w:ind w:firstLineChars="200" w:firstLine="480"/>
        <w:rPr>
          <w:color w:val="000000"/>
          <w:sz w:val="24"/>
        </w:rPr>
      </w:pPr>
      <w:r w:rsidRPr="00DC315B">
        <w:rPr>
          <w:color w:val="000000"/>
          <w:sz w:val="24"/>
        </w:rPr>
        <w:t>本基金本报告期末未持有处于转股期的可转换债券。</w:t>
      </w:r>
    </w:p>
    <w:p w:rsidR="00774C7D" w:rsidRPr="00977154" w:rsidRDefault="00774C7D" w:rsidP="00774C7D">
      <w:pPr>
        <w:spacing w:line="360" w:lineRule="auto"/>
        <w:rPr>
          <w:rFonts w:ascii="宋体" w:cs="Arial"/>
          <w:color w:val="000000"/>
          <w:kern w:val="0"/>
          <w:sz w:val="24"/>
        </w:rPr>
      </w:pPr>
      <w:r w:rsidRPr="00977154">
        <w:rPr>
          <w:rFonts w:ascii="宋体" w:hAnsi="宋体"/>
          <w:color w:val="000000"/>
          <w:kern w:val="0"/>
          <w:sz w:val="24"/>
        </w:rPr>
        <w:t>5.11.5</w:t>
      </w:r>
      <w:r w:rsidRPr="00977154">
        <w:rPr>
          <w:rFonts w:ascii="宋体" w:hAnsi="宋体" w:hint="eastAsia"/>
          <w:sz w:val="24"/>
        </w:rPr>
        <w:t>报告期末前十名股票中存在流通受限情况的说明</w:t>
      </w:r>
    </w:p>
    <w:p w:rsidR="00774C7D" w:rsidRPr="00977154" w:rsidRDefault="00774C7D" w:rsidP="00774C7D">
      <w:pPr>
        <w:spacing w:line="360" w:lineRule="auto"/>
        <w:rPr>
          <w:rFonts w:ascii="宋体" w:cs="Arial"/>
          <w:color w:val="000000"/>
          <w:kern w:val="0"/>
          <w:sz w:val="24"/>
        </w:rPr>
      </w:pPr>
      <w:r w:rsidRPr="00977154">
        <w:rPr>
          <w:rFonts w:ascii="宋体" w:hAnsi="宋体"/>
          <w:color w:val="000000"/>
          <w:kern w:val="0"/>
          <w:sz w:val="24"/>
        </w:rPr>
        <w:t>5.11.5</w:t>
      </w:r>
      <w:r w:rsidRPr="00977154">
        <w:rPr>
          <w:rFonts w:ascii="宋体" w:cs="Arial"/>
          <w:color w:val="000000"/>
          <w:kern w:val="0"/>
          <w:sz w:val="24"/>
        </w:rPr>
        <w:t>.</w:t>
      </w:r>
      <w:r w:rsidRPr="00977154">
        <w:rPr>
          <w:rFonts w:ascii="宋体" w:hAnsi="宋体" w:cs="Arial"/>
          <w:color w:val="000000"/>
          <w:kern w:val="0"/>
          <w:sz w:val="24"/>
        </w:rPr>
        <w:t>1</w:t>
      </w:r>
      <w:r w:rsidRPr="00977154">
        <w:rPr>
          <w:rFonts w:ascii="宋体" w:hAnsi="宋体" w:hint="eastAsia"/>
          <w:sz w:val="24"/>
        </w:rPr>
        <w:t>期末指数投资前十名股票中存在流通受限情况的说明</w:t>
      </w:r>
    </w:p>
    <w:p w:rsidR="00774C7D" w:rsidRPr="00DC315B" w:rsidRDefault="00774C7D" w:rsidP="00774C7D">
      <w:pPr>
        <w:spacing w:line="360" w:lineRule="auto"/>
        <w:ind w:firstLineChars="200" w:firstLine="480"/>
        <w:rPr>
          <w:color w:val="000000"/>
          <w:sz w:val="24"/>
        </w:rPr>
      </w:pPr>
      <w:r w:rsidRPr="00DC315B">
        <w:rPr>
          <w:color w:val="000000"/>
          <w:sz w:val="24"/>
        </w:rPr>
        <w:t>本基金本报告期末指数投资前十名股票中不存在流通受限情况。</w:t>
      </w:r>
    </w:p>
    <w:p w:rsidR="00774C7D" w:rsidRPr="00977154" w:rsidRDefault="00774C7D" w:rsidP="00774C7D">
      <w:pPr>
        <w:spacing w:line="360" w:lineRule="auto"/>
        <w:rPr>
          <w:rFonts w:ascii="宋体" w:cs="STSong-Light"/>
          <w:sz w:val="24"/>
        </w:rPr>
      </w:pPr>
      <w:r w:rsidRPr="00977154">
        <w:rPr>
          <w:rFonts w:ascii="宋体" w:hAnsi="宋体"/>
          <w:color w:val="000000"/>
          <w:kern w:val="0"/>
          <w:sz w:val="24"/>
        </w:rPr>
        <w:t>5.11.5</w:t>
      </w:r>
      <w:r w:rsidRPr="00977154">
        <w:rPr>
          <w:rFonts w:ascii="宋体" w:cs="Arial"/>
          <w:color w:val="000000"/>
          <w:kern w:val="0"/>
          <w:sz w:val="24"/>
        </w:rPr>
        <w:t>.</w:t>
      </w:r>
      <w:r w:rsidRPr="00977154">
        <w:rPr>
          <w:rFonts w:ascii="宋体" w:hAnsi="宋体" w:cs="Arial"/>
          <w:color w:val="000000"/>
          <w:kern w:val="0"/>
          <w:sz w:val="24"/>
        </w:rPr>
        <w:t>2</w:t>
      </w:r>
      <w:r w:rsidRPr="00977154">
        <w:rPr>
          <w:rFonts w:ascii="宋体" w:hAnsi="宋体" w:hint="eastAsia"/>
          <w:sz w:val="24"/>
        </w:rPr>
        <w:t>期末积极投资前五名股票中存在流通受限情况的说明</w:t>
      </w:r>
    </w:p>
    <w:p w:rsidR="00A62673" w:rsidRPr="00C1648E" w:rsidRDefault="00774C7D" w:rsidP="00C1648E">
      <w:pPr>
        <w:spacing w:line="360" w:lineRule="auto"/>
        <w:ind w:firstLineChars="200" w:firstLine="480"/>
        <w:rPr>
          <w:color w:val="000000"/>
          <w:sz w:val="24"/>
        </w:rPr>
      </w:pPr>
      <w:r w:rsidRPr="00DC315B">
        <w:rPr>
          <w:color w:val="000000"/>
          <w:sz w:val="24"/>
        </w:rPr>
        <w:t>本基金本报告期末积极投资前五名股票中不存在流通受限情况。</w:t>
      </w:r>
    </w:p>
    <w:p w:rsidR="00A62673" w:rsidRPr="00EC5CE0" w:rsidRDefault="00A62673" w:rsidP="00F729DC">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 xml:space="preserve">6  </w:t>
      </w:r>
      <w:r w:rsidRPr="00EC5CE0">
        <w:rPr>
          <w:rFonts w:ascii="宋体" w:hAnsi="宋体" w:cs="Arial" w:hint="eastAsia"/>
          <w:color w:val="000000"/>
          <w:kern w:val="0"/>
          <w:sz w:val="24"/>
          <w:szCs w:val="24"/>
        </w:rPr>
        <w:t>开放式基金份额变动</w:t>
      </w:r>
    </w:p>
    <w:p w:rsidR="004976EE" w:rsidRPr="00FA472B" w:rsidRDefault="004976EE" w:rsidP="004976EE">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4976EE" w:rsidRPr="0078105B" w:rsidTr="004971F0">
        <w:tc>
          <w:tcPr>
            <w:tcW w:w="3900"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sz w:val="24"/>
              </w:rPr>
              <w:t>易方达上证</w:t>
            </w:r>
            <w:r w:rsidRPr="00FA472B">
              <w:rPr>
                <w:sz w:val="24"/>
              </w:rPr>
              <w:t>50</w:t>
            </w:r>
            <w:r w:rsidRPr="00FA472B">
              <w:rPr>
                <w:sz w:val="24"/>
              </w:rPr>
              <w:t>指数</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sz w:val="24"/>
              </w:rPr>
              <w:t>易方达上证</w:t>
            </w:r>
            <w:r w:rsidRPr="00FA472B">
              <w:rPr>
                <w:sz w:val="24"/>
              </w:rPr>
              <w:t>50</w:t>
            </w:r>
            <w:r w:rsidRPr="00FA472B">
              <w:rPr>
                <w:sz w:val="24"/>
              </w:rPr>
              <w:t>指数</w:t>
            </w:r>
            <w:r w:rsidRPr="00FA472B">
              <w:rPr>
                <w:sz w:val="24"/>
              </w:rPr>
              <w:t>C</w:t>
            </w:r>
          </w:p>
        </w:tc>
      </w:tr>
      <w:tr w:rsidR="004976EE" w:rsidRPr="0078105B" w:rsidTr="004971F0">
        <w:tc>
          <w:tcPr>
            <w:tcW w:w="3900"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8,629,916,681.82</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1,053,563,372.80</w:t>
            </w:r>
          </w:p>
        </w:tc>
      </w:tr>
      <w:tr w:rsidR="004976EE" w:rsidRPr="0078105B" w:rsidTr="004971F0">
        <w:tc>
          <w:tcPr>
            <w:tcW w:w="3900"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2,053,028,075.90</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917,775,736.49</w:t>
            </w:r>
          </w:p>
        </w:tc>
      </w:tr>
      <w:tr w:rsidR="004976EE" w:rsidRPr="0078105B" w:rsidTr="004971F0">
        <w:tc>
          <w:tcPr>
            <w:tcW w:w="3900"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1,661,853,226.17</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683,618,933.22</w:t>
            </w:r>
          </w:p>
        </w:tc>
      </w:tr>
      <w:tr w:rsidR="004976EE" w:rsidRPr="0078105B" w:rsidTr="004971F0">
        <w:tc>
          <w:tcPr>
            <w:tcW w:w="3900"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w:t>
            </w:r>
          </w:p>
        </w:tc>
      </w:tr>
      <w:tr w:rsidR="004976EE" w:rsidRPr="0078105B" w:rsidTr="004971F0">
        <w:tc>
          <w:tcPr>
            <w:tcW w:w="3900"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9,021,091,531.55</w:t>
            </w:r>
          </w:p>
        </w:tc>
        <w:tc>
          <w:tcPr>
            <w:tcW w:w="2367" w:type="dxa"/>
            <w:tcBorders>
              <w:top w:val="single" w:sz="8" w:space="0" w:color="000000"/>
              <w:left w:val="single" w:sz="8" w:space="0" w:color="000000"/>
              <w:bottom w:val="single" w:sz="8" w:space="0" w:color="000000"/>
              <w:right w:val="single" w:sz="8" w:space="0" w:color="000000"/>
            </w:tcBorders>
            <w:vAlign w:val="center"/>
          </w:tcPr>
          <w:p w:rsidR="004976EE" w:rsidRPr="00FA472B" w:rsidRDefault="004976EE" w:rsidP="004971F0">
            <w:pPr>
              <w:autoSpaceDE w:val="0"/>
              <w:autoSpaceDN w:val="0"/>
              <w:adjustRightInd w:val="0"/>
              <w:spacing w:before="29" w:line="360" w:lineRule="auto"/>
              <w:ind w:left="17"/>
              <w:jc w:val="right"/>
              <w:rPr>
                <w:color w:val="000000"/>
                <w:sz w:val="24"/>
              </w:rPr>
            </w:pPr>
            <w:r w:rsidRPr="00FA472B">
              <w:rPr>
                <w:color w:val="000000"/>
                <w:sz w:val="24"/>
              </w:rPr>
              <w:t>1,287,720,176.07</w:t>
            </w:r>
          </w:p>
        </w:tc>
      </w:tr>
    </w:tbl>
    <w:p w:rsidR="00A62673" w:rsidRDefault="00A62673" w:rsidP="00F729DC">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A62673" w:rsidRDefault="00A62673" w:rsidP="00413689">
      <w:pPr>
        <w:spacing w:line="360" w:lineRule="auto"/>
        <w:jc w:val="left"/>
        <w:rPr>
          <w:sz w:val="24"/>
        </w:rPr>
      </w:pPr>
      <w:r>
        <w:rPr>
          <w:b/>
          <w:sz w:val="24"/>
        </w:rPr>
        <w:t xml:space="preserve">7.1 </w:t>
      </w:r>
      <w:r>
        <w:rPr>
          <w:rFonts w:hint="eastAsia"/>
          <w:b/>
          <w:sz w:val="24"/>
        </w:rPr>
        <w:t>基金管理人持有本基金份额变动情况</w:t>
      </w:r>
    </w:p>
    <w:p w:rsidR="00A62673" w:rsidRPr="00C1648E" w:rsidRDefault="004D5C1F" w:rsidP="00C1648E">
      <w:pPr>
        <w:spacing w:line="360" w:lineRule="auto"/>
        <w:ind w:firstLineChars="200" w:firstLine="480"/>
        <w:rPr>
          <w:color w:val="000000"/>
          <w:sz w:val="24"/>
        </w:rPr>
      </w:pPr>
      <w:r w:rsidRPr="00DF18FE">
        <w:rPr>
          <w:color w:val="000000"/>
          <w:sz w:val="24"/>
        </w:rPr>
        <w:lastRenderedPageBreak/>
        <w:t>本报告期内基金管理人未持有本基金份额。</w:t>
      </w:r>
    </w:p>
    <w:p w:rsidR="00A62673" w:rsidRDefault="00A62673" w:rsidP="00413689">
      <w:pPr>
        <w:spacing w:line="360" w:lineRule="auto"/>
        <w:jc w:val="left"/>
        <w:rPr>
          <w:sz w:val="24"/>
        </w:rPr>
      </w:pPr>
      <w:r>
        <w:rPr>
          <w:b/>
          <w:sz w:val="24"/>
        </w:rPr>
        <w:t xml:space="preserve">7.2 </w:t>
      </w:r>
      <w:r>
        <w:rPr>
          <w:rFonts w:hint="eastAsia"/>
          <w:b/>
          <w:sz w:val="24"/>
        </w:rPr>
        <w:t>基金管理人运用固有资金投资本基金交易明细</w:t>
      </w:r>
    </w:p>
    <w:p w:rsidR="00A62673" w:rsidRPr="00DC315B" w:rsidRDefault="004D5C1F" w:rsidP="00DC315B">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A62673" w:rsidRPr="00EC5CE0" w:rsidRDefault="00A62673" w:rsidP="00F729DC">
      <w:pPr>
        <w:pStyle w:val="1"/>
        <w:spacing w:beforeLines="100" w:before="312" w:afterLines="100" w:after="312" w:line="360" w:lineRule="auto"/>
        <w:jc w:val="center"/>
        <w:rPr>
          <w:rFonts w:ascii="宋体" w:cs="Arial"/>
          <w:color w:val="000000"/>
          <w:kern w:val="0"/>
          <w:sz w:val="24"/>
          <w:szCs w:val="24"/>
        </w:rPr>
      </w:pPr>
      <w:r w:rsidRPr="00EC5CE0">
        <w:rPr>
          <w:rFonts w:ascii="宋体" w:hAnsi="宋体" w:cs="Arial" w:hint="eastAsia"/>
          <w:color w:val="000000"/>
          <w:kern w:val="0"/>
          <w:sz w:val="24"/>
          <w:szCs w:val="24"/>
        </w:rPr>
        <w:t>§</w:t>
      </w:r>
      <w:r w:rsidRPr="00EC5CE0">
        <w:rPr>
          <w:rFonts w:ascii="宋体" w:hAnsi="宋体" w:cs="Arial"/>
          <w:color w:val="000000"/>
          <w:kern w:val="0"/>
          <w:sz w:val="24"/>
          <w:szCs w:val="24"/>
        </w:rPr>
        <w:t>8</w:t>
      </w:r>
      <w:r w:rsidR="00900A07" w:rsidRPr="00EC5CE0">
        <w:rPr>
          <w:rFonts w:ascii="宋体" w:hAnsi="宋体" w:cs="Arial"/>
          <w:color w:val="000000"/>
          <w:kern w:val="0"/>
          <w:sz w:val="24"/>
          <w:szCs w:val="24"/>
        </w:rPr>
        <w:t xml:space="preserve">  </w:t>
      </w:r>
      <w:r w:rsidRPr="00EC5CE0">
        <w:rPr>
          <w:rFonts w:ascii="宋体" w:hAnsi="宋体" w:cs="Arial" w:hint="eastAsia"/>
          <w:color w:val="000000"/>
          <w:kern w:val="0"/>
          <w:sz w:val="24"/>
          <w:szCs w:val="24"/>
        </w:rPr>
        <w:t>备查文件目录</w:t>
      </w:r>
    </w:p>
    <w:p w:rsidR="00A62673" w:rsidRPr="00511B6A" w:rsidRDefault="00A62673" w:rsidP="009A037F">
      <w:pPr>
        <w:spacing w:line="360" w:lineRule="auto"/>
        <w:rPr>
          <w:rFonts w:ascii="宋体"/>
          <w:b/>
          <w:color w:val="000000"/>
          <w:sz w:val="24"/>
        </w:rPr>
      </w:pPr>
      <w:r w:rsidRPr="00511B6A">
        <w:rPr>
          <w:rFonts w:ascii="宋体" w:hAnsi="宋体"/>
          <w:b/>
          <w:color w:val="000000"/>
          <w:sz w:val="24"/>
        </w:rPr>
        <w:t xml:space="preserve">8.1 </w:t>
      </w:r>
      <w:r w:rsidRPr="00511B6A">
        <w:rPr>
          <w:rFonts w:ascii="宋体" w:hAnsi="宋体" w:hint="eastAsia"/>
          <w:b/>
          <w:color w:val="000000"/>
          <w:sz w:val="24"/>
        </w:rPr>
        <w:t>备查文件目录</w:t>
      </w:r>
    </w:p>
    <w:p w:rsidR="00442D64" w:rsidRDefault="004B0E2D">
      <w:pPr>
        <w:spacing w:line="360" w:lineRule="auto"/>
        <w:ind w:firstLineChars="200" w:firstLine="480"/>
        <w:rPr>
          <w:color w:val="000000"/>
          <w:sz w:val="24"/>
        </w:rPr>
      </w:pPr>
      <w:r>
        <w:rPr>
          <w:color w:val="000000"/>
          <w:sz w:val="24"/>
        </w:rPr>
        <w:t>1.</w:t>
      </w:r>
      <w:r>
        <w:rPr>
          <w:color w:val="000000"/>
          <w:sz w:val="24"/>
        </w:rPr>
        <w:t>中国证监会批准易方达</w:t>
      </w:r>
      <w:r>
        <w:rPr>
          <w:color w:val="000000"/>
          <w:sz w:val="24"/>
        </w:rPr>
        <w:t>50</w:t>
      </w:r>
      <w:r>
        <w:rPr>
          <w:color w:val="000000"/>
          <w:sz w:val="24"/>
        </w:rPr>
        <w:t>指数证券投资基金设立的文件；</w:t>
      </w:r>
    </w:p>
    <w:p w:rsidR="00442D64" w:rsidRDefault="004B0E2D">
      <w:pPr>
        <w:spacing w:line="360" w:lineRule="auto"/>
        <w:ind w:firstLineChars="200" w:firstLine="480"/>
        <w:rPr>
          <w:color w:val="000000"/>
          <w:sz w:val="24"/>
        </w:rPr>
      </w:pPr>
      <w:r>
        <w:rPr>
          <w:color w:val="000000"/>
          <w:sz w:val="24"/>
        </w:rPr>
        <w:t>2.</w:t>
      </w:r>
      <w:r>
        <w:rPr>
          <w:color w:val="000000"/>
          <w:sz w:val="24"/>
        </w:rPr>
        <w:t>《易方达</w:t>
      </w:r>
      <w:r>
        <w:rPr>
          <w:color w:val="000000"/>
          <w:sz w:val="24"/>
        </w:rPr>
        <w:t>50</w:t>
      </w:r>
      <w:r>
        <w:rPr>
          <w:color w:val="000000"/>
          <w:sz w:val="24"/>
        </w:rPr>
        <w:t>指数证券投资基金基金合同》；</w:t>
      </w:r>
    </w:p>
    <w:p w:rsidR="00442D64" w:rsidRDefault="004B0E2D">
      <w:pPr>
        <w:spacing w:line="360" w:lineRule="auto"/>
        <w:ind w:firstLineChars="200" w:firstLine="480"/>
        <w:rPr>
          <w:color w:val="000000"/>
          <w:sz w:val="24"/>
        </w:rPr>
      </w:pPr>
      <w:r>
        <w:rPr>
          <w:color w:val="000000"/>
          <w:sz w:val="24"/>
        </w:rPr>
        <w:t>3.</w:t>
      </w:r>
      <w:r>
        <w:rPr>
          <w:color w:val="000000"/>
          <w:sz w:val="24"/>
        </w:rPr>
        <w:t>《易方达</w:t>
      </w:r>
      <w:r>
        <w:rPr>
          <w:color w:val="000000"/>
          <w:sz w:val="24"/>
        </w:rPr>
        <w:t>50</w:t>
      </w:r>
      <w:r>
        <w:rPr>
          <w:color w:val="000000"/>
          <w:sz w:val="24"/>
        </w:rPr>
        <w:t>指数证券投资基金托管协议》；</w:t>
      </w:r>
    </w:p>
    <w:p w:rsidR="00442D64" w:rsidRDefault="004B0E2D">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A62673" w:rsidRPr="00C1648E" w:rsidRDefault="00A62673" w:rsidP="00C1648E">
      <w:pPr>
        <w:spacing w:line="360" w:lineRule="auto"/>
        <w:ind w:firstLineChars="200" w:firstLine="480"/>
        <w:rPr>
          <w:color w:val="000000"/>
          <w:sz w:val="24"/>
        </w:rPr>
      </w:pPr>
      <w:r w:rsidRPr="00DC315B">
        <w:rPr>
          <w:color w:val="000000"/>
          <w:sz w:val="24"/>
        </w:rPr>
        <w:t>5.</w:t>
      </w:r>
      <w:r w:rsidRPr="00DC315B">
        <w:rPr>
          <w:color w:val="000000"/>
          <w:sz w:val="24"/>
        </w:rPr>
        <w:t>基金管理人业务资格批件和营业执照。</w:t>
      </w:r>
    </w:p>
    <w:p w:rsidR="00A62673" w:rsidRPr="00511B6A" w:rsidRDefault="00A62673" w:rsidP="009A037F">
      <w:pPr>
        <w:spacing w:line="360" w:lineRule="auto"/>
        <w:rPr>
          <w:rFonts w:ascii="宋体"/>
          <w:b/>
          <w:color w:val="000000"/>
          <w:sz w:val="24"/>
        </w:rPr>
      </w:pPr>
      <w:r w:rsidRPr="00511B6A">
        <w:rPr>
          <w:rFonts w:ascii="宋体" w:hAnsi="宋体"/>
          <w:b/>
          <w:color w:val="000000"/>
          <w:sz w:val="24"/>
        </w:rPr>
        <w:t xml:space="preserve">8.2 </w:t>
      </w:r>
      <w:r w:rsidRPr="00511B6A">
        <w:rPr>
          <w:rFonts w:ascii="宋体" w:hAnsi="宋体" w:hint="eastAsia"/>
          <w:b/>
          <w:color w:val="000000"/>
          <w:sz w:val="24"/>
        </w:rPr>
        <w:t>存放地点</w:t>
      </w:r>
    </w:p>
    <w:p w:rsidR="00A62673" w:rsidRPr="00C1648E" w:rsidRDefault="00A62673" w:rsidP="00C1648E">
      <w:pPr>
        <w:spacing w:line="360" w:lineRule="auto"/>
        <w:ind w:firstLineChars="200" w:firstLine="480"/>
        <w:rPr>
          <w:color w:val="000000"/>
          <w:sz w:val="24"/>
        </w:rPr>
      </w:pPr>
      <w:r w:rsidRPr="00DC315B">
        <w:rPr>
          <w:color w:val="000000"/>
          <w:sz w:val="24"/>
        </w:rPr>
        <w:t>广州市天河区珠江新城珠江东路</w:t>
      </w:r>
      <w:r w:rsidRPr="00DC315B">
        <w:rPr>
          <w:color w:val="000000"/>
          <w:sz w:val="24"/>
        </w:rPr>
        <w:t>30</w:t>
      </w:r>
      <w:r w:rsidRPr="00DC315B">
        <w:rPr>
          <w:color w:val="000000"/>
          <w:sz w:val="24"/>
        </w:rPr>
        <w:t>号广州银行大厦</w:t>
      </w:r>
      <w:r w:rsidRPr="00DC315B">
        <w:rPr>
          <w:color w:val="000000"/>
          <w:sz w:val="24"/>
        </w:rPr>
        <w:t>40-43</w:t>
      </w:r>
      <w:r w:rsidRPr="00DC315B">
        <w:rPr>
          <w:color w:val="000000"/>
          <w:sz w:val="24"/>
        </w:rPr>
        <w:t>楼。</w:t>
      </w:r>
    </w:p>
    <w:p w:rsidR="00A62673" w:rsidRPr="00511B6A" w:rsidRDefault="00A62673" w:rsidP="009A037F">
      <w:pPr>
        <w:spacing w:line="360" w:lineRule="auto"/>
        <w:rPr>
          <w:rFonts w:ascii="宋体"/>
          <w:b/>
          <w:color w:val="000000"/>
          <w:sz w:val="24"/>
        </w:rPr>
      </w:pPr>
      <w:r w:rsidRPr="00511B6A">
        <w:rPr>
          <w:rFonts w:ascii="宋体" w:hAnsi="宋体"/>
          <w:b/>
          <w:color w:val="000000"/>
          <w:sz w:val="24"/>
        </w:rPr>
        <w:t xml:space="preserve">8.3 </w:t>
      </w:r>
      <w:r w:rsidRPr="00511B6A">
        <w:rPr>
          <w:rFonts w:ascii="宋体" w:hAnsi="宋体" w:hint="eastAsia"/>
          <w:b/>
          <w:color w:val="000000"/>
          <w:sz w:val="24"/>
        </w:rPr>
        <w:t>查阅方式</w:t>
      </w:r>
    </w:p>
    <w:p w:rsidR="00A62673" w:rsidRPr="00DC315B" w:rsidRDefault="00A62673" w:rsidP="005A2769">
      <w:pPr>
        <w:spacing w:line="360" w:lineRule="auto"/>
        <w:ind w:firstLineChars="200" w:firstLine="480"/>
        <w:rPr>
          <w:color w:val="000000"/>
          <w:sz w:val="24"/>
        </w:rPr>
      </w:pPr>
      <w:r w:rsidRPr="00DC315B">
        <w:rPr>
          <w:color w:val="000000"/>
          <w:sz w:val="24"/>
        </w:rPr>
        <w:t>投资者可在营业时间免费查阅，也可按工本费购买复印件。</w:t>
      </w:r>
    </w:p>
    <w:p w:rsidR="00A62673" w:rsidRDefault="00A62673" w:rsidP="0019563C">
      <w:pPr>
        <w:spacing w:line="360" w:lineRule="auto"/>
        <w:ind w:left="840"/>
        <w:jc w:val="right"/>
        <w:rPr>
          <w:rFonts w:ascii="宋体"/>
          <w:color w:val="000000"/>
          <w:sz w:val="24"/>
        </w:rPr>
      </w:pPr>
    </w:p>
    <w:p w:rsidR="00A62673" w:rsidRDefault="00A62673" w:rsidP="0019563C">
      <w:pPr>
        <w:spacing w:line="360" w:lineRule="auto"/>
        <w:ind w:left="840"/>
        <w:jc w:val="right"/>
        <w:rPr>
          <w:rFonts w:ascii="宋体"/>
          <w:color w:val="000000"/>
          <w:sz w:val="24"/>
        </w:rPr>
      </w:pPr>
    </w:p>
    <w:p w:rsidR="00A62673" w:rsidRDefault="00A62673" w:rsidP="0019563C">
      <w:pPr>
        <w:spacing w:line="360" w:lineRule="auto"/>
        <w:ind w:left="840"/>
        <w:jc w:val="right"/>
        <w:rPr>
          <w:rFonts w:ascii="宋体"/>
          <w:color w:val="000000"/>
          <w:sz w:val="24"/>
        </w:rPr>
      </w:pPr>
    </w:p>
    <w:p w:rsidR="00A62673" w:rsidRPr="00EC5CE0" w:rsidRDefault="00A62673" w:rsidP="0019563C">
      <w:pPr>
        <w:spacing w:line="360" w:lineRule="auto"/>
        <w:ind w:left="840"/>
        <w:jc w:val="right"/>
        <w:rPr>
          <w:rFonts w:ascii="宋体"/>
          <w:color w:val="000000"/>
          <w:sz w:val="24"/>
        </w:rPr>
      </w:pPr>
    </w:p>
    <w:p w:rsidR="00A62673" w:rsidRPr="00EC5CE0" w:rsidRDefault="00A62673" w:rsidP="0019563C">
      <w:pPr>
        <w:spacing w:line="360" w:lineRule="auto"/>
        <w:ind w:left="840"/>
        <w:jc w:val="right"/>
        <w:rPr>
          <w:rFonts w:ascii="宋体"/>
          <w:color w:val="000000"/>
          <w:sz w:val="24"/>
        </w:rPr>
      </w:pPr>
    </w:p>
    <w:p w:rsidR="00A62673" w:rsidRPr="00EC5CE0" w:rsidRDefault="00A62673" w:rsidP="009A037F">
      <w:pPr>
        <w:spacing w:line="360" w:lineRule="auto"/>
        <w:jc w:val="right"/>
        <w:rPr>
          <w:rFonts w:ascii="宋体" w:hAnsi="宋体"/>
          <w:b/>
          <w:bCs/>
          <w:sz w:val="24"/>
        </w:rPr>
      </w:pPr>
      <w:r w:rsidRPr="00EC5CE0">
        <w:rPr>
          <w:rFonts w:ascii="宋体" w:hAnsi="宋体"/>
          <w:b/>
          <w:bCs/>
          <w:sz w:val="24"/>
        </w:rPr>
        <w:t>易方达基金管理有限公司</w:t>
      </w:r>
    </w:p>
    <w:p w:rsidR="00A62673" w:rsidRPr="00E256D9" w:rsidRDefault="00A62673" w:rsidP="00E256D9">
      <w:pPr>
        <w:spacing w:line="360" w:lineRule="auto"/>
        <w:jc w:val="right"/>
        <w:rPr>
          <w:rFonts w:ascii="宋体" w:hAnsi="宋体"/>
          <w:b/>
          <w:bCs/>
          <w:sz w:val="24"/>
        </w:rPr>
      </w:pPr>
      <w:r w:rsidRPr="00EC5CE0">
        <w:rPr>
          <w:rFonts w:ascii="宋体" w:hAnsi="宋体"/>
          <w:b/>
          <w:bCs/>
          <w:sz w:val="24"/>
        </w:rPr>
        <w:t>二〇一九年十月二十四日</w:t>
      </w:r>
    </w:p>
    <w:sectPr w:rsidR="00A62673" w:rsidRPr="00E256D9" w:rsidSect="00DB4450">
      <w:footerReference w:type="even" r:id="rId11"/>
      <w:footerReference w:type="default" r:id="rId1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15D" w:rsidRDefault="00FA115D">
      <w:r>
        <w:separator/>
      </w:r>
    </w:p>
  </w:endnote>
  <w:endnote w:type="continuationSeparator" w:id="0">
    <w:p w:rsidR="00FA115D" w:rsidRDefault="00FA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TSong-Light">
    <w:altName w:val="Times New Roman"/>
    <w:panose1 w:val="00000000000000000000"/>
    <w:charset w:val="00"/>
    <w:family w:val="roman"/>
    <w:notTrueType/>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78" w:rsidRPr="001D0DB0" w:rsidRDefault="002C4578" w:rsidP="00230A66">
    <w:pPr>
      <w:pStyle w:val="a6"/>
      <w:jc w:val="center"/>
    </w:pPr>
    <w:r>
      <w:rPr>
        <w:rFonts w:hint="eastAsia"/>
        <w:szCs w:val="21"/>
      </w:rPr>
      <w:t>第</w:t>
    </w:r>
    <w:r w:rsidR="005F7D6F">
      <w:rPr>
        <w:szCs w:val="21"/>
      </w:rPr>
      <w:fldChar w:fldCharType="begin"/>
    </w:r>
    <w:r>
      <w:rPr>
        <w:szCs w:val="21"/>
      </w:rPr>
      <w:instrText xml:space="preserve"> PAGE </w:instrText>
    </w:r>
    <w:r w:rsidR="005F7D6F">
      <w:rPr>
        <w:szCs w:val="21"/>
      </w:rPr>
      <w:fldChar w:fldCharType="separate"/>
    </w:r>
    <w:r w:rsidR="004B0E2D">
      <w:rPr>
        <w:noProof/>
        <w:szCs w:val="21"/>
      </w:rPr>
      <w:t>1</w:t>
    </w:r>
    <w:r w:rsidR="005F7D6F">
      <w:rPr>
        <w:szCs w:val="21"/>
      </w:rPr>
      <w:fldChar w:fldCharType="end"/>
    </w:r>
    <w:r>
      <w:rPr>
        <w:rFonts w:hint="eastAsia"/>
        <w:szCs w:val="21"/>
      </w:rPr>
      <w:t>页共</w:t>
    </w:r>
    <w:r w:rsidR="005F7D6F">
      <w:rPr>
        <w:szCs w:val="21"/>
      </w:rPr>
      <w:fldChar w:fldCharType="begin"/>
    </w:r>
    <w:r>
      <w:rPr>
        <w:szCs w:val="21"/>
      </w:rPr>
      <w:instrText xml:space="preserve"> NUMPAGES </w:instrText>
    </w:r>
    <w:r w:rsidR="005F7D6F">
      <w:rPr>
        <w:szCs w:val="21"/>
      </w:rPr>
      <w:fldChar w:fldCharType="separate"/>
    </w:r>
    <w:r w:rsidR="004B0E2D">
      <w:rPr>
        <w:noProof/>
        <w:szCs w:val="21"/>
      </w:rPr>
      <w:t>3</w:t>
    </w:r>
    <w:r w:rsidR="005F7D6F">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78" w:rsidRDefault="005F7D6F">
    <w:pPr>
      <w:pStyle w:val="a6"/>
      <w:framePr w:wrap="around" w:vAnchor="text" w:hAnchor="margin" w:xAlign="center" w:y="1"/>
      <w:rPr>
        <w:rStyle w:val="a7"/>
      </w:rPr>
    </w:pPr>
    <w:r>
      <w:rPr>
        <w:rStyle w:val="a7"/>
      </w:rPr>
      <w:fldChar w:fldCharType="begin"/>
    </w:r>
    <w:r w:rsidR="002C4578">
      <w:rPr>
        <w:rStyle w:val="a7"/>
      </w:rPr>
      <w:instrText xml:space="preserve">PAGE  </w:instrText>
    </w:r>
    <w:r>
      <w:rPr>
        <w:rStyle w:val="a7"/>
      </w:rPr>
      <w:fldChar w:fldCharType="end"/>
    </w:r>
  </w:p>
  <w:p w:rsidR="002C4578" w:rsidRDefault="002C457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78" w:rsidRDefault="005F7D6F">
    <w:pPr>
      <w:pStyle w:val="a6"/>
      <w:framePr w:wrap="around" w:vAnchor="text" w:hAnchor="margin" w:xAlign="center" w:y="1"/>
      <w:rPr>
        <w:rStyle w:val="a7"/>
      </w:rPr>
    </w:pPr>
    <w:r>
      <w:rPr>
        <w:rStyle w:val="a7"/>
      </w:rPr>
      <w:fldChar w:fldCharType="begin"/>
    </w:r>
    <w:r w:rsidR="002C4578">
      <w:rPr>
        <w:rStyle w:val="a7"/>
      </w:rPr>
      <w:instrText xml:space="preserve">PAGE  </w:instrText>
    </w:r>
    <w:r>
      <w:rPr>
        <w:rStyle w:val="a7"/>
      </w:rPr>
      <w:fldChar w:fldCharType="separate"/>
    </w:r>
    <w:r w:rsidR="004B0E2D">
      <w:rPr>
        <w:rStyle w:val="a7"/>
        <w:noProof/>
      </w:rPr>
      <w:t>14</w:t>
    </w:r>
    <w:r>
      <w:rPr>
        <w:rStyle w:val="a7"/>
      </w:rPr>
      <w:fldChar w:fldCharType="end"/>
    </w:r>
  </w:p>
  <w:p w:rsidR="002C4578" w:rsidRDefault="002C45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15D" w:rsidRDefault="00FA115D">
      <w:r>
        <w:separator/>
      </w:r>
    </w:p>
  </w:footnote>
  <w:footnote w:type="continuationSeparator" w:id="0">
    <w:p w:rsidR="00FA115D" w:rsidRDefault="00FA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78" w:rsidRPr="00977154" w:rsidRDefault="002C4578" w:rsidP="005E491F">
    <w:pPr>
      <w:pStyle w:val="a9"/>
      <w:pBdr>
        <w:bottom w:val="single" w:sz="6" w:space="0" w:color="auto"/>
      </w:pBdr>
      <w:jc w:val="right"/>
    </w:pPr>
    <w:r w:rsidRPr="00977154">
      <w:t>易方达</w:t>
    </w:r>
    <w:r w:rsidRPr="00977154">
      <w:t>50</w:t>
    </w:r>
    <w:r w:rsidRPr="00977154">
      <w:t>指数证券投资基金</w:t>
    </w:r>
    <w:r w:rsidRPr="00977154">
      <w:t>2019</w:t>
    </w:r>
    <w:r w:rsidRPr="00977154">
      <w:t>年第</w:t>
    </w:r>
    <w:r w:rsidRPr="00977154">
      <w:t>3</w:t>
    </w:r>
    <w:r w:rsidRPr="0097715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20BB"/>
    <w:rsid w:val="0000369F"/>
    <w:rsid w:val="0000403B"/>
    <w:rsid w:val="00005911"/>
    <w:rsid w:val="00010A83"/>
    <w:rsid w:val="00010A8E"/>
    <w:rsid w:val="00010AC3"/>
    <w:rsid w:val="000115A7"/>
    <w:rsid w:val="00011EB5"/>
    <w:rsid w:val="0001280C"/>
    <w:rsid w:val="00017581"/>
    <w:rsid w:val="00020583"/>
    <w:rsid w:val="00021DD4"/>
    <w:rsid w:val="00023BE7"/>
    <w:rsid w:val="00024709"/>
    <w:rsid w:val="00026EA4"/>
    <w:rsid w:val="00037FCF"/>
    <w:rsid w:val="000421B8"/>
    <w:rsid w:val="00043ABF"/>
    <w:rsid w:val="000445E4"/>
    <w:rsid w:val="00045BEC"/>
    <w:rsid w:val="000510AB"/>
    <w:rsid w:val="00055AF1"/>
    <w:rsid w:val="000625A6"/>
    <w:rsid w:val="00064AE3"/>
    <w:rsid w:val="0006511D"/>
    <w:rsid w:val="00066524"/>
    <w:rsid w:val="00070CD1"/>
    <w:rsid w:val="0007171B"/>
    <w:rsid w:val="00072E4F"/>
    <w:rsid w:val="00074E9F"/>
    <w:rsid w:val="000770DE"/>
    <w:rsid w:val="00081D05"/>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3E43"/>
    <w:rsid w:val="000B5CC0"/>
    <w:rsid w:val="000C1723"/>
    <w:rsid w:val="000C1B20"/>
    <w:rsid w:val="000C4107"/>
    <w:rsid w:val="000C45E7"/>
    <w:rsid w:val="000D01F4"/>
    <w:rsid w:val="000D1519"/>
    <w:rsid w:val="000D1C87"/>
    <w:rsid w:val="000E4456"/>
    <w:rsid w:val="000F175F"/>
    <w:rsid w:val="000F17D1"/>
    <w:rsid w:val="000F60FF"/>
    <w:rsid w:val="000F635F"/>
    <w:rsid w:val="000F6C61"/>
    <w:rsid w:val="000F709D"/>
    <w:rsid w:val="00100C12"/>
    <w:rsid w:val="00101DBA"/>
    <w:rsid w:val="001049B6"/>
    <w:rsid w:val="001051C6"/>
    <w:rsid w:val="00107CB4"/>
    <w:rsid w:val="0011177A"/>
    <w:rsid w:val="00112E9B"/>
    <w:rsid w:val="00116E31"/>
    <w:rsid w:val="00122A26"/>
    <w:rsid w:val="0012304E"/>
    <w:rsid w:val="001248EF"/>
    <w:rsid w:val="001257C7"/>
    <w:rsid w:val="00126DDF"/>
    <w:rsid w:val="001270BF"/>
    <w:rsid w:val="00127BAC"/>
    <w:rsid w:val="0013360F"/>
    <w:rsid w:val="00141121"/>
    <w:rsid w:val="00142A56"/>
    <w:rsid w:val="00144DF5"/>
    <w:rsid w:val="00145A97"/>
    <w:rsid w:val="00146485"/>
    <w:rsid w:val="00150AD6"/>
    <w:rsid w:val="001526F9"/>
    <w:rsid w:val="00153B40"/>
    <w:rsid w:val="00154ADA"/>
    <w:rsid w:val="0015531A"/>
    <w:rsid w:val="001600E8"/>
    <w:rsid w:val="00163B27"/>
    <w:rsid w:val="00165317"/>
    <w:rsid w:val="00165A09"/>
    <w:rsid w:val="00171BAD"/>
    <w:rsid w:val="0017347D"/>
    <w:rsid w:val="001744B4"/>
    <w:rsid w:val="001756A1"/>
    <w:rsid w:val="001761EE"/>
    <w:rsid w:val="0017659B"/>
    <w:rsid w:val="00176EAA"/>
    <w:rsid w:val="0017725A"/>
    <w:rsid w:val="001779ED"/>
    <w:rsid w:val="00177C4B"/>
    <w:rsid w:val="00182635"/>
    <w:rsid w:val="0018325A"/>
    <w:rsid w:val="00185053"/>
    <w:rsid w:val="00186199"/>
    <w:rsid w:val="001928F7"/>
    <w:rsid w:val="00194537"/>
    <w:rsid w:val="0019563C"/>
    <w:rsid w:val="00195F18"/>
    <w:rsid w:val="001968CE"/>
    <w:rsid w:val="00196E83"/>
    <w:rsid w:val="001A0A1E"/>
    <w:rsid w:val="001A21A9"/>
    <w:rsid w:val="001A59D8"/>
    <w:rsid w:val="001A5FA6"/>
    <w:rsid w:val="001A6A3B"/>
    <w:rsid w:val="001A6F8A"/>
    <w:rsid w:val="001B0A62"/>
    <w:rsid w:val="001B2F0C"/>
    <w:rsid w:val="001C13C9"/>
    <w:rsid w:val="001C37F6"/>
    <w:rsid w:val="001C6288"/>
    <w:rsid w:val="001D0DB0"/>
    <w:rsid w:val="001D0F6A"/>
    <w:rsid w:val="001D21BC"/>
    <w:rsid w:val="001D2FA5"/>
    <w:rsid w:val="001D35E0"/>
    <w:rsid w:val="001D3711"/>
    <w:rsid w:val="001D3CDF"/>
    <w:rsid w:val="001D5045"/>
    <w:rsid w:val="001D5A44"/>
    <w:rsid w:val="001D63BB"/>
    <w:rsid w:val="001D724B"/>
    <w:rsid w:val="001E11D3"/>
    <w:rsid w:val="001E2A6A"/>
    <w:rsid w:val="001E3742"/>
    <w:rsid w:val="001E3DC2"/>
    <w:rsid w:val="001E56FF"/>
    <w:rsid w:val="001E5C6B"/>
    <w:rsid w:val="001F03E1"/>
    <w:rsid w:val="001F3CC6"/>
    <w:rsid w:val="001F4530"/>
    <w:rsid w:val="001F4A65"/>
    <w:rsid w:val="001F5265"/>
    <w:rsid w:val="002010DE"/>
    <w:rsid w:val="00202885"/>
    <w:rsid w:val="00202968"/>
    <w:rsid w:val="00202C32"/>
    <w:rsid w:val="00203AEF"/>
    <w:rsid w:val="00211A26"/>
    <w:rsid w:val="002125F7"/>
    <w:rsid w:val="00214463"/>
    <w:rsid w:val="00214756"/>
    <w:rsid w:val="00215CF2"/>
    <w:rsid w:val="00217171"/>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BE3"/>
    <w:rsid w:val="0025158D"/>
    <w:rsid w:val="002517C2"/>
    <w:rsid w:val="0025281A"/>
    <w:rsid w:val="00253D3C"/>
    <w:rsid w:val="00255292"/>
    <w:rsid w:val="00257D8C"/>
    <w:rsid w:val="00257F8D"/>
    <w:rsid w:val="00260200"/>
    <w:rsid w:val="00263563"/>
    <w:rsid w:val="002648D8"/>
    <w:rsid w:val="00264E55"/>
    <w:rsid w:val="00267B74"/>
    <w:rsid w:val="00270548"/>
    <w:rsid w:val="00273F86"/>
    <w:rsid w:val="002774F0"/>
    <w:rsid w:val="00283272"/>
    <w:rsid w:val="0028459B"/>
    <w:rsid w:val="00284C5F"/>
    <w:rsid w:val="002873F0"/>
    <w:rsid w:val="00287AC3"/>
    <w:rsid w:val="0029046D"/>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4578"/>
    <w:rsid w:val="002C5777"/>
    <w:rsid w:val="002D32E3"/>
    <w:rsid w:val="002D7B86"/>
    <w:rsid w:val="002E0FEB"/>
    <w:rsid w:val="002E300D"/>
    <w:rsid w:val="002F0F79"/>
    <w:rsid w:val="002F1CC8"/>
    <w:rsid w:val="002F280E"/>
    <w:rsid w:val="002F3709"/>
    <w:rsid w:val="002F3A6C"/>
    <w:rsid w:val="002F4296"/>
    <w:rsid w:val="00300951"/>
    <w:rsid w:val="003023C9"/>
    <w:rsid w:val="00302CA8"/>
    <w:rsid w:val="00302DE9"/>
    <w:rsid w:val="00305084"/>
    <w:rsid w:val="00310086"/>
    <w:rsid w:val="00312FE8"/>
    <w:rsid w:val="0031358C"/>
    <w:rsid w:val="00313AE2"/>
    <w:rsid w:val="0031630D"/>
    <w:rsid w:val="003204E9"/>
    <w:rsid w:val="00321E8C"/>
    <w:rsid w:val="00322A86"/>
    <w:rsid w:val="00323AE8"/>
    <w:rsid w:val="00324548"/>
    <w:rsid w:val="003251F4"/>
    <w:rsid w:val="003303E3"/>
    <w:rsid w:val="00331FA4"/>
    <w:rsid w:val="003329EA"/>
    <w:rsid w:val="003347EF"/>
    <w:rsid w:val="00337293"/>
    <w:rsid w:val="003407A5"/>
    <w:rsid w:val="00341188"/>
    <w:rsid w:val="0034147B"/>
    <w:rsid w:val="00345AA8"/>
    <w:rsid w:val="00350238"/>
    <w:rsid w:val="0035109C"/>
    <w:rsid w:val="00351F0A"/>
    <w:rsid w:val="0035432B"/>
    <w:rsid w:val="00357172"/>
    <w:rsid w:val="0035753B"/>
    <w:rsid w:val="003613A8"/>
    <w:rsid w:val="00361E7E"/>
    <w:rsid w:val="0036360E"/>
    <w:rsid w:val="00364504"/>
    <w:rsid w:val="00364559"/>
    <w:rsid w:val="00370AA4"/>
    <w:rsid w:val="00371FF4"/>
    <w:rsid w:val="00376C39"/>
    <w:rsid w:val="00377520"/>
    <w:rsid w:val="003802CC"/>
    <w:rsid w:val="00380D36"/>
    <w:rsid w:val="003822D3"/>
    <w:rsid w:val="0038237A"/>
    <w:rsid w:val="003834E0"/>
    <w:rsid w:val="00384C43"/>
    <w:rsid w:val="00386630"/>
    <w:rsid w:val="00390B25"/>
    <w:rsid w:val="00397156"/>
    <w:rsid w:val="00397960"/>
    <w:rsid w:val="003A0A94"/>
    <w:rsid w:val="003A3BC4"/>
    <w:rsid w:val="003A458A"/>
    <w:rsid w:val="003B2DA8"/>
    <w:rsid w:val="003B2F13"/>
    <w:rsid w:val="003B405E"/>
    <w:rsid w:val="003B57D3"/>
    <w:rsid w:val="003C1A49"/>
    <w:rsid w:val="003C1F58"/>
    <w:rsid w:val="003C6C58"/>
    <w:rsid w:val="003C792F"/>
    <w:rsid w:val="003D124B"/>
    <w:rsid w:val="003D18F3"/>
    <w:rsid w:val="003D23CB"/>
    <w:rsid w:val="003D6F64"/>
    <w:rsid w:val="003D78B5"/>
    <w:rsid w:val="003E244F"/>
    <w:rsid w:val="003E62A6"/>
    <w:rsid w:val="003E688B"/>
    <w:rsid w:val="003E68A0"/>
    <w:rsid w:val="003E695F"/>
    <w:rsid w:val="003E6C9B"/>
    <w:rsid w:val="003E709C"/>
    <w:rsid w:val="003E7B89"/>
    <w:rsid w:val="003F4241"/>
    <w:rsid w:val="003F7040"/>
    <w:rsid w:val="003F7C45"/>
    <w:rsid w:val="0040132C"/>
    <w:rsid w:val="00405085"/>
    <w:rsid w:val="00405481"/>
    <w:rsid w:val="004066FC"/>
    <w:rsid w:val="00407C10"/>
    <w:rsid w:val="004103DF"/>
    <w:rsid w:val="00410E6E"/>
    <w:rsid w:val="004113B4"/>
    <w:rsid w:val="00413689"/>
    <w:rsid w:val="004143D6"/>
    <w:rsid w:val="00414827"/>
    <w:rsid w:val="00416C10"/>
    <w:rsid w:val="00420355"/>
    <w:rsid w:val="00421E6B"/>
    <w:rsid w:val="00424EF3"/>
    <w:rsid w:val="004268BB"/>
    <w:rsid w:val="00431047"/>
    <w:rsid w:val="004318F0"/>
    <w:rsid w:val="00431B86"/>
    <w:rsid w:val="00435368"/>
    <w:rsid w:val="004408EC"/>
    <w:rsid w:val="004419E2"/>
    <w:rsid w:val="00441E6A"/>
    <w:rsid w:val="00442D64"/>
    <w:rsid w:val="0044398D"/>
    <w:rsid w:val="00443C8F"/>
    <w:rsid w:val="00447C82"/>
    <w:rsid w:val="00450215"/>
    <w:rsid w:val="00452481"/>
    <w:rsid w:val="00457251"/>
    <w:rsid w:val="004575E9"/>
    <w:rsid w:val="004576F2"/>
    <w:rsid w:val="00457804"/>
    <w:rsid w:val="00462C3D"/>
    <w:rsid w:val="004646BF"/>
    <w:rsid w:val="00464744"/>
    <w:rsid w:val="004665E3"/>
    <w:rsid w:val="00467683"/>
    <w:rsid w:val="004731F1"/>
    <w:rsid w:val="00480BC8"/>
    <w:rsid w:val="00481265"/>
    <w:rsid w:val="004814BF"/>
    <w:rsid w:val="0048587E"/>
    <w:rsid w:val="00487C2B"/>
    <w:rsid w:val="00490626"/>
    <w:rsid w:val="00491631"/>
    <w:rsid w:val="0049297D"/>
    <w:rsid w:val="004929F2"/>
    <w:rsid w:val="00494E27"/>
    <w:rsid w:val="00495A03"/>
    <w:rsid w:val="004967FC"/>
    <w:rsid w:val="00497079"/>
    <w:rsid w:val="004976EE"/>
    <w:rsid w:val="004A00BD"/>
    <w:rsid w:val="004A1A57"/>
    <w:rsid w:val="004A1BBA"/>
    <w:rsid w:val="004A3E3C"/>
    <w:rsid w:val="004B0E2D"/>
    <w:rsid w:val="004B0E4B"/>
    <w:rsid w:val="004B0E6D"/>
    <w:rsid w:val="004B16E8"/>
    <w:rsid w:val="004B2DB9"/>
    <w:rsid w:val="004B5E54"/>
    <w:rsid w:val="004B6250"/>
    <w:rsid w:val="004B76B1"/>
    <w:rsid w:val="004C0057"/>
    <w:rsid w:val="004C03A7"/>
    <w:rsid w:val="004C0541"/>
    <w:rsid w:val="004C2C46"/>
    <w:rsid w:val="004C5189"/>
    <w:rsid w:val="004C7235"/>
    <w:rsid w:val="004C7955"/>
    <w:rsid w:val="004D047F"/>
    <w:rsid w:val="004D1930"/>
    <w:rsid w:val="004D1A45"/>
    <w:rsid w:val="004D3D96"/>
    <w:rsid w:val="004D5C1F"/>
    <w:rsid w:val="004D650F"/>
    <w:rsid w:val="004E2133"/>
    <w:rsid w:val="004E5AB9"/>
    <w:rsid w:val="004E60FB"/>
    <w:rsid w:val="004F4EA9"/>
    <w:rsid w:val="004F779C"/>
    <w:rsid w:val="004F7846"/>
    <w:rsid w:val="005000D4"/>
    <w:rsid w:val="0050069E"/>
    <w:rsid w:val="005009C0"/>
    <w:rsid w:val="00500F1D"/>
    <w:rsid w:val="0050148E"/>
    <w:rsid w:val="0050212C"/>
    <w:rsid w:val="00504285"/>
    <w:rsid w:val="00504432"/>
    <w:rsid w:val="00505EE0"/>
    <w:rsid w:val="0050638D"/>
    <w:rsid w:val="00510CAF"/>
    <w:rsid w:val="00511B6A"/>
    <w:rsid w:val="005128C5"/>
    <w:rsid w:val="00514754"/>
    <w:rsid w:val="0051478B"/>
    <w:rsid w:val="0051566A"/>
    <w:rsid w:val="00515D7B"/>
    <w:rsid w:val="005166E9"/>
    <w:rsid w:val="0052009E"/>
    <w:rsid w:val="00521065"/>
    <w:rsid w:val="00524EC3"/>
    <w:rsid w:val="00525E59"/>
    <w:rsid w:val="005318CC"/>
    <w:rsid w:val="00531D1B"/>
    <w:rsid w:val="005349B1"/>
    <w:rsid w:val="005374BC"/>
    <w:rsid w:val="00543188"/>
    <w:rsid w:val="00543367"/>
    <w:rsid w:val="00543BFA"/>
    <w:rsid w:val="00547D9C"/>
    <w:rsid w:val="00547DA1"/>
    <w:rsid w:val="00551CED"/>
    <w:rsid w:val="00554EAB"/>
    <w:rsid w:val="0055513C"/>
    <w:rsid w:val="00560C94"/>
    <w:rsid w:val="00560F37"/>
    <w:rsid w:val="0056291C"/>
    <w:rsid w:val="00565A63"/>
    <w:rsid w:val="00566588"/>
    <w:rsid w:val="00570B1A"/>
    <w:rsid w:val="00572736"/>
    <w:rsid w:val="0057275D"/>
    <w:rsid w:val="005800A9"/>
    <w:rsid w:val="00580488"/>
    <w:rsid w:val="0058074D"/>
    <w:rsid w:val="00580FD1"/>
    <w:rsid w:val="0058111B"/>
    <w:rsid w:val="00582FAD"/>
    <w:rsid w:val="00583489"/>
    <w:rsid w:val="00583A98"/>
    <w:rsid w:val="00584D71"/>
    <w:rsid w:val="005858C4"/>
    <w:rsid w:val="00590FE4"/>
    <w:rsid w:val="00591D9C"/>
    <w:rsid w:val="00597057"/>
    <w:rsid w:val="00597D8B"/>
    <w:rsid w:val="005A1C30"/>
    <w:rsid w:val="005A2769"/>
    <w:rsid w:val="005A2DCB"/>
    <w:rsid w:val="005A3295"/>
    <w:rsid w:val="005A46FF"/>
    <w:rsid w:val="005A6166"/>
    <w:rsid w:val="005B011E"/>
    <w:rsid w:val="005B1C7D"/>
    <w:rsid w:val="005B1DEC"/>
    <w:rsid w:val="005B2E84"/>
    <w:rsid w:val="005B53CA"/>
    <w:rsid w:val="005B5A04"/>
    <w:rsid w:val="005B7B0E"/>
    <w:rsid w:val="005C0A04"/>
    <w:rsid w:val="005C5409"/>
    <w:rsid w:val="005C69AC"/>
    <w:rsid w:val="005C722E"/>
    <w:rsid w:val="005D01A4"/>
    <w:rsid w:val="005D14DE"/>
    <w:rsid w:val="005D3F12"/>
    <w:rsid w:val="005D44E4"/>
    <w:rsid w:val="005D45B3"/>
    <w:rsid w:val="005D4CEB"/>
    <w:rsid w:val="005E491F"/>
    <w:rsid w:val="005E58CE"/>
    <w:rsid w:val="005E59E9"/>
    <w:rsid w:val="005F04E6"/>
    <w:rsid w:val="005F23CA"/>
    <w:rsid w:val="005F43B9"/>
    <w:rsid w:val="005F68CB"/>
    <w:rsid w:val="005F6A4A"/>
    <w:rsid w:val="005F7D6F"/>
    <w:rsid w:val="00602154"/>
    <w:rsid w:val="006033E3"/>
    <w:rsid w:val="00604FE3"/>
    <w:rsid w:val="0061321C"/>
    <w:rsid w:val="00620DB0"/>
    <w:rsid w:val="0062386E"/>
    <w:rsid w:val="00623D9A"/>
    <w:rsid w:val="00623F01"/>
    <w:rsid w:val="006242FB"/>
    <w:rsid w:val="00626E2D"/>
    <w:rsid w:val="00627D94"/>
    <w:rsid w:val="00630B42"/>
    <w:rsid w:val="00636CDE"/>
    <w:rsid w:val="00637BA7"/>
    <w:rsid w:val="00640ACD"/>
    <w:rsid w:val="00642072"/>
    <w:rsid w:val="00643330"/>
    <w:rsid w:val="006440ED"/>
    <w:rsid w:val="00645293"/>
    <w:rsid w:val="00647C64"/>
    <w:rsid w:val="00651B78"/>
    <w:rsid w:val="00652263"/>
    <w:rsid w:val="00652881"/>
    <w:rsid w:val="00661974"/>
    <w:rsid w:val="00664551"/>
    <w:rsid w:val="00664E44"/>
    <w:rsid w:val="00665677"/>
    <w:rsid w:val="0066704D"/>
    <w:rsid w:val="006676A0"/>
    <w:rsid w:val="00670857"/>
    <w:rsid w:val="00671124"/>
    <w:rsid w:val="006727B0"/>
    <w:rsid w:val="0067307E"/>
    <w:rsid w:val="00677AC6"/>
    <w:rsid w:val="00687AD5"/>
    <w:rsid w:val="00691AFA"/>
    <w:rsid w:val="0069335C"/>
    <w:rsid w:val="00695251"/>
    <w:rsid w:val="00695ADE"/>
    <w:rsid w:val="00695C0D"/>
    <w:rsid w:val="00696356"/>
    <w:rsid w:val="006A72C6"/>
    <w:rsid w:val="006B02DA"/>
    <w:rsid w:val="006B2065"/>
    <w:rsid w:val="006B315F"/>
    <w:rsid w:val="006B3940"/>
    <w:rsid w:val="006C168D"/>
    <w:rsid w:val="006C1D5C"/>
    <w:rsid w:val="006C3C80"/>
    <w:rsid w:val="006C3F43"/>
    <w:rsid w:val="006C642C"/>
    <w:rsid w:val="006C6FC6"/>
    <w:rsid w:val="006D442E"/>
    <w:rsid w:val="006D6A40"/>
    <w:rsid w:val="006D6F20"/>
    <w:rsid w:val="006D7693"/>
    <w:rsid w:val="006E231B"/>
    <w:rsid w:val="006E346E"/>
    <w:rsid w:val="006E34B7"/>
    <w:rsid w:val="006F0F87"/>
    <w:rsid w:val="006F2F3E"/>
    <w:rsid w:val="006F4CD8"/>
    <w:rsid w:val="006F53D9"/>
    <w:rsid w:val="006F6A94"/>
    <w:rsid w:val="007004DC"/>
    <w:rsid w:val="00701575"/>
    <w:rsid w:val="00701A03"/>
    <w:rsid w:val="00703E8A"/>
    <w:rsid w:val="00711522"/>
    <w:rsid w:val="007124FE"/>
    <w:rsid w:val="00712EE5"/>
    <w:rsid w:val="00713186"/>
    <w:rsid w:val="00713757"/>
    <w:rsid w:val="0071379B"/>
    <w:rsid w:val="0071497D"/>
    <w:rsid w:val="00717772"/>
    <w:rsid w:val="0072122C"/>
    <w:rsid w:val="00721AF1"/>
    <w:rsid w:val="0072280F"/>
    <w:rsid w:val="00722B5E"/>
    <w:rsid w:val="00723309"/>
    <w:rsid w:val="00723845"/>
    <w:rsid w:val="0072708F"/>
    <w:rsid w:val="007323FB"/>
    <w:rsid w:val="00732D1D"/>
    <w:rsid w:val="00736034"/>
    <w:rsid w:val="0073681C"/>
    <w:rsid w:val="00741EBE"/>
    <w:rsid w:val="00746130"/>
    <w:rsid w:val="007467A8"/>
    <w:rsid w:val="00746A40"/>
    <w:rsid w:val="007479DC"/>
    <w:rsid w:val="00750358"/>
    <w:rsid w:val="00755CDF"/>
    <w:rsid w:val="00757A4C"/>
    <w:rsid w:val="0076110A"/>
    <w:rsid w:val="00764A94"/>
    <w:rsid w:val="00764DC3"/>
    <w:rsid w:val="007651E5"/>
    <w:rsid w:val="007670DC"/>
    <w:rsid w:val="00767239"/>
    <w:rsid w:val="0077111A"/>
    <w:rsid w:val="00772272"/>
    <w:rsid w:val="00774C7D"/>
    <w:rsid w:val="007756ED"/>
    <w:rsid w:val="007869A0"/>
    <w:rsid w:val="00786A23"/>
    <w:rsid w:val="007870FC"/>
    <w:rsid w:val="00787CD0"/>
    <w:rsid w:val="00791053"/>
    <w:rsid w:val="00791A3A"/>
    <w:rsid w:val="00794196"/>
    <w:rsid w:val="00797637"/>
    <w:rsid w:val="007A2E54"/>
    <w:rsid w:val="007A3680"/>
    <w:rsid w:val="007A59B8"/>
    <w:rsid w:val="007B2862"/>
    <w:rsid w:val="007B662A"/>
    <w:rsid w:val="007B6FEC"/>
    <w:rsid w:val="007C1A93"/>
    <w:rsid w:val="007C751E"/>
    <w:rsid w:val="007D021A"/>
    <w:rsid w:val="007D28C9"/>
    <w:rsid w:val="007D3CC8"/>
    <w:rsid w:val="007D62F9"/>
    <w:rsid w:val="007D63A4"/>
    <w:rsid w:val="007E1AA2"/>
    <w:rsid w:val="007E4C1F"/>
    <w:rsid w:val="007F0746"/>
    <w:rsid w:val="007F0759"/>
    <w:rsid w:val="007F25C0"/>
    <w:rsid w:val="007F456A"/>
    <w:rsid w:val="007F4C9B"/>
    <w:rsid w:val="007F5F52"/>
    <w:rsid w:val="007F67D5"/>
    <w:rsid w:val="007F77C6"/>
    <w:rsid w:val="007F77D8"/>
    <w:rsid w:val="008003A1"/>
    <w:rsid w:val="008006B7"/>
    <w:rsid w:val="00800FDB"/>
    <w:rsid w:val="00802081"/>
    <w:rsid w:val="008020B5"/>
    <w:rsid w:val="008021E8"/>
    <w:rsid w:val="008034CF"/>
    <w:rsid w:val="00803F15"/>
    <w:rsid w:val="008063D8"/>
    <w:rsid w:val="00806461"/>
    <w:rsid w:val="008066CA"/>
    <w:rsid w:val="00806722"/>
    <w:rsid w:val="0081096D"/>
    <w:rsid w:val="00810EAD"/>
    <w:rsid w:val="00811833"/>
    <w:rsid w:val="008174D4"/>
    <w:rsid w:val="00820FE6"/>
    <w:rsid w:val="00821A66"/>
    <w:rsid w:val="00822476"/>
    <w:rsid w:val="00822882"/>
    <w:rsid w:val="0082435E"/>
    <w:rsid w:val="00824CB2"/>
    <w:rsid w:val="00825F68"/>
    <w:rsid w:val="008273D3"/>
    <w:rsid w:val="00835408"/>
    <w:rsid w:val="008359DA"/>
    <w:rsid w:val="00837CEF"/>
    <w:rsid w:val="00840035"/>
    <w:rsid w:val="00840220"/>
    <w:rsid w:val="008419D5"/>
    <w:rsid w:val="00841B65"/>
    <w:rsid w:val="008428A9"/>
    <w:rsid w:val="00844112"/>
    <w:rsid w:val="008444F2"/>
    <w:rsid w:val="008456C9"/>
    <w:rsid w:val="0084611D"/>
    <w:rsid w:val="00847BEF"/>
    <w:rsid w:val="00847D9E"/>
    <w:rsid w:val="00850C62"/>
    <w:rsid w:val="008624F9"/>
    <w:rsid w:val="00863011"/>
    <w:rsid w:val="00865075"/>
    <w:rsid w:val="00866F96"/>
    <w:rsid w:val="0086748F"/>
    <w:rsid w:val="00872CE4"/>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D88"/>
    <w:rsid w:val="008A2F16"/>
    <w:rsid w:val="008B1823"/>
    <w:rsid w:val="008B203C"/>
    <w:rsid w:val="008B6E16"/>
    <w:rsid w:val="008B7110"/>
    <w:rsid w:val="008C2029"/>
    <w:rsid w:val="008C61D6"/>
    <w:rsid w:val="008C64F1"/>
    <w:rsid w:val="008D1531"/>
    <w:rsid w:val="008D1BB0"/>
    <w:rsid w:val="008D20FF"/>
    <w:rsid w:val="008D2265"/>
    <w:rsid w:val="008D3DE6"/>
    <w:rsid w:val="008D4223"/>
    <w:rsid w:val="008D44CC"/>
    <w:rsid w:val="008D46E3"/>
    <w:rsid w:val="008D6709"/>
    <w:rsid w:val="008D7EF7"/>
    <w:rsid w:val="008E083A"/>
    <w:rsid w:val="008E1338"/>
    <w:rsid w:val="008E2450"/>
    <w:rsid w:val="008E2983"/>
    <w:rsid w:val="008E6038"/>
    <w:rsid w:val="008E7896"/>
    <w:rsid w:val="008F2477"/>
    <w:rsid w:val="008F2F2B"/>
    <w:rsid w:val="008F385C"/>
    <w:rsid w:val="008F3EF6"/>
    <w:rsid w:val="008F4AAB"/>
    <w:rsid w:val="008F60C5"/>
    <w:rsid w:val="00900A07"/>
    <w:rsid w:val="009010F0"/>
    <w:rsid w:val="00901162"/>
    <w:rsid w:val="0090223A"/>
    <w:rsid w:val="009028E2"/>
    <w:rsid w:val="009135C1"/>
    <w:rsid w:val="00914EAB"/>
    <w:rsid w:val="00916597"/>
    <w:rsid w:val="00922D49"/>
    <w:rsid w:val="009259CF"/>
    <w:rsid w:val="00925E37"/>
    <w:rsid w:val="00925EDD"/>
    <w:rsid w:val="00927D0E"/>
    <w:rsid w:val="009309DA"/>
    <w:rsid w:val="00936688"/>
    <w:rsid w:val="00937CFA"/>
    <w:rsid w:val="009406B3"/>
    <w:rsid w:val="00942DF0"/>
    <w:rsid w:val="00945CF5"/>
    <w:rsid w:val="009500A1"/>
    <w:rsid w:val="0095037E"/>
    <w:rsid w:val="00950845"/>
    <w:rsid w:val="00952AAD"/>
    <w:rsid w:val="00954567"/>
    <w:rsid w:val="009547A9"/>
    <w:rsid w:val="009548FE"/>
    <w:rsid w:val="00956F0B"/>
    <w:rsid w:val="00957466"/>
    <w:rsid w:val="0096260B"/>
    <w:rsid w:val="009664D5"/>
    <w:rsid w:val="00970C69"/>
    <w:rsid w:val="00971DF7"/>
    <w:rsid w:val="00971F1C"/>
    <w:rsid w:val="0097211D"/>
    <w:rsid w:val="00972E10"/>
    <w:rsid w:val="009746CA"/>
    <w:rsid w:val="00974975"/>
    <w:rsid w:val="00974EA8"/>
    <w:rsid w:val="00975555"/>
    <w:rsid w:val="00977154"/>
    <w:rsid w:val="00981963"/>
    <w:rsid w:val="00983C82"/>
    <w:rsid w:val="00984520"/>
    <w:rsid w:val="0098545C"/>
    <w:rsid w:val="00992BA2"/>
    <w:rsid w:val="00992F83"/>
    <w:rsid w:val="0099508A"/>
    <w:rsid w:val="009974EB"/>
    <w:rsid w:val="009A037F"/>
    <w:rsid w:val="009A1126"/>
    <w:rsid w:val="009A552C"/>
    <w:rsid w:val="009A63AC"/>
    <w:rsid w:val="009B1584"/>
    <w:rsid w:val="009B1B32"/>
    <w:rsid w:val="009B21CA"/>
    <w:rsid w:val="009B2648"/>
    <w:rsid w:val="009B2EE9"/>
    <w:rsid w:val="009C03E5"/>
    <w:rsid w:val="009C0C11"/>
    <w:rsid w:val="009C3730"/>
    <w:rsid w:val="009C37BD"/>
    <w:rsid w:val="009C3AAC"/>
    <w:rsid w:val="009C4D19"/>
    <w:rsid w:val="009C5FDB"/>
    <w:rsid w:val="009C6493"/>
    <w:rsid w:val="009C693E"/>
    <w:rsid w:val="009C70CB"/>
    <w:rsid w:val="009D1EA4"/>
    <w:rsid w:val="009D27AA"/>
    <w:rsid w:val="009D38BA"/>
    <w:rsid w:val="009D4991"/>
    <w:rsid w:val="009D5BB5"/>
    <w:rsid w:val="009D696D"/>
    <w:rsid w:val="009D6ED2"/>
    <w:rsid w:val="009D7F16"/>
    <w:rsid w:val="009E0F1A"/>
    <w:rsid w:val="009E140D"/>
    <w:rsid w:val="009E348F"/>
    <w:rsid w:val="009E4465"/>
    <w:rsid w:val="009E4DF2"/>
    <w:rsid w:val="009E6401"/>
    <w:rsid w:val="009E6C54"/>
    <w:rsid w:val="009F2261"/>
    <w:rsid w:val="009F2A25"/>
    <w:rsid w:val="009F5235"/>
    <w:rsid w:val="009F531A"/>
    <w:rsid w:val="009F6550"/>
    <w:rsid w:val="009F786E"/>
    <w:rsid w:val="00A00902"/>
    <w:rsid w:val="00A039FF"/>
    <w:rsid w:val="00A0522C"/>
    <w:rsid w:val="00A05ACE"/>
    <w:rsid w:val="00A078CB"/>
    <w:rsid w:val="00A125F9"/>
    <w:rsid w:val="00A14AE3"/>
    <w:rsid w:val="00A16675"/>
    <w:rsid w:val="00A22CD6"/>
    <w:rsid w:val="00A234EC"/>
    <w:rsid w:val="00A2417A"/>
    <w:rsid w:val="00A26668"/>
    <w:rsid w:val="00A27804"/>
    <w:rsid w:val="00A3489D"/>
    <w:rsid w:val="00A348F0"/>
    <w:rsid w:val="00A36822"/>
    <w:rsid w:val="00A36AB5"/>
    <w:rsid w:val="00A411D1"/>
    <w:rsid w:val="00A428A4"/>
    <w:rsid w:val="00A42CE1"/>
    <w:rsid w:val="00A43389"/>
    <w:rsid w:val="00A43E71"/>
    <w:rsid w:val="00A45753"/>
    <w:rsid w:val="00A47B15"/>
    <w:rsid w:val="00A52F84"/>
    <w:rsid w:val="00A56B05"/>
    <w:rsid w:val="00A57678"/>
    <w:rsid w:val="00A60E2F"/>
    <w:rsid w:val="00A618F3"/>
    <w:rsid w:val="00A62673"/>
    <w:rsid w:val="00A62A16"/>
    <w:rsid w:val="00A63284"/>
    <w:rsid w:val="00A64CB8"/>
    <w:rsid w:val="00A67018"/>
    <w:rsid w:val="00A672F3"/>
    <w:rsid w:val="00A673DC"/>
    <w:rsid w:val="00A677FA"/>
    <w:rsid w:val="00A7076E"/>
    <w:rsid w:val="00A709BE"/>
    <w:rsid w:val="00A7162E"/>
    <w:rsid w:val="00A7195A"/>
    <w:rsid w:val="00A72D71"/>
    <w:rsid w:val="00A75705"/>
    <w:rsid w:val="00A77C69"/>
    <w:rsid w:val="00A829DE"/>
    <w:rsid w:val="00A83953"/>
    <w:rsid w:val="00A84113"/>
    <w:rsid w:val="00A85AF5"/>
    <w:rsid w:val="00A903B6"/>
    <w:rsid w:val="00A90F4F"/>
    <w:rsid w:val="00A92C40"/>
    <w:rsid w:val="00A947AA"/>
    <w:rsid w:val="00AA0AC5"/>
    <w:rsid w:val="00AA19FE"/>
    <w:rsid w:val="00AA1B53"/>
    <w:rsid w:val="00AA3556"/>
    <w:rsid w:val="00AA35FD"/>
    <w:rsid w:val="00AA38A5"/>
    <w:rsid w:val="00AA3ADC"/>
    <w:rsid w:val="00AA3DB7"/>
    <w:rsid w:val="00AA6B2E"/>
    <w:rsid w:val="00AB3012"/>
    <w:rsid w:val="00AB321C"/>
    <w:rsid w:val="00AB5B99"/>
    <w:rsid w:val="00AB688F"/>
    <w:rsid w:val="00AB75EA"/>
    <w:rsid w:val="00AB7AA2"/>
    <w:rsid w:val="00AC44D9"/>
    <w:rsid w:val="00AC4BC1"/>
    <w:rsid w:val="00AC6FFD"/>
    <w:rsid w:val="00AD04BD"/>
    <w:rsid w:val="00AD25F6"/>
    <w:rsid w:val="00AD67CB"/>
    <w:rsid w:val="00AD7214"/>
    <w:rsid w:val="00AE1066"/>
    <w:rsid w:val="00AE4518"/>
    <w:rsid w:val="00AE5D7F"/>
    <w:rsid w:val="00AE79F0"/>
    <w:rsid w:val="00AE7FCD"/>
    <w:rsid w:val="00AF0030"/>
    <w:rsid w:val="00AF2DAE"/>
    <w:rsid w:val="00AF5585"/>
    <w:rsid w:val="00AF6EC1"/>
    <w:rsid w:val="00B00331"/>
    <w:rsid w:val="00B01A80"/>
    <w:rsid w:val="00B03EF2"/>
    <w:rsid w:val="00B07C27"/>
    <w:rsid w:val="00B10017"/>
    <w:rsid w:val="00B10DE1"/>
    <w:rsid w:val="00B10FF8"/>
    <w:rsid w:val="00B203C4"/>
    <w:rsid w:val="00B22E81"/>
    <w:rsid w:val="00B23996"/>
    <w:rsid w:val="00B23CB2"/>
    <w:rsid w:val="00B2561A"/>
    <w:rsid w:val="00B25A64"/>
    <w:rsid w:val="00B32AB3"/>
    <w:rsid w:val="00B34E7C"/>
    <w:rsid w:val="00B368EA"/>
    <w:rsid w:val="00B37EEF"/>
    <w:rsid w:val="00B51D20"/>
    <w:rsid w:val="00B5298E"/>
    <w:rsid w:val="00B54370"/>
    <w:rsid w:val="00B54B5F"/>
    <w:rsid w:val="00B55185"/>
    <w:rsid w:val="00B60D38"/>
    <w:rsid w:val="00B61923"/>
    <w:rsid w:val="00B621D6"/>
    <w:rsid w:val="00B63EF5"/>
    <w:rsid w:val="00B65D6F"/>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40D"/>
    <w:rsid w:val="00BA22A8"/>
    <w:rsid w:val="00BA285B"/>
    <w:rsid w:val="00BA3E48"/>
    <w:rsid w:val="00BA4BD3"/>
    <w:rsid w:val="00BA7473"/>
    <w:rsid w:val="00BB0187"/>
    <w:rsid w:val="00BB07B5"/>
    <w:rsid w:val="00BB18FA"/>
    <w:rsid w:val="00BB1EB3"/>
    <w:rsid w:val="00BB22CA"/>
    <w:rsid w:val="00BB2678"/>
    <w:rsid w:val="00BB3E96"/>
    <w:rsid w:val="00BC013A"/>
    <w:rsid w:val="00BC2343"/>
    <w:rsid w:val="00BC23F8"/>
    <w:rsid w:val="00BD30C8"/>
    <w:rsid w:val="00BD3EB4"/>
    <w:rsid w:val="00BD5C65"/>
    <w:rsid w:val="00BD7DB4"/>
    <w:rsid w:val="00BE1A80"/>
    <w:rsid w:val="00BE2F07"/>
    <w:rsid w:val="00BE6018"/>
    <w:rsid w:val="00BF0F8F"/>
    <w:rsid w:val="00BF18E8"/>
    <w:rsid w:val="00BF1F57"/>
    <w:rsid w:val="00BF4086"/>
    <w:rsid w:val="00BF426C"/>
    <w:rsid w:val="00BF47C9"/>
    <w:rsid w:val="00BF4E32"/>
    <w:rsid w:val="00BF58D0"/>
    <w:rsid w:val="00BF7D6A"/>
    <w:rsid w:val="00C013E1"/>
    <w:rsid w:val="00C01611"/>
    <w:rsid w:val="00C02D59"/>
    <w:rsid w:val="00C030B6"/>
    <w:rsid w:val="00C03284"/>
    <w:rsid w:val="00C050D7"/>
    <w:rsid w:val="00C05B5F"/>
    <w:rsid w:val="00C104CC"/>
    <w:rsid w:val="00C152FE"/>
    <w:rsid w:val="00C1648E"/>
    <w:rsid w:val="00C16739"/>
    <w:rsid w:val="00C21C43"/>
    <w:rsid w:val="00C22C7D"/>
    <w:rsid w:val="00C22CCE"/>
    <w:rsid w:val="00C231D6"/>
    <w:rsid w:val="00C23BA2"/>
    <w:rsid w:val="00C32AF2"/>
    <w:rsid w:val="00C33204"/>
    <w:rsid w:val="00C338EB"/>
    <w:rsid w:val="00C3465D"/>
    <w:rsid w:val="00C379E9"/>
    <w:rsid w:val="00C439FB"/>
    <w:rsid w:val="00C43F23"/>
    <w:rsid w:val="00C47790"/>
    <w:rsid w:val="00C50011"/>
    <w:rsid w:val="00C5274B"/>
    <w:rsid w:val="00C55A77"/>
    <w:rsid w:val="00C55B19"/>
    <w:rsid w:val="00C645E6"/>
    <w:rsid w:val="00C64D82"/>
    <w:rsid w:val="00C64FBC"/>
    <w:rsid w:val="00C65A83"/>
    <w:rsid w:val="00C72C6F"/>
    <w:rsid w:val="00C76CF1"/>
    <w:rsid w:val="00C80F23"/>
    <w:rsid w:val="00C81151"/>
    <w:rsid w:val="00C82CC6"/>
    <w:rsid w:val="00C850A3"/>
    <w:rsid w:val="00C85C32"/>
    <w:rsid w:val="00C85F94"/>
    <w:rsid w:val="00C87568"/>
    <w:rsid w:val="00C90DA7"/>
    <w:rsid w:val="00C90DB6"/>
    <w:rsid w:val="00C9394F"/>
    <w:rsid w:val="00C93B1A"/>
    <w:rsid w:val="00C96A14"/>
    <w:rsid w:val="00C96F5F"/>
    <w:rsid w:val="00CA21B5"/>
    <w:rsid w:val="00CA5927"/>
    <w:rsid w:val="00CA79EC"/>
    <w:rsid w:val="00CB26A5"/>
    <w:rsid w:val="00CB39C2"/>
    <w:rsid w:val="00CB4664"/>
    <w:rsid w:val="00CB4C8C"/>
    <w:rsid w:val="00CB5BFD"/>
    <w:rsid w:val="00CB6782"/>
    <w:rsid w:val="00CC080A"/>
    <w:rsid w:val="00CC52E1"/>
    <w:rsid w:val="00CD319D"/>
    <w:rsid w:val="00CD6BC3"/>
    <w:rsid w:val="00CD72D0"/>
    <w:rsid w:val="00CE3519"/>
    <w:rsid w:val="00CE5277"/>
    <w:rsid w:val="00CE6358"/>
    <w:rsid w:val="00CF2D54"/>
    <w:rsid w:val="00CF3CDE"/>
    <w:rsid w:val="00CF6570"/>
    <w:rsid w:val="00D03538"/>
    <w:rsid w:val="00D049B8"/>
    <w:rsid w:val="00D0516C"/>
    <w:rsid w:val="00D05EE7"/>
    <w:rsid w:val="00D068D0"/>
    <w:rsid w:val="00D078D1"/>
    <w:rsid w:val="00D129A8"/>
    <w:rsid w:val="00D12FB9"/>
    <w:rsid w:val="00D200BD"/>
    <w:rsid w:val="00D22399"/>
    <w:rsid w:val="00D26460"/>
    <w:rsid w:val="00D3268B"/>
    <w:rsid w:val="00D33751"/>
    <w:rsid w:val="00D33924"/>
    <w:rsid w:val="00D36F6E"/>
    <w:rsid w:val="00D37343"/>
    <w:rsid w:val="00D4205E"/>
    <w:rsid w:val="00D42507"/>
    <w:rsid w:val="00D50E63"/>
    <w:rsid w:val="00D5574C"/>
    <w:rsid w:val="00D61982"/>
    <w:rsid w:val="00D6267A"/>
    <w:rsid w:val="00D67D12"/>
    <w:rsid w:val="00D7585A"/>
    <w:rsid w:val="00D80618"/>
    <w:rsid w:val="00D81A17"/>
    <w:rsid w:val="00D82494"/>
    <w:rsid w:val="00D84A4B"/>
    <w:rsid w:val="00D8681D"/>
    <w:rsid w:val="00D92168"/>
    <w:rsid w:val="00D940A9"/>
    <w:rsid w:val="00D940B5"/>
    <w:rsid w:val="00D95CB0"/>
    <w:rsid w:val="00D977C0"/>
    <w:rsid w:val="00DA00A3"/>
    <w:rsid w:val="00DA13F3"/>
    <w:rsid w:val="00DA2DE3"/>
    <w:rsid w:val="00DA7146"/>
    <w:rsid w:val="00DA716A"/>
    <w:rsid w:val="00DB1F4F"/>
    <w:rsid w:val="00DB37EE"/>
    <w:rsid w:val="00DB4450"/>
    <w:rsid w:val="00DB4A22"/>
    <w:rsid w:val="00DB7B69"/>
    <w:rsid w:val="00DC02EC"/>
    <w:rsid w:val="00DC234A"/>
    <w:rsid w:val="00DC315B"/>
    <w:rsid w:val="00DC41E4"/>
    <w:rsid w:val="00DC5116"/>
    <w:rsid w:val="00DC77DD"/>
    <w:rsid w:val="00DC7C77"/>
    <w:rsid w:val="00DD2417"/>
    <w:rsid w:val="00DD51D8"/>
    <w:rsid w:val="00DD7EA2"/>
    <w:rsid w:val="00DE00F2"/>
    <w:rsid w:val="00DE117F"/>
    <w:rsid w:val="00DE401C"/>
    <w:rsid w:val="00DE4CDE"/>
    <w:rsid w:val="00DF1ED6"/>
    <w:rsid w:val="00DF63FA"/>
    <w:rsid w:val="00E00A1C"/>
    <w:rsid w:val="00E012CC"/>
    <w:rsid w:val="00E02B71"/>
    <w:rsid w:val="00E02DEB"/>
    <w:rsid w:val="00E042A1"/>
    <w:rsid w:val="00E04CE6"/>
    <w:rsid w:val="00E062A5"/>
    <w:rsid w:val="00E07355"/>
    <w:rsid w:val="00E104FA"/>
    <w:rsid w:val="00E1082A"/>
    <w:rsid w:val="00E11166"/>
    <w:rsid w:val="00E13182"/>
    <w:rsid w:val="00E15383"/>
    <w:rsid w:val="00E1738C"/>
    <w:rsid w:val="00E22D28"/>
    <w:rsid w:val="00E230E3"/>
    <w:rsid w:val="00E23611"/>
    <w:rsid w:val="00E256D9"/>
    <w:rsid w:val="00E25852"/>
    <w:rsid w:val="00E30EDF"/>
    <w:rsid w:val="00E31FBA"/>
    <w:rsid w:val="00E36AAE"/>
    <w:rsid w:val="00E41773"/>
    <w:rsid w:val="00E427F2"/>
    <w:rsid w:val="00E513F6"/>
    <w:rsid w:val="00E52F3B"/>
    <w:rsid w:val="00E53D94"/>
    <w:rsid w:val="00E53DEA"/>
    <w:rsid w:val="00E55094"/>
    <w:rsid w:val="00E55A61"/>
    <w:rsid w:val="00E57F92"/>
    <w:rsid w:val="00E616DB"/>
    <w:rsid w:val="00E627A4"/>
    <w:rsid w:val="00E630ED"/>
    <w:rsid w:val="00E70C95"/>
    <w:rsid w:val="00E74E84"/>
    <w:rsid w:val="00E74EC5"/>
    <w:rsid w:val="00E75FDC"/>
    <w:rsid w:val="00E76B86"/>
    <w:rsid w:val="00E8342F"/>
    <w:rsid w:val="00E847A7"/>
    <w:rsid w:val="00E85F25"/>
    <w:rsid w:val="00E86E79"/>
    <w:rsid w:val="00E906B4"/>
    <w:rsid w:val="00E9095B"/>
    <w:rsid w:val="00E926B8"/>
    <w:rsid w:val="00E92E98"/>
    <w:rsid w:val="00E9399B"/>
    <w:rsid w:val="00E94008"/>
    <w:rsid w:val="00E94762"/>
    <w:rsid w:val="00E96B52"/>
    <w:rsid w:val="00EA2244"/>
    <w:rsid w:val="00EA4C93"/>
    <w:rsid w:val="00EA6FA7"/>
    <w:rsid w:val="00EB067F"/>
    <w:rsid w:val="00EB0BF5"/>
    <w:rsid w:val="00EB1576"/>
    <w:rsid w:val="00EB1F02"/>
    <w:rsid w:val="00EB5BC5"/>
    <w:rsid w:val="00EB74C2"/>
    <w:rsid w:val="00EC086C"/>
    <w:rsid w:val="00EC42D0"/>
    <w:rsid w:val="00EC5CE0"/>
    <w:rsid w:val="00EC638F"/>
    <w:rsid w:val="00ED48AC"/>
    <w:rsid w:val="00EE224C"/>
    <w:rsid w:val="00EE4874"/>
    <w:rsid w:val="00EE4A8C"/>
    <w:rsid w:val="00EE674E"/>
    <w:rsid w:val="00EE79A6"/>
    <w:rsid w:val="00EF2689"/>
    <w:rsid w:val="00EF454D"/>
    <w:rsid w:val="00EF6111"/>
    <w:rsid w:val="00F005A0"/>
    <w:rsid w:val="00F06616"/>
    <w:rsid w:val="00F11352"/>
    <w:rsid w:val="00F1498D"/>
    <w:rsid w:val="00F14DDF"/>
    <w:rsid w:val="00F152AD"/>
    <w:rsid w:val="00F20DFE"/>
    <w:rsid w:val="00F2285F"/>
    <w:rsid w:val="00F23155"/>
    <w:rsid w:val="00F24236"/>
    <w:rsid w:val="00F24E0E"/>
    <w:rsid w:val="00F26693"/>
    <w:rsid w:val="00F3366A"/>
    <w:rsid w:val="00F36130"/>
    <w:rsid w:val="00F40444"/>
    <w:rsid w:val="00F40868"/>
    <w:rsid w:val="00F423BD"/>
    <w:rsid w:val="00F432FF"/>
    <w:rsid w:val="00F4715C"/>
    <w:rsid w:val="00F54869"/>
    <w:rsid w:val="00F556B2"/>
    <w:rsid w:val="00F5754B"/>
    <w:rsid w:val="00F576DE"/>
    <w:rsid w:val="00F63BF7"/>
    <w:rsid w:val="00F65617"/>
    <w:rsid w:val="00F710BE"/>
    <w:rsid w:val="00F729DC"/>
    <w:rsid w:val="00F736D2"/>
    <w:rsid w:val="00F7564C"/>
    <w:rsid w:val="00F76220"/>
    <w:rsid w:val="00F769BE"/>
    <w:rsid w:val="00F76A67"/>
    <w:rsid w:val="00F82E6B"/>
    <w:rsid w:val="00F97B71"/>
    <w:rsid w:val="00FA0209"/>
    <w:rsid w:val="00FA115D"/>
    <w:rsid w:val="00FA1EC5"/>
    <w:rsid w:val="00FA2DDA"/>
    <w:rsid w:val="00FA34CA"/>
    <w:rsid w:val="00FA4A55"/>
    <w:rsid w:val="00FA4D4F"/>
    <w:rsid w:val="00FA54E8"/>
    <w:rsid w:val="00FA7193"/>
    <w:rsid w:val="00FA7EC0"/>
    <w:rsid w:val="00FB2D17"/>
    <w:rsid w:val="00FB2F69"/>
    <w:rsid w:val="00FB368B"/>
    <w:rsid w:val="00FB45FF"/>
    <w:rsid w:val="00FB5D97"/>
    <w:rsid w:val="00FC1BE5"/>
    <w:rsid w:val="00FC1CA5"/>
    <w:rsid w:val="00FC2979"/>
    <w:rsid w:val="00FD1C3C"/>
    <w:rsid w:val="00FD38A8"/>
    <w:rsid w:val="00FD4622"/>
    <w:rsid w:val="00FD5477"/>
    <w:rsid w:val="00FD6AC8"/>
    <w:rsid w:val="00FD7C9C"/>
    <w:rsid w:val="00FE2D29"/>
    <w:rsid w:val="00FE3EA1"/>
    <w:rsid w:val="00FE4818"/>
    <w:rsid w:val="00FE5D80"/>
    <w:rsid w:val="00FF157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5D9FD243-06C9-4ACE-90C9-A2084333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4F4EA9"/>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337293"/>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F4EA9"/>
    <w:rPr>
      <w:rFonts w:cs="Times New Roman"/>
      <w:b/>
      <w:bCs/>
      <w:kern w:val="44"/>
      <w:sz w:val="44"/>
      <w:szCs w:val="44"/>
    </w:rPr>
  </w:style>
  <w:style w:type="character" w:customStyle="1" w:styleId="2Char">
    <w:name w:val="标题 2 Char"/>
    <w:link w:val="2"/>
    <w:uiPriority w:val="99"/>
    <w:semiHidden/>
    <w:locked/>
    <w:rsid w:val="00F76A67"/>
    <w:rPr>
      <w:rFonts w:ascii="Cambria" w:eastAsia="宋体" w:hAnsi="Cambria" w:cs="Times New Roman"/>
      <w:b/>
      <w:bCs/>
      <w:sz w:val="32"/>
      <w:szCs w:val="32"/>
    </w:rPr>
  </w:style>
  <w:style w:type="paragraph" w:styleId="a0">
    <w:name w:val="Normal Indent"/>
    <w:basedOn w:val="a"/>
    <w:uiPriority w:val="99"/>
    <w:rsid w:val="00337293"/>
    <w:pPr>
      <w:ind w:firstLineChars="200" w:firstLine="420"/>
    </w:pPr>
  </w:style>
  <w:style w:type="paragraph" w:styleId="a4">
    <w:name w:val="Body Text Indent"/>
    <w:basedOn w:val="a"/>
    <w:link w:val="Char"/>
    <w:uiPriority w:val="99"/>
    <w:rsid w:val="00337293"/>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F76A67"/>
    <w:rPr>
      <w:rFonts w:cs="Times New Roman"/>
      <w:sz w:val="24"/>
      <w:szCs w:val="24"/>
    </w:rPr>
  </w:style>
  <w:style w:type="paragraph" w:styleId="a5">
    <w:name w:val="Plain Text"/>
    <w:basedOn w:val="a"/>
    <w:link w:val="Char0"/>
    <w:uiPriority w:val="99"/>
    <w:rsid w:val="00337293"/>
    <w:rPr>
      <w:rFonts w:ascii="宋体" w:hAnsi="Courier New"/>
      <w:szCs w:val="20"/>
    </w:rPr>
  </w:style>
  <w:style w:type="character" w:customStyle="1" w:styleId="Char0">
    <w:name w:val="纯文本 Char"/>
    <w:link w:val="a5"/>
    <w:uiPriority w:val="99"/>
    <w:locked/>
    <w:rsid w:val="00CE3519"/>
    <w:rPr>
      <w:rFonts w:ascii="宋体" w:hAnsi="Courier New" w:cs="Times New Roman"/>
      <w:kern w:val="2"/>
      <w:sz w:val="21"/>
    </w:rPr>
  </w:style>
  <w:style w:type="paragraph" w:styleId="20">
    <w:name w:val="Body Text Indent 2"/>
    <w:basedOn w:val="a"/>
    <w:link w:val="2Char0"/>
    <w:uiPriority w:val="99"/>
    <w:rsid w:val="00337293"/>
    <w:pPr>
      <w:spacing w:line="560" w:lineRule="exact"/>
      <w:ind w:firstLineChars="200" w:firstLine="480"/>
    </w:pPr>
    <w:rPr>
      <w:kern w:val="0"/>
      <w:sz w:val="24"/>
    </w:rPr>
  </w:style>
  <w:style w:type="character" w:customStyle="1" w:styleId="2Char0">
    <w:name w:val="正文文本缩进 2 Char"/>
    <w:link w:val="20"/>
    <w:uiPriority w:val="99"/>
    <w:semiHidden/>
    <w:locked/>
    <w:rsid w:val="00F76A67"/>
    <w:rPr>
      <w:rFonts w:cs="Times New Roman"/>
      <w:sz w:val="24"/>
      <w:szCs w:val="24"/>
    </w:rPr>
  </w:style>
  <w:style w:type="paragraph" w:styleId="a6">
    <w:name w:val="footer"/>
    <w:basedOn w:val="a"/>
    <w:link w:val="Char1"/>
    <w:uiPriority w:val="99"/>
    <w:rsid w:val="00337293"/>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F76A67"/>
    <w:rPr>
      <w:rFonts w:cs="Times New Roman"/>
      <w:sz w:val="18"/>
      <w:szCs w:val="18"/>
    </w:rPr>
  </w:style>
  <w:style w:type="character" w:styleId="a7">
    <w:name w:val="page number"/>
    <w:uiPriority w:val="99"/>
    <w:rsid w:val="00337293"/>
    <w:rPr>
      <w:rFonts w:cs="Times New Roman"/>
    </w:rPr>
  </w:style>
  <w:style w:type="character" w:styleId="a8">
    <w:name w:val="Hyperlink"/>
    <w:uiPriority w:val="99"/>
    <w:rsid w:val="00337293"/>
    <w:rPr>
      <w:rFonts w:cs="Times New Roman"/>
      <w:color w:val="0000FF"/>
      <w:u w:val="single"/>
    </w:rPr>
  </w:style>
  <w:style w:type="paragraph" w:styleId="3">
    <w:name w:val="Body Text Indent 3"/>
    <w:basedOn w:val="a"/>
    <w:link w:val="3Char"/>
    <w:uiPriority w:val="99"/>
    <w:rsid w:val="00337293"/>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F76A67"/>
    <w:rPr>
      <w:rFonts w:cs="Times New Roman"/>
      <w:sz w:val="16"/>
      <w:szCs w:val="16"/>
    </w:rPr>
  </w:style>
  <w:style w:type="paragraph" w:styleId="a9">
    <w:name w:val="header"/>
    <w:basedOn w:val="a"/>
    <w:link w:val="Char2"/>
    <w:uiPriority w:val="99"/>
    <w:rsid w:val="0033729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5E491F"/>
    <w:rPr>
      <w:rFonts w:cs="Times New Roman"/>
      <w:kern w:val="2"/>
      <w:sz w:val="18"/>
      <w:szCs w:val="18"/>
    </w:rPr>
  </w:style>
  <w:style w:type="character" w:styleId="aa">
    <w:name w:val="FollowedHyperlink"/>
    <w:uiPriority w:val="99"/>
    <w:rsid w:val="00337293"/>
    <w:rPr>
      <w:rFonts w:cs="Times New Roman"/>
      <w:color w:val="800080"/>
      <w:u w:val="single"/>
    </w:rPr>
  </w:style>
  <w:style w:type="paragraph" w:styleId="ab">
    <w:name w:val="List"/>
    <w:basedOn w:val="ac"/>
    <w:uiPriority w:val="99"/>
    <w:rsid w:val="00337293"/>
    <w:pPr>
      <w:spacing w:after="220" w:line="220" w:lineRule="atLeast"/>
      <w:ind w:left="1440" w:hanging="360"/>
    </w:pPr>
    <w:rPr>
      <w:szCs w:val="20"/>
    </w:rPr>
  </w:style>
  <w:style w:type="paragraph" w:styleId="ac">
    <w:name w:val="Body Text"/>
    <w:basedOn w:val="a"/>
    <w:link w:val="Char3"/>
    <w:uiPriority w:val="99"/>
    <w:rsid w:val="00337293"/>
    <w:pPr>
      <w:spacing w:after="120"/>
    </w:pPr>
    <w:rPr>
      <w:kern w:val="0"/>
      <w:sz w:val="24"/>
    </w:rPr>
  </w:style>
  <w:style w:type="character" w:customStyle="1" w:styleId="Char3">
    <w:name w:val="正文文本 Char"/>
    <w:link w:val="ac"/>
    <w:uiPriority w:val="99"/>
    <w:semiHidden/>
    <w:locked/>
    <w:rsid w:val="00F76A67"/>
    <w:rPr>
      <w:rFonts w:cs="Times New Roman"/>
      <w:sz w:val="24"/>
      <w:szCs w:val="24"/>
    </w:rPr>
  </w:style>
  <w:style w:type="paragraph" w:styleId="ad">
    <w:name w:val="Date"/>
    <w:basedOn w:val="a"/>
    <w:next w:val="a"/>
    <w:link w:val="Char4"/>
    <w:uiPriority w:val="99"/>
    <w:rsid w:val="00337293"/>
    <w:rPr>
      <w:sz w:val="24"/>
      <w:szCs w:val="20"/>
    </w:rPr>
  </w:style>
  <w:style w:type="character" w:customStyle="1" w:styleId="Char4">
    <w:name w:val="日期 Char"/>
    <w:link w:val="ad"/>
    <w:uiPriority w:val="99"/>
    <w:locked/>
    <w:rsid w:val="005B1DEC"/>
    <w:rPr>
      <w:rFonts w:cs="Times New Roman"/>
      <w:kern w:val="2"/>
      <w:sz w:val="24"/>
    </w:rPr>
  </w:style>
  <w:style w:type="character" w:customStyle="1" w:styleId="c1">
    <w:name w:val="c1"/>
    <w:uiPriority w:val="99"/>
    <w:rsid w:val="00337293"/>
    <w:rPr>
      <w:rFonts w:cs="Times New Roman"/>
      <w:color w:val="000000"/>
      <w:sz w:val="18"/>
      <w:szCs w:val="18"/>
    </w:rPr>
  </w:style>
  <w:style w:type="paragraph" w:styleId="10">
    <w:name w:val="index 1"/>
    <w:basedOn w:val="a"/>
    <w:next w:val="a"/>
    <w:autoRedefine/>
    <w:uiPriority w:val="99"/>
    <w:semiHidden/>
    <w:rsid w:val="00337293"/>
    <w:pPr>
      <w:jc w:val="right"/>
    </w:pPr>
    <w:rPr>
      <w:color w:val="008000"/>
    </w:rPr>
  </w:style>
  <w:style w:type="paragraph" w:customStyle="1" w:styleId="font5">
    <w:name w:val="font5"/>
    <w:basedOn w:val="a"/>
    <w:uiPriority w:val="99"/>
    <w:rsid w:val="00337293"/>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337293"/>
    <w:rPr>
      <w:kern w:val="0"/>
      <w:sz w:val="2"/>
      <w:szCs w:val="20"/>
    </w:rPr>
  </w:style>
  <w:style w:type="character" w:customStyle="1" w:styleId="Char5">
    <w:name w:val="批注框文本 Char"/>
    <w:link w:val="ae"/>
    <w:uiPriority w:val="99"/>
    <w:semiHidden/>
    <w:locked/>
    <w:rsid w:val="00F76A67"/>
    <w:rPr>
      <w:rFonts w:cs="Times New Roman"/>
      <w:sz w:val="2"/>
    </w:rPr>
  </w:style>
  <w:style w:type="character" w:styleId="af">
    <w:name w:val="annotation reference"/>
    <w:uiPriority w:val="99"/>
    <w:semiHidden/>
    <w:rsid w:val="00337293"/>
    <w:rPr>
      <w:rFonts w:cs="Times New Roman"/>
      <w:sz w:val="21"/>
      <w:szCs w:val="21"/>
    </w:rPr>
  </w:style>
  <w:style w:type="paragraph" w:styleId="af0">
    <w:name w:val="annotation text"/>
    <w:basedOn w:val="a"/>
    <w:link w:val="Char6"/>
    <w:uiPriority w:val="99"/>
    <w:semiHidden/>
    <w:rsid w:val="00337293"/>
    <w:pPr>
      <w:jc w:val="left"/>
    </w:pPr>
    <w:rPr>
      <w:kern w:val="0"/>
      <w:sz w:val="24"/>
    </w:rPr>
  </w:style>
  <w:style w:type="character" w:customStyle="1" w:styleId="Char6">
    <w:name w:val="批注文字 Char"/>
    <w:link w:val="af0"/>
    <w:uiPriority w:val="99"/>
    <w:semiHidden/>
    <w:locked/>
    <w:rsid w:val="00F76A67"/>
    <w:rPr>
      <w:rFonts w:cs="Times New Roman"/>
      <w:sz w:val="24"/>
      <w:szCs w:val="24"/>
    </w:rPr>
  </w:style>
  <w:style w:type="paragraph" w:styleId="af1">
    <w:name w:val="annotation subject"/>
    <w:basedOn w:val="af0"/>
    <w:next w:val="af0"/>
    <w:link w:val="Char7"/>
    <w:uiPriority w:val="99"/>
    <w:semiHidden/>
    <w:rsid w:val="00337293"/>
    <w:rPr>
      <w:b/>
      <w:bCs/>
    </w:rPr>
  </w:style>
  <w:style w:type="character" w:customStyle="1" w:styleId="Char7">
    <w:name w:val="批注主题 Char"/>
    <w:link w:val="af1"/>
    <w:uiPriority w:val="99"/>
    <w:semiHidden/>
    <w:locked/>
    <w:rsid w:val="00F76A67"/>
    <w:rPr>
      <w:rFonts w:cs="Times New Roman"/>
      <w:b/>
      <w:bCs/>
      <w:sz w:val="24"/>
      <w:szCs w:val="24"/>
    </w:rPr>
  </w:style>
  <w:style w:type="paragraph" w:customStyle="1" w:styleId="Char8">
    <w:name w:val="Char"/>
    <w:basedOn w:val="a"/>
    <w:uiPriority w:val="99"/>
    <w:rsid w:val="00337293"/>
  </w:style>
  <w:style w:type="paragraph" w:styleId="af2">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2"/>
    <w:uiPriority w:val="99"/>
    <w:semiHidden/>
    <w:locked/>
    <w:rsid w:val="00F76A67"/>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locked/>
    <w:rsid w:val="00F76A67"/>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295C5D"/>
    <w:pPr>
      <w:widowControl w:val="0"/>
      <w:autoSpaceDE w:val="0"/>
      <w:autoSpaceDN w:val="0"/>
      <w:adjustRightInd w:val="0"/>
    </w:pPr>
    <w:rPr>
      <w:rFonts w:ascii="FangSong" w:hAnsi="FangSong" w:cs="FangSong"/>
      <w:color w:val="000000"/>
      <w:sz w:val="24"/>
      <w:szCs w:val="24"/>
    </w:rPr>
  </w:style>
  <w:style w:type="character" w:styleId="af8">
    <w:name w:val="Strong"/>
    <w:uiPriority w:val="22"/>
    <w:qFormat/>
    <w:locked/>
    <w:rsid w:val="00457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75524">
      <w:marLeft w:val="0"/>
      <w:marRight w:val="0"/>
      <w:marTop w:val="0"/>
      <w:marBottom w:val="0"/>
      <w:divBdr>
        <w:top w:val="none" w:sz="0" w:space="0" w:color="auto"/>
        <w:left w:val="none" w:sz="0" w:space="0" w:color="auto"/>
        <w:bottom w:val="none" w:sz="0" w:space="0" w:color="auto"/>
        <w:right w:val="none" w:sz="0" w:space="0" w:color="auto"/>
      </w:divBdr>
    </w:div>
    <w:div w:id="1863275525">
      <w:marLeft w:val="0"/>
      <w:marRight w:val="0"/>
      <w:marTop w:val="0"/>
      <w:marBottom w:val="0"/>
      <w:divBdr>
        <w:top w:val="none" w:sz="0" w:space="0" w:color="auto"/>
        <w:left w:val="none" w:sz="0" w:space="0" w:color="auto"/>
        <w:bottom w:val="none" w:sz="0" w:space="0" w:color="auto"/>
        <w:right w:val="none" w:sz="0" w:space="0" w:color="auto"/>
      </w:divBdr>
    </w:div>
    <w:div w:id="1863275526">
      <w:marLeft w:val="0"/>
      <w:marRight w:val="0"/>
      <w:marTop w:val="0"/>
      <w:marBottom w:val="0"/>
      <w:divBdr>
        <w:top w:val="none" w:sz="0" w:space="0" w:color="auto"/>
        <w:left w:val="none" w:sz="0" w:space="0" w:color="auto"/>
        <w:bottom w:val="none" w:sz="0" w:space="0" w:color="auto"/>
        <w:right w:val="none" w:sz="0" w:space="0" w:color="auto"/>
      </w:divBdr>
    </w:div>
    <w:div w:id="1863275527">
      <w:marLeft w:val="0"/>
      <w:marRight w:val="0"/>
      <w:marTop w:val="0"/>
      <w:marBottom w:val="0"/>
      <w:divBdr>
        <w:top w:val="none" w:sz="0" w:space="0" w:color="auto"/>
        <w:left w:val="none" w:sz="0" w:space="0" w:color="auto"/>
        <w:bottom w:val="none" w:sz="0" w:space="0" w:color="auto"/>
        <w:right w:val="none" w:sz="0" w:space="0" w:color="auto"/>
      </w:divBdr>
    </w:div>
    <w:div w:id="1863275528">
      <w:marLeft w:val="0"/>
      <w:marRight w:val="0"/>
      <w:marTop w:val="0"/>
      <w:marBottom w:val="0"/>
      <w:divBdr>
        <w:top w:val="none" w:sz="0" w:space="0" w:color="auto"/>
        <w:left w:val="none" w:sz="0" w:space="0" w:color="auto"/>
        <w:bottom w:val="none" w:sz="0" w:space="0" w:color="auto"/>
        <w:right w:val="none" w:sz="0" w:space="0" w:color="auto"/>
      </w:divBdr>
    </w:div>
    <w:div w:id="1863275529">
      <w:marLeft w:val="0"/>
      <w:marRight w:val="0"/>
      <w:marTop w:val="0"/>
      <w:marBottom w:val="0"/>
      <w:divBdr>
        <w:top w:val="none" w:sz="0" w:space="0" w:color="auto"/>
        <w:left w:val="none" w:sz="0" w:space="0" w:color="auto"/>
        <w:bottom w:val="none" w:sz="0" w:space="0" w:color="auto"/>
        <w:right w:val="none" w:sz="0" w:space="0" w:color="auto"/>
      </w:divBdr>
    </w:div>
    <w:div w:id="1863275530">
      <w:marLeft w:val="0"/>
      <w:marRight w:val="0"/>
      <w:marTop w:val="0"/>
      <w:marBottom w:val="0"/>
      <w:divBdr>
        <w:top w:val="none" w:sz="0" w:space="0" w:color="auto"/>
        <w:left w:val="none" w:sz="0" w:space="0" w:color="auto"/>
        <w:bottom w:val="none" w:sz="0" w:space="0" w:color="auto"/>
        <w:right w:val="none" w:sz="0" w:space="0" w:color="auto"/>
      </w:divBdr>
    </w:div>
    <w:div w:id="1863275531">
      <w:marLeft w:val="0"/>
      <w:marRight w:val="0"/>
      <w:marTop w:val="0"/>
      <w:marBottom w:val="0"/>
      <w:divBdr>
        <w:top w:val="none" w:sz="0" w:space="0" w:color="auto"/>
        <w:left w:val="none" w:sz="0" w:space="0" w:color="auto"/>
        <w:bottom w:val="none" w:sz="0" w:space="0" w:color="auto"/>
        <w:right w:val="none" w:sz="0" w:space="0" w:color="auto"/>
      </w:divBdr>
    </w:div>
    <w:div w:id="1863275532">
      <w:marLeft w:val="0"/>
      <w:marRight w:val="0"/>
      <w:marTop w:val="0"/>
      <w:marBottom w:val="0"/>
      <w:divBdr>
        <w:top w:val="none" w:sz="0" w:space="0" w:color="auto"/>
        <w:left w:val="none" w:sz="0" w:space="0" w:color="auto"/>
        <w:bottom w:val="none" w:sz="0" w:space="0" w:color="auto"/>
        <w:right w:val="none" w:sz="0" w:space="0" w:color="auto"/>
      </w:divBdr>
    </w:div>
    <w:div w:id="1863275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1269</Words>
  <Characters>7236</Characters>
  <Application>Microsoft Office Word</Application>
  <DocSecurity>0</DocSecurity>
  <Lines>60</Lines>
  <Paragraphs>16</Paragraphs>
  <ScaleCrop>false</ScaleCrop>
  <Company>TRT. Ltd. Co.</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199</cp:revision>
  <cp:lastPrinted>2019-10-16T13:56:00Z</cp:lastPrinted>
  <dcterms:created xsi:type="dcterms:W3CDTF">2012-11-21T04:46:00Z</dcterms:created>
  <dcterms:modified xsi:type="dcterms:W3CDTF">2019-10-16T13:56:00Z</dcterms:modified>
</cp:coreProperties>
</file>