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易方达策略成长证券投资基金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8143B" w:rsidRDefault="00F57E8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8143B" w:rsidRDefault="00F57E87">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8143B" w:rsidRDefault="00F57E87">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8143B" w:rsidRDefault="00F57E8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8143B" w:rsidRDefault="00F57E8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易方达策略成长混合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110002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110002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388,170,291.95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本基金通过投资兼具较高内在价值和良好成长性的股票，积极把握股票市场波动所带来的获利机会，努力为基金份额持有人追求较高的中长期资本增值。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本基金为主动型股票基金，投资的总体原则是在价值区域内把握波动，在波动中实现研究的</w:t>
            </w:r>
            <w:r w:rsidRPr="00232B03">
              <w:rPr>
                <w:color w:val="000000"/>
                <w:kern w:val="0"/>
                <w:sz w:val="24"/>
                <w:szCs w:val="24"/>
              </w:rPr>
              <w:t>“</w:t>
            </w:r>
            <w:r w:rsidRPr="00232B03">
              <w:rPr>
                <w:color w:val="000000"/>
                <w:kern w:val="0"/>
                <w:sz w:val="24"/>
                <w:szCs w:val="24"/>
              </w:rPr>
              <w:t>溢价</w:t>
            </w:r>
            <w:r w:rsidRPr="00232B03">
              <w:rPr>
                <w:color w:val="000000"/>
                <w:kern w:val="0"/>
                <w:sz w:val="24"/>
                <w:szCs w:val="24"/>
              </w:rPr>
              <w:t>”</w:t>
            </w:r>
            <w:r w:rsidRPr="00232B03">
              <w:rPr>
                <w:color w:val="000000"/>
                <w:kern w:val="0"/>
                <w:sz w:val="24"/>
                <w:szCs w:val="24"/>
              </w:rPr>
              <w:t>。基金采取相对稳定的资产配置策略，避免因过于主</w:t>
            </w:r>
            <w:r w:rsidRPr="00232B03">
              <w:rPr>
                <w:color w:val="000000"/>
                <w:kern w:val="0"/>
                <w:sz w:val="24"/>
                <w:szCs w:val="24"/>
              </w:rPr>
              <w:lastRenderedPageBreak/>
              <w:t>动的仓位调整带来额外的风险。同时，以雄厚的研究力量为依托，通过以价值成长比率（</w:t>
            </w:r>
            <w:r w:rsidRPr="00232B03">
              <w:rPr>
                <w:color w:val="000000"/>
                <w:kern w:val="0"/>
                <w:sz w:val="24"/>
                <w:szCs w:val="24"/>
              </w:rPr>
              <w:t>PEG</w:t>
            </w:r>
            <w:r w:rsidRPr="00232B03">
              <w:rPr>
                <w:color w:val="000000"/>
                <w:kern w:val="0"/>
                <w:sz w:val="24"/>
                <w:szCs w:val="24"/>
              </w:rPr>
              <w:t>）为核心的系统方法筛选出兼具较高内在价值及良好成长性的股票，并通过对相关行业和上市公司成长率变化的动态预测，积极把握行业</w:t>
            </w:r>
            <w:r w:rsidRPr="00232B03">
              <w:rPr>
                <w:color w:val="000000"/>
                <w:kern w:val="0"/>
                <w:sz w:val="24"/>
                <w:szCs w:val="24"/>
              </w:rPr>
              <w:t>/</w:t>
            </w:r>
            <w:r w:rsidRPr="00232B03">
              <w:rPr>
                <w:color w:val="000000"/>
                <w:kern w:val="0"/>
                <w:sz w:val="24"/>
                <w:szCs w:val="24"/>
              </w:rPr>
              <w:t>板块、个股的市场波动所带来的获利机会，为基金份额持有人追求较高的当期收益及长期资本增值。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上证</w:t>
            </w:r>
            <w:r w:rsidRPr="00232B03">
              <w:rPr>
                <w:color w:val="000000"/>
                <w:kern w:val="0"/>
                <w:sz w:val="24"/>
                <w:szCs w:val="24"/>
              </w:rPr>
              <w:t>A</w:t>
            </w:r>
            <w:r w:rsidRPr="00232B03">
              <w:rPr>
                <w:color w:val="000000"/>
                <w:kern w:val="0"/>
                <w:sz w:val="24"/>
                <w:szCs w:val="24"/>
              </w:rPr>
              <w:t>指收益率</w:t>
            </w:r>
            <w:r w:rsidRPr="00232B03">
              <w:rPr>
                <w:color w:val="000000"/>
                <w:kern w:val="0"/>
                <w:sz w:val="24"/>
                <w:szCs w:val="24"/>
              </w:rPr>
              <w:t>×75</w:t>
            </w:r>
            <w:r w:rsidRPr="00232B03">
              <w:rPr>
                <w:color w:val="000000"/>
                <w:kern w:val="0"/>
                <w:sz w:val="24"/>
                <w:szCs w:val="24"/>
              </w:rPr>
              <w:t>％</w:t>
            </w:r>
            <w:r w:rsidRPr="00232B03">
              <w:rPr>
                <w:color w:val="000000"/>
                <w:kern w:val="0"/>
                <w:sz w:val="24"/>
                <w:szCs w:val="24"/>
              </w:rPr>
              <w:t>+</w:t>
            </w:r>
            <w:r w:rsidRPr="00232B03">
              <w:rPr>
                <w:color w:val="000000"/>
                <w:kern w:val="0"/>
                <w:sz w:val="24"/>
                <w:szCs w:val="24"/>
              </w:rPr>
              <w:t>上证国债指数收益率</w:t>
            </w:r>
            <w:r w:rsidRPr="00232B03">
              <w:rPr>
                <w:color w:val="000000"/>
                <w:kern w:val="0"/>
                <w:sz w:val="24"/>
                <w:szCs w:val="24"/>
              </w:rPr>
              <w:t>×25</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本基金为混合型基金，理论上其风险收益水平低于股票型基金，高于债券型基金及货币市场基金。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70,386,850.72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141,593,379.72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0.3594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1,279,745,229.75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3.297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8143B" w:rsidRDefault="00F57E8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8143B">
        <w:tc>
          <w:tcPr>
            <w:tcW w:w="1395" w:type="dxa"/>
            <w:vAlign w:val="center"/>
          </w:tcPr>
          <w:p w:rsidR="0018143B" w:rsidRDefault="00F57E87">
            <w:pPr>
              <w:jc w:val="left"/>
            </w:pPr>
            <w:r>
              <w:rPr>
                <w:color w:val="000000"/>
                <w:kern w:val="0"/>
                <w:sz w:val="24"/>
                <w:szCs w:val="24"/>
              </w:rPr>
              <w:t>过去三个月</w:t>
            </w:r>
          </w:p>
        </w:tc>
        <w:tc>
          <w:tcPr>
            <w:tcW w:w="1092" w:type="dxa"/>
            <w:vAlign w:val="center"/>
          </w:tcPr>
          <w:p w:rsidR="0018143B" w:rsidRDefault="00F57E87">
            <w:pPr>
              <w:jc w:val="center"/>
            </w:pPr>
            <w:r>
              <w:rPr>
                <w:color w:val="000000"/>
                <w:kern w:val="0"/>
                <w:sz w:val="24"/>
                <w:szCs w:val="24"/>
              </w:rPr>
              <w:t>12.14%</w:t>
            </w:r>
          </w:p>
        </w:tc>
        <w:tc>
          <w:tcPr>
            <w:tcW w:w="1161" w:type="dxa"/>
            <w:vAlign w:val="center"/>
          </w:tcPr>
          <w:p w:rsidR="0018143B" w:rsidRDefault="00F57E87">
            <w:pPr>
              <w:jc w:val="center"/>
            </w:pPr>
            <w:r>
              <w:rPr>
                <w:color w:val="000000"/>
                <w:kern w:val="0"/>
                <w:sz w:val="24"/>
                <w:szCs w:val="24"/>
              </w:rPr>
              <w:t>1.19%</w:t>
            </w:r>
          </w:p>
        </w:tc>
        <w:tc>
          <w:tcPr>
            <w:tcW w:w="1181" w:type="dxa"/>
            <w:vAlign w:val="center"/>
          </w:tcPr>
          <w:p w:rsidR="0018143B" w:rsidRDefault="00F57E87">
            <w:pPr>
              <w:jc w:val="center"/>
            </w:pPr>
            <w:r>
              <w:rPr>
                <w:color w:val="000000"/>
                <w:kern w:val="0"/>
                <w:sz w:val="24"/>
                <w:szCs w:val="24"/>
              </w:rPr>
              <w:t>-1.52%</w:t>
            </w:r>
          </w:p>
        </w:tc>
        <w:tc>
          <w:tcPr>
            <w:tcW w:w="1188" w:type="dxa"/>
            <w:vAlign w:val="center"/>
          </w:tcPr>
          <w:p w:rsidR="0018143B" w:rsidRDefault="00F57E87">
            <w:pPr>
              <w:jc w:val="center"/>
            </w:pPr>
            <w:r>
              <w:rPr>
                <w:color w:val="000000"/>
                <w:kern w:val="0"/>
                <w:sz w:val="24"/>
                <w:szCs w:val="24"/>
              </w:rPr>
              <w:t>0.67%</w:t>
            </w:r>
          </w:p>
        </w:tc>
        <w:tc>
          <w:tcPr>
            <w:tcW w:w="1199" w:type="dxa"/>
            <w:vAlign w:val="center"/>
          </w:tcPr>
          <w:p w:rsidR="0018143B" w:rsidRDefault="00F57E87">
            <w:pPr>
              <w:jc w:val="center"/>
            </w:pPr>
            <w:r>
              <w:rPr>
                <w:color w:val="000000"/>
                <w:kern w:val="0"/>
                <w:sz w:val="24"/>
                <w:szCs w:val="24"/>
              </w:rPr>
              <w:t>13.66%</w:t>
            </w:r>
          </w:p>
        </w:tc>
        <w:tc>
          <w:tcPr>
            <w:tcW w:w="1204" w:type="dxa"/>
            <w:vAlign w:val="center"/>
          </w:tcPr>
          <w:p w:rsidR="0018143B" w:rsidRDefault="00F57E87">
            <w:pPr>
              <w:jc w:val="center"/>
            </w:pPr>
            <w:r>
              <w:rPr>
                <w:color w:val="000000"/>
                <w:kern w:val="0"/>
                <w:sz w:val="24"/>
                <w:szCs w:val="24"/>
              </w:rPr>
              <w:t>0.52%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易方达策略成长证券投资基金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2003</w:t>
      </w:r>
      <w:r w:rsidRPr="0074694E">
        <w:rPr>
          <w:rFonts w:ascii="Times New Roman" w:hAnsi="Times New Roman"/>
          <w:sz w:val="24"/>
          <w:szCs w:val="24"/>
        </w:rPr>
        <w:t>年</w:t>
      </w:r>
      <w:r w:rsidRPr="0074694E">
        <w:rPr>
          <w:rFonts w:ascii="Times New Roman" w:hAnsi="Times New Roman"/>
          <w:sz w:val="24"/>
          <w:szCs w:val="24"/>
        </w:rPr>
        <w:t>12</w:t>
      </w:r>
      <w:r w:rsidRPr="0074694E">
        <w:rPr>
          <w:rFonts w:ascii="Times New Roman" w:hAnsi="Times New Roman"/>
          <w:sz w:val="24"/>
          <w:szCs w:val="24"/>
        </w:rPr>
        <w:t>月</w:t>
      </w:r>
      <w:r w:rsidRPr="0074694E">
        <w:rPr>
          <w:rFonts w:ascii="Times New Roman" w:hAnsi="Times New Roman"/>
          <w:sz w:val="24"/>
          <w:szCs w:val="24"/>
        </w:rPr>
        <w:t>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F57E87"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521.36%</w:t>
      </w:r>
      <w:r w:rsidRPr="006C56AA">
        <w:rPr>
          <w:color w:val="000000"/>
          <w:sz w:val="24"/>
          <w:szCs w:val="24"/>
        </w:rPr>
        <w:t>，同期业绩比较基准收益率为</w:t>
      </w:r>
      <w:r w:rsidRPr="006C56AA">
        <w:rPr>
          <w:color w:val="000000"/>
          <w:sz w:val="24"/>
          <w:szCs w:val="24"/>
        </w:rPr>
        <w:t>96.54%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8143B">
        <w:tc>
          <w:tcPr>
            <w:tcW w:w="567" w:type="dxa"/>
            <w:vAlign w:val="center"/>
          </w:tcPr>
          <w:p w:rsidR="0018143B" w:rsidRDefault="00F57E87">
            <w:pPr>
              <w:jc w:val="center"/>
            </w:pPr>
            <w:r>
              <w:rPr>
                <w:color w:val="000000"/>
                <w:sz w:val="24"/>
              </w:rPr>
              <w:t>梁裕宁</w:t>
            </w:r>
          </w:p>
        </w:tc>
        <w:tc>
          <w:tcPr>
            <w:tcW w:w="2835" w:type="dxa"/>
            <w:vAlign w:val="center"/>
          </w:tcPr>
          <w:p w:rsidR="0018143B" w:rsidRDefault="00F57E87">
            <w:pPr>
              <w:jc w:val="center"/>
            </w:pPr>
            <w:r>
              <w:rPr>
                <w:color w:val="000000"/>
                <w:sz w:val="24"/>
              </w:rPr>
              <w:t>本基金的基金经理、易方达策略成长二号混合型证券投资基金的基金经理</w:t>
            </w:r>
          </w:p>
        </w:tc>
        <w:tc>
          <w:tcPr>
            <w:tcW w:w="851" w:type="dxa"/>
            <w:vAlign w:val="center"/>
          </w:tcPr>
          <w:p w:rsidR="0018143B" w:rsidRDefault="00F57E87">
            <w:pPr>
              <w:jc w:val="center"/>
            </w:pPr>
            <w:r>
              <w:rPr>
                <w:color w:val="000000"/>
                <w:sz w:val="24"/>
              </w:rPr>
              <w:t>2017-02-17</w:t>
            </w:r>
          </w:p>
        </w:tc>
        <w:tc>
          <w:tcPr>
            <w:tcW w:w="850" w:type="dxa"/>
            <w:vAlign w:val="center"/>
          </w:tcPr>
          <w:p w:rsidR="0018143B" w:rsidRDefault="00F57E87">
            <w:pPr>
              <w:jc w:val="center"/>
            </w:pPr>
            <w:r>
              <w:rPr>
                <w:color w:val="000000"/>
                <w:sz w:val="24"/>
              </w:rPr>
              <w:t>-</w:t>
            </w:r>
          </w:p>
        </w:tc>
        <w:tc>
          <w:tcPr>
            <w:tcW w:w="851" w:type="dxa"/>
            <w:vAlign w:val="center"/>
          </w:tcPr>
          <w:p w:rsidR="0018143B" w:rsidRDefault="00F57E87">
            <w:pPr>
              <w:jc w:val="center"/>
            </w:pPr>
            <w:r>
              <w:rPr>
                <w:color w:val="000000"/>
                <w:sz w:val="24"/>
              </w:rPr>
              <w:t>9</w:t>
            </w:r>
            <w:r>
              <w:rPr>
                <w:color w:val="000000"/>
                <w:sz w:val="24"/>
              </w:rPr>
              <w:t>年</w:t>
            </w:r>
          </w:p>
        </w:tc>
        <w:tc>
          <w:tcPr>
            <w:tcW w:w="2977" w:type="dxa"/>
            <w:vAlign w:val="center"/>
          </w:tcPr>
          <w:p w:rsidR="0018143B" w:rsidRDefault="00F57E87">
            <w:r>
              <w:rPr>
                <w:color w:val="000000"/>
                <w:sz w:val="24"/>
              </w:rPr>
              <w:t>硕士研究生，曾任普华永道会计师事务所高级审计师，中山华通五金制品有限公司总裁助理，</w:t>
            </w:r>
            <w:r>
              <w:rPr>
                <w:color w:val="000000"/>
                <w:sz w:val="24"/>
              </w:rPr>
              <w:t xml:space="preserve">QQ Distinction Pty </w:t>
            </w:r>
            <w:r>
              <w:rPr>
                <w:color w:val="000000"/>
                <w:sz w:val="24"/>
              </w:rPr>
              <w:t>Ltd</w:t>
            </w:r>
            <w:r>
              <w:rPr>
                <w:color w:val="000000"/>
                <w:sz w:val="24"/>
              </w:rPr>
              <w:t>董事、财务负责人，易方达基金管理有限公司研究部行业研究员、投资经理兼行业研究员、易方达瑞享灵活配置混合型证券投资基金基金经理。</w:t>
            </w:r>
          </w:p>
        </w:tc>
      </w:tr>
    </w:tbl>
    <w:p w:rsidR="0018143B" w:rsidRDefault="00F57E8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8143B" w:rsidRDefault="00F57E8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8143B" w:rsidRDefault="00F57E87">
      <w:pPr>
        <w:spacing w:line="360" w:lineRule="auto"/>
        <w:ind w:firstLineChars="200" w:firstLine="480"/>
        <w:rPr>
          <w:color w:val="000000"/>
          <w:sz w:val="24"/>
          <w:szCs w:val="24"/>
        </w:rPr>
      </w:pPr>
      <w:r>
        <w:rPr>
          <w:color w:val="000000"/>
          <w:sz w:val="24"/>
          <w:szCs w:val="24"/>
        </w:rPr>
        <w:t>2019</w:t>
      </w:r>
      <w:r>
        <w:rPr>
          <w:color w:val="000000"/>
          <w:sz w:val="24"/>
          <w:szCs w:val="24"/>
        </w:rPr>
        <w:t>年三季度，国内经济数据进一步走弱，工业生产和社零同比数据持续放缓，制造业投资下滑加速。</w:t>
      </w:r>
      <w:r>
        <w:rPr>
          <w:color w:val="000000"/>
          <w:sz w:val="24"/>
          <w:szCs w:val="24"/>
        </w:rPr>
        <w:t>“</w:t>
      </w:r>
      <w:r>
        <w:rPr>
          <w:color w:val="000000"/>
          <w:sz w:val="24"/>
          <w:szCs w:val="24"/>
        </w:rPr>
        <w:t>经济退，政策进</w:t>
      </w:r>
      <w:r>
        <w:rPr>
          <w:color w:val="000000"/>
          <w:sz w:val="24"/>
          <w:szCs w:val="24"/>
        </w:rPr>
        <w:t>”</w:t>
      </w:r>
      <w:r>
        <w:rPr>
          <w:color w:val="000000"/>
          <w:sz w:val="24"/>
          <w:szCs w:val="24"/>
        </w:rPr>
        <w:t>的必要性增加，货币政策温和宽松，市场流动性有所提升。可是由于受猪肉价格扰动，</w:t>
      </w:r>
      <w:r>
        <w:rPr>
          <w:color w:val="000000"/>
          <w:sz w:val="24"/>
          <w:szCs w:val="24"/>
        </w:rPr>
        <w:t>CPI</w:t>
      </w:r>
      <w:r>
        <w:rPr>
          <w:color w:val="000000"/>
          <w:sz w:val="24"/>
          <w:szCs w:val="24"/>
        </w:rPr>
        <w:t>上升幅度超预期，对货币政策加大宽松形成一定制约。受流动性持续改善预期影响，</w:t>
      </w:r>
      <w:r>
        <w:rPr>
          <w:color w:val="000000"/>
          <w:sz w:val="24"/>
          <w:szCs w:val="24"/>
        </w:rPr>
        <w:t>A</w:t>
      </w:r>
      <w:r>
        <w:rPr>
          <w:color w:val="000000"/>
          <w:sz w:val="24"/>
          <w:szCs w:val="24"/>
        </w:rPr>
        <w:t>股市场风险偏好有所提升，持续截至</w:t>
      </w:r>
      <w:r>
        <w:rPr>
          <w:color w:val="000000"/>
          <w:sz w:val="24"/>
          <w:szCs w:val="24"/>
        </w:rPr>
        <w:t>9</w:t>
      </w:r>
      <w:r>
        <w:rPr>
          <w:color w:val="000000"/>
          <w:sz w:val="24"/>
          <w:szCs w:val="24"/>
        </w:rPr>
        <w:t>月</w:t>
      </w:r>
      <w:r>
        <w:rPr>
          <w:color w:val="000000"/>
          <w:sz w:val="24"/>
          <w:szCs w:val="24"/>
        </w:rPr>
        <w:t>30</w:t>
      </w:r>
      <w:r>
        <w:rPr>
          <w:color w:val="000000"/>
          <w:sz w:val="24"/>
          <w:szCs w:val="24"/>
        </w:rPr>
        <w:t>日，上证综指收于</w:t>
      </w:r>
      <w:r>
        <w:rPr>
          <w:color w:val="000000"/>
          <w:sz w:val="24"/>
          <w:szCs w:val="24"/>
        </w:rPr>
        <w:t>2905.19</w:t>
      </w:r>
      <w:r>
        <w:rPr>
          <w:color w:val="000000"/>
          <w:sz w:val="24"/>
          <w:szCs w:val="24"/>
        </w:rPr>
        <w:t>点，单季度微跌</w:t>
      </w:r>
      <w:r>
        <w:rPr>
          <w:color w:val="000000"/>
          <w:sz w:val="24"/>
          <w:szCs w:val="24"/>
        </w:rPr>
        <w:t>2.47%</w:t>
      </w:r>
      <w:r>
        <w:rPr>
          <w:color w:val="000000"/>
          <w:sz w:val="24"/>
          <w:szCs w:val="24"/>
        </w:rPr>
        <w:t>，创业板指数收于</w:t>
      </w:r>
      <w:r>
        <w:rPr>
          <w:color w:val="000000"/>
          <w:sz w:val="24"/>
          <w:szCs w:val="24"/>
        </w:rPr>
        <w:t>1627.55</w:t>
      </w:r>
      <w:r>
        <w:rPr>
          <w:color w:val="000000"/>
          <w:sz w:val="24"/>
          <w:szCs w:val="24"/>
        </w:rPr>
        <w:t>点，单季度上升</w:t>
      </w:r>
      <w:r>
        <w:rPr>
          <w:color w:val="000000"/>
          <w:sz w:val="24"/>
          <w:szCs w:val="24"/>
        </w:rPr>
        <w:t>7.68%</w:t>
      </w:r>
      <w:r>
        <w:rPr>
          <w:color w:val="000000"/>
          <w:sz w:val="24"/>
          <w:szCs w:val="24"/>
        </w:rPr>
        <w:t>。整个三季度</w:t>
      </w:r>
      <w:r>
        <w:rPr>
          <w:color w:val="000000"/>
          <w:sz w:val="24"/>
          <w:szCs w:val="24"/>
        </w:rPr>
        <w:t>A</w:t>
      </w:r>
      <w:r>
        <w:rPr>
          <w:color w:val="000000"/>
          <w:sz w:val="24"/>
          <w:szCs w:val="24"/>
        </w:rPr>
        <w:t>股市场震荡为主，成交量稳定在</w:t>
      </w:r>
      <w:r>
        <w:rPr>
          <w:color w:val="000000"/>
          <w:sz w:val="24"/>
          <w:szCs w:val="24"/>
        </w:rPr>
        <w:t>4500</w:t>
      </w:r>
      <w:r>
        <w:rPr>
          <w:color w:val="000000"/>
          <w:sz w:val="24"/>
          <w:szCs w:val="24"/>
        </w:rPr>
        <w:t>亿左右水平。</w:t>
      </w:r>
    </w:p>
    <w:p w:rsidR="0018143B" w:rsidRDefault="00F57E87">
      <w:pPr>
        <w:spacing w:line="360" w:lineRule="auto"/>
        <w:ind w:firstLineChars="200" w:firstLine="480"/>
        <w:rPr>
          <w:color w:val="000000"/>
          <w:sz w:val="24"/>
          <w:szCs w:val="24"/>
        </w:rPr>
      </w:pPr>
      <w:r>
        <w:rPr>
          <w:color w:val="000000"/>
          <w:sz w:val="24"/>
          <w:szCs w:val="24"/>
        </w:rPr>
        <w:t>从行业来看，受货币宽松预期以及</w:t>
      </w:r>
      <w:r>
        <w:rPr>
          <w:color w:val="000000"/>
          <w:sz w:val="24"/>
          <w:szCs w:val="24"/>
        </w:rPr>
        <w:t>贸易战持续导致电子产业链国产化加速的影响，电子相关行业和华为产业链表现一枝独秀。与此同时，对流动性高度敏感的房地产行业，由于持续受到政策限制，产业链前景较为悲观，从而导致上游周期股持续下挫，下游家电行业表现也一般。从上市公司中报数据统计来看，消费行业中食品饮料、医药生物行业景气度延续，光伏风能景气度加速，同时</w:t>
      </w:r>
      <w:r>
        <w:rPr>
          <w:color w:val="000000"/>
          <w:sz w:val="24"/>
          <w:szCs w:val="24"/>
        </w:rPr>
        <w:t>5G</w:t>
      </w:r>
      <w:r>
        <w:rPr>
          <w:color w:val="000000"/>
          <w:sz w:val="24"/>
          <w:szCs w:val="24"/>
        </w:rPr>
        <w:t>相关电子产业链景气度拐点出现。三季度中信行业指数中，电子元器件单季度涨幅达</w:t>
      </w:r>
      <w:r>
        <w:rPr>
          <w:color w:val="000000"/>
          <w:sz w:val="24"/>
          <w:szCs w:val="24"/>
        </w:rPr>
        <w:t>18.6%</w:t>
      </w:r>
      <w:r>
        <w:rPr>
          <w:color w:val="000000"/>
          <w:sz w:val="24"/>
          <w:szCs w:val="24"/>
        </w:rPr>
        <w:t>，医药及计算机单季度涨幅均超过</w:t>
      </w:r>
      <w:r>
        <w:rPr>
          <w:color w:val="000000"/>
          <w:sz w:val="24"/>
          <w:szCs w:val="24"/>
        </w:rPr>
        <w:t>5%</w:t>
      </w:r>
      <w:r>
        <w:rPr>
          <w:color w:val="000000"/>
          <w:sz w:val="24"/>
          <w:szCs w:val="24"/>
        </w:rPr>
        <w:t>，食品饮料、餐饮旅游、国防军工等行业都取得正收益。</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三季度在资产配置上，本基金维持较高股票仓位，整体坚持采取行业景气度跟踪配置策略，超配食品饮料、医疗服务、电子线路板、风能光伏等景气度较高子行业。</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3.297</w:t>
      </w:r>
      <w:r w:rsidRPr="006C56AA">
        <w:rPr>
          <w:color w:val="000000"/>
          <w:sz w:val="24"/>
          <w:szCs w:val="24"/>
        </w:rPr>
        <w:t>元，本报告期份额净值增长率为</w:t>
      </w:r>
      <w:r w:rsidRPr="006C56AA">
        <w:rPr>
          <w:color w:val="000000"/>
          <w:sz w:val="24"/>
          <w:szCs w:val="24"/>
        </w:rPr>
        <w:t>12.14%</w:t>
      </w:r>
      <w:r w:rsidRPr="006C56AA">
        <w:rPr>
          <w:color w:val="000000"/>
          <w:sz w:val="24"/>
          <w:szCs w:val="24"/>
        </w:rPr>
        <w:t>，同期业绩比较基准收益率为</w:t>
      </w:r>
      <w:r w:rsidRPr="006C56AA">
        <w:rPr>
          <w:color w:val="000000"/>
          <w:sz w:val="24"/>
          <w:szCs w:val="24"/>
        </w:rPr>
        <w:t>-1.52%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1,184,221,945.84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91.72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1,184,221,945.84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91.72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1,110,156.76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1,110,156.76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105,084,838.79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8.14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724,637.97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1,291,141,579.36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54,431,887.10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4.25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39,728,086.20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3.10</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878,638,821.62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68.66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15,537,250.65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78,678,477.54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74,956,647.53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10,205,390.20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11,892,585.00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20,152,800.00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1,184,221,945.84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92.54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8143B">
        <w:tc>
          <w:tcPr>
            <w:tcW w:w="851" w:type="dxa"/>
            <w:vAlign w:val="center"/>
          </w:tcPr>
          <w:p w:rsidR="0018143B" w:rsidRDefault="00F57E87">
            <w:pPr>
              <w:jc w:val="center"/>
            </w:pPr>
            <w:r>
              <w:rPr>
                <w:color w:val="000000"/>
                <w:kern w:val="0"/>
                <w:sz w:val="24"/>
                <w:szCs w:val="24"/>
              </w:rPr>
              <w:t>1</w:t>
            </w:r>
          </w:p>
        </w:tc>
        <w:tc>
          <w:tcPr>
            <w:tcW w:w="1276" w:type="dxa"/>
            <w:vAlign w:val="center"/>
          </w:tcPr>
          <w:p w:rsidR="0018143B" w:rsidRDefault="00F57E87">
            <w:pPr>
              <w:jc w:val="center"/>
            </w:pPr>
            <w:r>
              <w:rPr>
                <w:color w:val="000000"/>
                <w:kern w:val="0"/>
                <w:sz w:val="24"/>
                <w:szCs w:val="24"/>
              </w:rPr>
              <w:t>600009</w:t>
            </w:r>
          </w:p>
        </w:tc>
        <w:tc>
          <w:tcPr>
            <w:tcW w:w="1418" w:type="dxa"/>
            <w:vAlign w:val="center"/>
          </w:tcPr>
          <w:p w:rsidR="0018143B" w:rsidRDefault="00F57E87">
            <w:pPr>
              <w:jc w:val="center"/>
            </w:pPr>
            <w:r>
              <w:rPr>
                <w:color w:val="000000"/>
                <w:kern w:val="0"/>
                <w:sz w:val="24"/>
                <w:szCs w:val="24"/>
              </w:rPr>
              <w:t>上海机场</w:t>
            </w:r>
          </w:p>
        </w:tc>
        <w:tc>
          <w:tcPr>
            <w:tcW w:w="1701" w:type="dxa"/>
            <w:vAlign w:val="center"/>
          </w:tcPr>
          <w:p w:rsidR="0018143B" w:rsidRDefault="00F57E87">
            <w:pPr>
              <w:jc w:val="right"/>
            </w:pPr>
            <w:r>
              <w:rPr>
                <w:color w:val="000000"/>
                <w:kern w:val="0"/>
                <w:sz w:val="24"/>
                <w:szCs w:val="24"/>
              </w:rPr>
              <w:t>986,193</w:t>
            </w:r>
          </w:p>
        </w:tc>
        <w:tc>
          <w:tcPr>
            <w:tcW w:w="1984" w:type="dxa"/>
            <w:vAlign w:val="center"/>
          </w:tcPr>
          <w:p w:rsidR="0018143B" w:rsidRDefault="00F57E87">
            <w:pPr>
              <w:jc w:val="right"/>
            </w:pPr>
            <w:r>
              <w:rPr>
                <w:color w:val="000000"/>
                <w:kern w:val="0"/>
                <w:sz w:val="24"/>
                <w:szCs w:val="24"/>
              </w:rPr>
              <w:t>78,678,477.54</w:t>
            </w:r>
          </w:p>
        </w:tc>
        <w:tc>
          <w:tcPr>
            <w:tcW w:w="1559" w:type="dxa"/>
            <w:vAlign w:val="center"/>
          </w:tcPr>
          <w:p w:rsidR="0018143B" w:rsidRDefault="00F57E87">
            <w:pPr>
              <w:jc w:val="right"/>
            </w:pPr>
            <w:r>
              <w:rPr>
                <w:color w:val="000000"/>
                <w:kern w:val="0"/>
                <w:sz w:val="24"/>
                <w:szCs w:val="24"/>
              </w:rPr>
              <w:t>6.15</w:t>
            </w:r>
          </w:p>
        </w:tc>
      </w:tr>
      <w:tr w:rsidR="0018143B">
        <w:tc>
          <w:tcPr>
            <w:tcW w:w="851" w:type="dxa"/>
            <w:vAlign w:val="center"/>
          </w:tcPr>
          <w:p w:rsidR="0018143B" w:rsidRDefault="00F57E87">
            <w:pPr>
              <w:jc w:val="center"/>
            </w:pPr>
            <w:r>
              <w:rPr>
                <w:color w:val="000000"/>
                <w:kern w:val="0"/>
                <w:sz w:val="24"/>
                <w:szCs w:val="24"/>
              </w:rPr>
              <w:t>2</w:t>
            </w:r>
          </w:p>
        </w:tc>
        <w:tc>
          <w:tcPr>
            <w:tcW w:w="1276" w:type="dxa"/>
            <w:vAlign w:val="center"/>
          </w:tcPr>
          <w:p w:rsidR="0018143B" w:rsidRDefault="00F57E87">
            <w:pPr>
              <w:jc w:val="center"/>
            </w:pPr>
            <w:r>
              <w:rPr>
                <w:color w:val="000000"/>
                <w:kern w:val="0"/>
                <w:sz w:val="24"/>
                <w:szCs w:val="24"/>
              </w:rPr>
              <w:t>000858</w:t>
            </w:r>
          </w:p>
        </w:tc>
        <w:tc>
          <w:tcPr>
            <w:tcW w:w="1418" w:type="dxa"/>
            <w:vAlign w:val="center"/>
          </w:tcPr>
          <w:p w:rsidR="0018143B" w:rsidRDefault="00F57E87">
            <w:pPr>
              <w:jc w:val="center"/>
            </w:pPr>
            <w:r>
              <w:rPr>
                <w:color w:val="000000"/>
                <w:kern w:val="0"/>
                <w:sz w:val="24"/>
                <w:szCs w:val="24"/>
              </w:rPr>
              <w:t>五粮液</w:t>
            </w:r>
          </w:p>
        </w:tc>
        <w:tc>
          <w:tcPr>
            <w:tcW w:w="1701" w:type="dxa"/>
            <w:vAlign w:val="center"/>
          </w:tcPr>
          <w:p w:rsidR="0018143B" w:rsidRDefault="00F57E87">
            <w:pPr>
              <w:jc w:val="right"/>
            </w:pPr>
            <w:r>
              <w:rPr>
                <w:color w:val="000000"/>
                <w:kern w:val="0"/>
                <w:sz w:val="24"/>
                <w:szCs w:val="24"/>
              </w:rPr>
              <w:t>514,600</w:t>
            </w:r>
          </w:p>
        </w:tc>
        <w:tc>
          <w:tcPr>
            <w:tcW w:w="1984" w:type="dxa"/>
            <w:vAlign w:val="center"/>
          </w:tcPr>
          <w:p w:rsidR="0018143B" w:rsidRDefault="00F57E87">
            <w:pPr>
              <w:jc w:val="right"/>
            </w:pPr>
            <w:r>
              <w:rPr>
                <w:color w:val="000000"/>
                <w:kern w:val="0"/>
                <w:sz w:val="24"/>
                <w:szCs w:val="24"/>
              </w:rPr>
              <w:t>66,795,080.00</w:t>
            </w:r>
          </w:p>
        </w:tc>
        <w:tc>
          <w:tcPr>
            <w:tcW w:w="1559" w:type="dxa"/>
            <w:vAlign w:val="center"/>
          </w:tcPr>
          <w:p w:rsidR="0018143B" w:rsidRDefault="00F57E87">
            <w:pPr>
              <w:jc w:val="right"/>
            </w:pPr>
            <w:r>
              <w:rPr>
                <w:color w:val="000000"/>
                <w:kern w:val="0"/>
                <w:sz w:val="24"/>
                <w:szCs w:val="24"/>
              </w:rPr>
              <w:t>5.22</w:t>
            </w:r>
          </w:p>
        </w:tc>
      </w:tr>
      <w:tr w:rsidR="0018143B">
        <w:tc>
          <w:tcPr>
            <w:tcW w:w="851" w:type="dxa"/>
            <w:vAlign w:val="center"/>
          </w:tcPr>
          <w:p w:rsidR="0018143B" w:rsidRDefault="00F57E87">
            <w:pPr>
              <w:jc w:val="center"/>
            </w:pPr>
            <w:r>
              <w:rPr>
                <w:color w:val="000000"/>
                <w:kern w:val="0"/>
                <w:sz w:val="24"/>
                <w:szCs w:val="24"/>
              </w:rPr>
              <w:t>3</w:t>
            </w:r>
          </w:p>
        </w:tc>
        <w:tc>
          <w:tcPr>
            <w:tcW w:w="1276" w:type="dxa"/>
            <w:vAlign w:val="center"/>
          </w:tcPr>
          <w:p w:rsidR="0018143B" w:rsidRDefault="00F57E87">
            <w:pPr>
              <w:jc w:val="center"/>
            </w:pPr>
            <w:r>
              <w:rPr>
                <w:color w:val="000000"/>
                <w:kern w:val="0"/>
                <w:sz w:val="24"/>
                <w:szCs w:val="24"/>
              </w:rPr>
              <w:t>600276</w:t>
            </w:r>
          </w:p>
        </w:tc>
        <w:tc>
          <w:tcPr>
            <w:tcW w:w="1418" w:type="dxa"/>
            <w:vAlign w:val="center"/>
          </w:tcPr>
          <w:p w:rsidR="0018143B" w:rsidRDefault="00F57E87">
            <w:pPr>
              <w:jc w:val="center"/>
            </w:pPr>
            <w:r>
              <w:rPr>
                <w:color w:val="000000"/>
                <w:kern w:val="0"/>
                <w:sz w:val="24"/>
                <w:szCs w:val="24"/>
              </w:rPr>
              <w:t>恒瑞医药</w:t>
            </w:r>
          </w:p>
        </w:tc>
        <w:tc>
          <w:tcPr>
            <w:tcW w:w="1701" w:type="dxa"/>
            <w:vAlign w:val="center"/>
          </w:tcPr>
          <w:p w:rsidR="0018143B" w:rsidRDefault="00F57E87">
            <w:pPr>
              <w:jc w:val="right"/>
            </w:pPr>
            <w:r>
              <w:rPr>
                <w:color w:val="000000"/>
                <w:kern w:val="0"/>
                <w:sz w:val="24"/>
                <w:szCs w:val="24"/>
              </w:rPr>
              <w:t>792,339</w:t>
            </w:r>
          </w:p>
        </w:tc>
        <w:tc>
          <w:tcPr>
            <w:tcW w:w="1984" w:type="dxa"/>
            <w:vAlign w:val="center"/>
          </w:tcPr>
          <w:p w:rsidR="0018143B" w:rsidRDefault="00F57E87">
            <w:pPr>
              <w:jc w:val="right"/>
            </w:pPr>
            <w:r>
              <w:rPr>
                <w:color w:val="000000"/>
                <w:kern w:val="0"/>
                <w:sz w:val="24"/>
                <w:szCs w:val="24"/>
              </w:rPr>
              <w:t>63,925,910.52</w:t>
            </w:r>
          </w:p>
        </w:tc>
        <w:tc>
          <w:tcPr>
            <w:tcW w:w="1559" w:type="dxa"/>
            <w:vAlign w:val="center"/>
          </w:tcPr>
          <w:p w:rsidR="0018143B" w:rsidRDefault="00F57E87">
            <w:pPr>
              <w:jc w:val="right"/>
            </w:pPr>
            <w:r>
              <w:rPr>
                <w:color w:val="000000"/>
                <w:kern w:val="0"/>
                <w:sz w:val="24"/>
                <w:szCs w:val="24"/>
              </w:rPr>
              <w:t>5.00</w:t>
            </w:r>
          </w:p>
        </w:tc>
      </w:tr>
      <w:tr w:rsidR="0018143B">
        <w:tc>
          <w:tcPr>
            <w:tcW w:w="851" w:type="dxa"/>
            <w:vAlign w:val="center"/>
          </w:tcPr>
          <w:p w:rsidR="0018143B" w:rsidRDefault="00F57E87">
            <w:pPr>
              <w:jc w:val="center"/>
            </w:pPr>
            <w:r>
              <w:rPr>
                <w:color w:val="000000"/>
                <w:kern w:val="0"/>
                <w:sz w:val="24"/>
                <w:szCs w:val="24"/>
              </w:rPr>
              <w:t>4</w:t>
            </w:r>
          </w:p>
        </w:tc>
        <w:tc>
          <w:tcPr>
            <w:tcW w:w="1276" w:type="dxa"/>
            <w:vAlign w:val="center"/>
          </w:tcPr>
          <w:p w:rsidR="0018143B" w:rsidRDefault="00F57E87">
            <w:pPr>
              <w:jc w:val="center"/>
            </w:pPr>
            <w:r>
              <w:rPr>
                <w:color w:val="000000"/>
                <w:kern w:val="0"/>
                <w:sz w:val="24"/>
                <w:szCs w:val="24"/>
              </w:rPr>
              <w:t>600519</w:t>
            </w:r>
          </w:p>
        </w:tc>
        <w:tc>
          <w:tcPr>
            <w:tcW w:w="1418" w:type="dxa"/>
            <w:vAlign w:val="center"/>
          </w:tcPr>
          <w:p w:rsidR="0018143B" w:rsidRDefault="00F57E87">
            <w:pPr>
              <w:jc w:val="center"/>
            </w:pPr>
            <w:r>
              <w:rPr>
                <w:color w:val="000000"/>
                <w:kern w:val="0"/>
                <w:sz w:val="24"/>
                <w:szCs w:val="24"/>
              </w:rPr>
              <w:t>贵州茅台</w:t>
            </w:r>
          </w:p>
        </w:tc>
        <w:tc>
          <w:tcPr>
            <w:tcW w:w="1701" w:type="dxa"/>
            <w:vAlign w:val="center"/>
          </w:tcPr>
          <w:p w:rsidR="0018143B" w:rsidRDefault="00F57E87">
            <w:pPr>
              <w:jc w:val="right"/>
            </w:pPr>
            <w:r>
              <w:rPr>
                <w:color w:val="000000"/>
                <w:kern w:val="0"/>
                <w:sz w:val="24"/>
                <w:szCs w:val="24"/>
              </w:rPr>
              <w:t>55,387</w:t>
            </w:r>
          </w:p>
        </w:tc>
        <w:tc>
          <w:tcPr>
            <w:tcW w:w="1984" w:type="dxa"/>
            <w:vAlign w:val="center"/>
          </w:tcPr>
          <w:p w:rsidR="0018143B" w:rsidRDefault="00F57E87">
            <w:pPr>
              <w:jc w:val="right"/>
            </w:pPr>
            <w:r>
              <w:rPr>
                <w:color w:val="000000"/>
                <w:kern w:val="0"/>
                <w:sz w:val="24"/>
                <w:szCs w:val="24"/>
              </w:rPr>
              <w:t>63,695,050.00</w:t>
            </w:r>
          </w:p>
        </w:tc>
        <w:tc>
          <w:tcPr>
            <w:tcW w:w="1559" w:type="dxa"/>
            <w:vAlign w:val="center"/>
          </w:tcPr>
          <w:p w:rsidR="0018143B" w:rsidRDefault="00F57E87">
            <w:pPr>
              <w:jc w:val="right"/>
            </w:pPr>
            <w:r>
              <w:rPr>
                <w:color w:val="000000"/>
                <w:kern w:val="0"/>
                <w:sz w:val="24"/>
                <w:szCs w:val="24"/>
              </w:rPr>
              <w:t>4.98</w:t>
            </w:r>
          </w:p>
        </w:tc>
      </w:tr>
      <w:tr w:rsidR="0018143B">
        <w:tc>
          <w:tcPr>
            <w:tcW w:w="851" w:type="dxa"/>
            <w:vAlign w:val="center"/>
          </w:tcPr>
          <w:p w:rsidR="0018143B" w:rsidRDefault="00F57E87">
            <w:pPr>
              <w:jc w:val="center"/>
            </w:pPr>
            <w:r>
              <w:rPr>
                <w:color w:val="000000"/>
                <w:kern w:val="0"/>
                <w:sz w:val="24"/>
                <w:szCs w:val="24"/>
              </w:rPr>
              <w:t>5</w:t>
            </w:r>
          </w:p>
        </w:tc>
        <w:tc>
          <w:tcPr>
            <w:tcW w:w="1276" w:type="dxa"/>
            <w:vAlign w:val="center"/>
          </w:tcPr>
          <w:p w:rsidR="0018143B" w:rsidRDefault="00F57E87">
            <w:pPr>
              <w:jc w:val="center"/>
            </w:pPr>
            <w:r>
              <w:rPr>
                <w:color w:val="000000"/>
                <w:kern w:val="0"/>
                <w:sz w:val="24"/>
                <w:szCs w:val="24"/>
              </w:rPr>
              <w:t>300628</w:t>
            </w:r>
          </w:p>
        </w:tc>
        <w:tc>
          <w:tcPr>
            <w:tcW w:w="1418" w:type="dxa"/>
            <w:vAlign w:val="center"/>
          </w:tcPr>
          <w:p w:rsidR="0018143B" w:rsidRDefault="00F57E87">
            <w:pPr>
              <w:jc w:val="center"/>
            </w:pPr>
            <w:r>
              <w:rPr>
                <w:color w:val="000000"/>
                <w:kern w:val="0"/>
                <w:sz w:val="24"/>
                <w:szCs w:val="24"/>
              </w:rPr>
              <w:t>亿联网络</w:t>
            </w:r>
          </w:p>
        </w:tc>
        <w:tc>
          <w:tcPr>
            <w:tcW w:w="1701" w:type="dxa"/>
            <w:vAlign w:val="center"/>
          </w:tcPr>
          <w:p w:rsidR="0018143B" w:rsidRDefault="00F57E87">
            <w:pPr>
              <w:jc w:val="right"/>
            </w:pPr>
            <w:r>
              <w:rPr>
                <w:color w:val="000000"/>
                <w:kern w:val="0"/>
                <w:sz w:val="24"/>
                <w:szCs w:val="24"/>
              </w:rPr>
              <w:t>1,039,464</w:t>
            </w:r>
          </w:p>
        </w:tc>
        <w:tc>
          <w:tcPr>
            <w:tcW w:w="1984" w:type="dxa"/>
            <w:vAlign w:val="center"/>
          </w:tcPr>
          <w:p w:rsidR="0018143B" w:rsidRDefault="00F57E87">
            <w:pPr>
              <w:jc w:val="right"/>
            </w:pPr>
            <w:r>
              <w:rPr>
                <w:color w:val="000000"/>
                <w:kern w:val="0"/>
                <w:sz w:val="24"/>
                <w:szCs w:val="24"/>
              </w:rPr>
              <w:t>63,085,070.16</w:t>
            </w:r>
          </w:p>
        </w:tc>
        <w:tc>
          <w:tcPr>
            <w:tcW w:w="1559" w:type="dxa"/>
            <w:vAlign w:val="center"/>
          </w:tcPr>
          <w:p w:rsidR="0018143B" w:rsidRDefault="00F57E87">
            <w:pPr>
              <w:jc w:val="right"/>
            </w:pPr>
            <w:r>
              <w:rPr>
                <w:color w:val="000000"/>
                <w:kern w:val="0"/>
                <w:sz w:val="24"/>
                <w:szCs w:val="24"/>
              </w:rPr>
              <w:t>4.93</w:t>
            </w:r>
          </w:p>
        </w:tc>
      </w:tr>
      <w:tr w:rsidR="0018143B">
        <w:tc>
          <w:tcPr>
            <w:tcW w:w="851" w:type="dxa"/>
            <w:vAlign w:val="center"/>
          </w:tcPr>
          <w:p w:rsidR="0018143B" w:rsidRDefault="00F57E87">
            <w:pPr>
              <w:jc w:val="center"/>
            </w:pPr>
            <w:r>
              <w:rPr>
                <w:color w:val="000000"/>
                <w:kern w:val="0"/>
                <w:sz w:val="24"/>
                <w:szCs w:val="24"/>
              </w:rPr>
              <w:t>6</w:t>
            </w:r>
          </w:p>
        </w:tc>
        <w:tc>
          <w:tcPr>
            <w:tcW w:w="1276" w:type="dxa"/>
            <w:vAlign w:val="center"/>
          </w:tcPr>
          <w:p w:rsidR="0018143B" w:rsidRDefault="00F57E87">
            <w:pPr>
              <w:jc w:val="center"/>
            </w:pPr>
            <w:r>
              <w:rPr>
                <w:color w:val="000000"/>
                <w:kern w:val="0"/>
                <w:sz w:val="24"/>
                <w:szCs w:val="24"/>
              </w:rPr>
              <w:t>000568</w:t>
            </w:r>
          </w:p>
        </w:tc>
        <w:tc>
          <w:tcPr>
            <w:tcW w:w="1418" w:type="dxa"/>
            <w:vAlign w:val="center"/>
          </w:tcPr>
          <w:p w:rsidR="0018143B" w:rsidRDefault="00F57E87">
            <w:pPr>
              <w:jc w:val="center"/>
            </w:pPr>
            <w:r>
              <w:rPr>
                <w:color w:val="000000"/>
                <w:kern w:val="0"/>
                <w:sz w:val="24"/>
                <w:szCs w:val="24"/>
              </w:rPr>
              <w:t>泸州老窖</w:t>
            </w:r>
          </w:p>
        </w:tc>
        <w:tc>
          <w:tcPr>
            <w:tcW w:w="1701" w:type="dxa"/>
            <w:vAlign w:val="center"/>
          </w:tcPr>
          <w:p w:rsidR="0018143B" w:rsidRDefault="00F57E87">
            <w:pPr>
              <w:jc w:val="right"/>
            </w:pPr>
            <w:r>
              <w:rPr>
                <w:color w:val="000000"/>
                <w:kern w:val="0"/>
                <w:sz w:val="24"/>
                <w:szCs w:val="24"/>
              </w:rPr>
              <w:t>686,410</w:t>
            </w:r>
          </w:p>
        </w:tc>
        <w:tc>
          <w:tcPr>
            <w:tcW w:w="1984" w:type="dxa"/>
            <w:vAlign w:val="center"/>
          </w:tcPr>
          <w:p w:rsidR="0018143B" w:rsidRDefault="00F57E87">
            <w:pPr>
              <w:jc w:val="right"/>
            </w:pPr>
            <w:r>
              <w:rPr>
                <w:color w:val="000000"/>
                <w:kern w:val="0"/>
                <w:sz w:val="24"/>
                <w:szCs w:val="24"/>
              </w:rPr>
              <w:t>58,495,860.20</w:t>
            </w:r>
          </w:p>
        </w:tc>
        <w:tc>
          <w:tcPr>
            <w:tcW w:w="1559" w:type="dxa"/>
            <w:vAlign w:val="center"/>
          </w:tcPr>
          <w:p w:rsidR="0018143B" w:rsidRDefault="00F57E87">
            <w:pPr>
              <w:jc w:val="right"/>
            </w:pPr>
            <w:r>
              <w:rPr>
                <w:color w:val="000000"/>
                <w:kern w:val="0"/>
                <w:sz w:val="24"/>
                <w:szCs w:val="24"/>
              </w:rPr>
              <w:t>4.57</w:t>
            </w:r>
          </w:p>
        </w:tc>
      </w:tr>
      <w:tr w:rsidR="0018143B">
        <w:tc>
          <w:tcPr>
            <w:tcW w:w="851" w:type="dxa"/>
            <w:vAlign w:val="center"/>
          </w:tcPr>
          <w:p w:rsidR="0018143B" w:rsidRDefault="00F57E87">
            <w:pPr>
              <w:jc w:val="center"/>
            </w:pPr>
            <w:r>
              <w:rPr>
                <w:color w:val="000000"/>
                <w:kern w:val="0"/>
                <w:sz w:val="24"/>
                <w:szCs w:val="24"/>
              </w:rPr>
              <w:t>7</w:t>
            </w:r>
          </w:p>
        </w:tc>
        <w:tc>
          <w:tcPr>
            <w:tcW w:w="1276" w:type="dxa"/>
            <w:vAlign w:val="center"/>
          </w:tcPr>
          <w:p w:rsidR="0018143B" w:rsidRDefault="00F57E87">
            <w:pPr>
              <w:jc w:val="center"/>
            </w:pPr>
            <w:r>
              <w:rPr>
                <w:color w:val="000000"/>
                <w:kern w:val="0"/>
                <w:sz w:val="24"/>
                <w:szCs w:val="24"/>
              </w:rPr>
              <w:t>002463</w:t>
            </w:r>
          </w:p>
        </w:tc>
        <w:tc>
          <w:tcPr>
            <w:tcW w:w="1418" w:type="dxa"/>
            <w:vAlign w:val="center"/>
          </w:tcPr>
          <w:p w:rsidR="0018143B" w:rsidRDefault="00F57E87">
            <w:pPr>
              <w:jc w:val="center"/>
            </w:pPr>
            <w:r>
              <w:rPr>
                <w:color w:val="000000"/>
                <w:kern w:val="0"/>
                <w:sz w:val="24"/>
                <w:szCs w:val="24"/>
              </w:rPr>
              <w:t>沪电股份</w:t>
            </w:r>
          </w:p>
        </w:tc>
        <w:tc>
          <w:tcPr>
            <w:tcW w:w="1701" w:type="dxa"/>
            <w:vAlign w:val="center"/>
          </w:tcPr>
          <w:p w:rsidR="0018143B" w:rsidRDefault="00F57E87">
            <w:pPr>
              <w:jc w:val="right"/>
            </w:pPr>
            <w:r>
              <w:rPr>
                <w:color w:val="000000"/>
                <w:kern w:val="0"/>
                <w:sz w:val="24"/>
                <w:szCs w:val="24"/>
              </w:rPr>
              <w:t>2,339,500</w:t>
            </w:r>
          </w:p>
        </w:tc>
        <w:tc>
          <w:tcPr>
            <w:tcW w:w="1984" w:type="dxa"/>
            <w:vAlign w:val="center"/>
          </w:tcPr>
          <w:p w:rsidR="0018143B" w:rsidRDefault="00F57E87">
            <w:pPr>
              <w:jc w:val="right"/>
            </w:pPr>
            <w:r>
              <w:rPr>
                <w:color w:val="000000"/>
                <w:kern w:val="0"/>
                <w:sz w:val="24"/>
                <w:szCs w:val="24"/>
              </w:rPr>
              <w:t>57,317,750.00</w:t>
            </w:r>
          </w:p>
        </w:tc>
        <w:tc>
          <w:tcPr>
            <w:tcW w:w="1559" w:type="dxa"/>
            <w:vAlign w:val="center"/>
          </w:tcPr>
          <w:p w:rsidR="0018143B" w:rsidRDefault="00F57E87">
            <w:pPr>
              <w:jc w:val="right"/>
            </w:pPr>
            <w:r>
              <w:rPr>
                <w:color w:val="000000"/>
                <w:kern w:val="0"/>
                <w:sz w:val="24"/>
                <w:szCs w:val="24"/>
              </w:rPr>
              <w:t>4.48</w:t>
            </w:r>
          </w:p>
        </w:tc>
      </w:tr>
      <w:tr w:rsidR="0018143B">
        <w:tc>
          <w:tcPr>
            <w:tcW w:w="851" w:type="dxa"/>
            <w:vAlign w:val="center"/>
          </w:tcPr>
          <w:p w:rsidR="0018143B" w:rsidRDefault="00F57E87">
            <w:pPr>
              <w:jc w:val="center"/>
            </w:pPr>
            <w:r>
              <w:rPr>
                <w:color w:val="000000"/>
                <w:kern w:val="0"/>
                <w:sz w:val="24"/>
                <w:szCs w:val="24"/>
              </w:rPr>
              <w:t>8</w:t>
            </w:r>
          </w:p>
        </w:tc>
        <w:tc>
          <w:tcPr>
            <w:tcW w:w="1276" w:type="dxa"/>
            <w:vAlign w:val="center"/>
          </w:tcPr>
          <w:p w:rsidR="0018143B" w:rsidRDefault="00F57E87">
            <w:pPr>
              <w:jc w:val="center"/>
            </w:pPr>
            <w:r>
              <w:rPr>
                <w:color w:val="000000"/>
                <w:kern w:val="0"/>
                <w:sz w:val="24"/>
                <w:szCs w:val="24"/>
              </w:rPr>
              <w:t>603160</w:t>
            </w:r>
          </w:p>
        </w:tc>
        <w:tc>
          <w:tcPr>
            <w:tcW w:w="1418" w:type="dxa"/>
            <w:vAlign w:val="center"/>
          </w:tcPr>
          <w:p w:rsidR="0018143B" w:rsidRDefault="00F57E87">
            <w:pPr>
              <w:jc w:val="center"/>
            </w:pPr>
            <w:r>
              <w:rPr>
                <w:color w:val="000000"/>
                <w:kern w:val="0"/>
                <w:sz w:val="24"/>
                <w:szCs w:val="24"/>
              </w:rPr>
              <w:t>汇顶科技</w:t>
            </w:r>
          </w:p>
        </w:tc>
        <w:tc>
          <w:tcPr>
            <w:tcW w:w="1701" w:type="dxa"/>
            <w:vAlign w:val="center"/>
          </w:tcPr>
          <w:p w:rsidR="0018143B" w:rsidRDefault="00F57E87">
            <w:pPr>
              <w:jc w:val="right"/>
            </w:pPr>
            <w:r>
              <w:rPr>
                <w:color w:val="000000"/>
                <w:kern w:val="0"/>
                <w:sz w:val="24"/>
                <w:szCs w:val="24"/>
              </w:rPr>
              <w:t>271,300</w:t>
            </w:r>
          </w:p>
        </w:tc>
        <w:tc>
          <w:tcPr>
            <w:tcW w:w="1984" w:type="dxa"/>
            <w:vAlign w:val="center"/>
          </w:tcPr>
          <w:p w:rsidR="0018143B" w:rsidRDefault="00F57E87">
            <w:pPr>
              <w:jc w:val="right"/>
            </w:pPr>
            <w:r>
              <w:rPr>
                <w:color w:val="000000"/>
                <w:kern w:val="0"/>
                <w:sz w:val="24"/>
                <w:szCs w:val="24"/>
              </w:rPr>
              <w:t>55,182,420.00</w:t>
            </w:r>
          </w:p>
        </w:tc>
        <w:tc>
          <w:tcPr>
            <w:tcW w:w="1559" w:type="dxa"/>
            <w:vAlign w:val="center"/>
          </w:tcPr>
          <w:p w:rsidR="0018143B" w:rsidRDefault="00F57E87">
            <w:pPr>
              <w:jc w:val="right"/>
            </w:pPr>
            <w:r>
              <w:rPr>
                <w:color w:val="000000"/>
                <w:kern w:val="0"/>
                <w:sz w:val="24"/>
                <w:szCs w:val="24"/>
              </w:rPr>
              <w:t>4.31</w:t>
            </w:r>
          </w:p>
        </w:tc>
      </w:tr>
      <w:tr w:rsidR="0018143B">
        <w:tc>
          <w:tcPr>
            <w:tcW w:w="851" w:type="dxa"/>
            <w:vAlign w:val="center"/>
          </w:tcPr>
          <w:p w:rsidR="0018143B" w:rsidRDefault="00F57E87">
            <w:pPr>
              <w:jc w:val="center"/>
            </w:pPr>
            <w:r>
              <w:rPr>
                <w:color w:val="000000"/>
                <w:kern w:val="0"/>
                <w:sz w:val="24"/>
                <w:szCs w:val="24"/>
              </w:rPr>
              <w:t>9</w:t>
            </w:r>
          </w:p>
        </w:tc>
        <w:tc>
          <w:tcPr>
            <w:tcW w:w="1276" w:type="dxa"/>
            <w:vAlign w:val="center"/>
          </w:tcPr>
          <w:p w:rsidR="0018143B" w:rsidRDefault="00F57E87">
            <w:pPr>
              <w:jc w:val="center"/>
            </w:pPr>
            <w:r>
              <w:rPr>
                <w:color w:val="000000"/>
                <w:kern w:val="0"/>
                <w:sz w:val="24"/>
                <w:szCs w:val="24"/>
              </w:rPr>
              <w:t>601012</w:t>
            </w:r>
          </w:p>
        </w:tc>
        <w:tc>
          <w:tcPr>
            <w:tcW w:w="1418" w:type="dxa"/>
            <w:vAlign w:val="center"/>
          </w:tcPr>
          <w:p w:rsidR="0018143B" w:rsidRDefault="00F57E87">
            <w:pPr>
              <w:jc w:val="center"/>
            </w:pPr>
            <w:r>
              <w:rPr>
                <w:color w:val="000000"/>
                <w:kern w:val="0"/>
                <w:sz w:val="24"/>
                <w:szCs w:val="24"/>
              </w:rPr>
              <w:t>隆基股份</w:t>
            </w:r>
          </w:p>
        </w:tc>
        <w:tc>
          <w:tcPr>
            <w:tcW w:w="1701" w:type="dxa"/>
            <w:vAlign w:val="center"/>
          </w:tcPr>
          <w:p w:rsidR="0018143B" w:rsidRDefault="00F57E87">
            <w:pPr>
              <w:jc w:val="right"/>
            </w:pPr>
            <w:r>
              <w:rPr>
                <w:color w:val="000000"/>
                <w:kern w:val="0"/>
                <w:sz w:val="24"/>
                <w:szCs w:val="24"/>
              </w:rPr>
              <w:t>2,004,998</w:t>
            </w:r>
          </w:p>
        </w:tc>
        <w:tc>
          <w:tcPr>
            <w:tcW w:w="1984" w:type="dxa"/>
            <w:vAlign w:val="center"/>
          </w:tcPr>
          <w:p w:rsidR="0018143B" w:rsidRDefault="00F57E87">
            <w:pPr>
              <w:jc w:val="right"/>
            </w:pPr>
            <w:r>
              <w:rPr>
                <w:color w:val="000000"/>
                <w:kern w:val="0"/>
                <w:sz w:val="24"/>
                <w:szCs w:val="24"/>
              </w:rPr>
              <w:t>52,591,097.54</w:t>
            </w:r>
          </w:p>
        </w:tc>
        <w:tc>
          <w:tcPr>
            <w:tcW w:w="1559" w:type="dxa"/>
            <w:vAlign w:val="center"/>
          </w:tcPr>
          <w:p w:rsidR="0018143B" w:rsidRDefault="00F57E87">
            <w:pPr>
              <w:jc w:val="right"/>
            </w:pPr>
            <w:r>
              <w:rPr>
                <w:color w:val="000000"/>
                <w:kern w:val="0"/>
                <w:sz w:val="24"/>
                <w:szCs w:val="24"/>
              </w:rPr>
              <w:t>4.11</w:t>
            </w:r>
          </w:p>
        </w:tc>
      </w:tr>
      <w:tr w:rsidR="0018143B">
        <w:tc>
          <w:tcPr>
            <w:tcW w:w="851" w:type="dxa"/>
            <w:vAlign w:val="center"/>
          </w:tcPr>
          <w:p w:rsidR="0018143B" w:rsidRDefault="00F57E87">
            <w:pPr>
              <w:jc w:val="center"/>
            </w:pPr>
            <w:r>
              <w:rPr>
                <w:color w:val="000000"/>
                <w:kern w:val="0"/>
                <w:sz w:val="24"/>
                <w:szCs w:val="24"/>
              </w:rPr>
              <w:t>10</w:t>
            </w:r>
          </w:p>
        </w:tc>
        <w:tc>
          <w:tcPr>
            <w:tcW w:w="1276" w:type="dxa"/>
            <w:vAlign w:val="center"/>
          </w:tcPr>
          <w:p w:rsidR="0018143B" w:rsidRDefault="00F57E87">
            <w:pPr>
              <w:jc w:val="center"/>
            </w:pPr>
            <w:r>
              <w:rPr>
                <w:color w:val="000000"/>
                <w:kern w:val="0"/>
                <w:sz w:val="24"/>
                <w:szCs w:val="24"/>
              </w:rPr>
              <w:t>300443</w:t>
            </w:r>
          </w:p>
        </w:tc>
        <w:tc>
          <w:tcPr>
            <w:tcW w:w="1418" w:type="dxa"/>
            <w:vAlign w:val="center"/>
          </w:tcPr>
          <w:p w:rsidR="0018143B" w:rsidRDefault="00F57E87">
            <w:pPr>
              <w:jc w:val="center"/>
            </w:pPr>
            <w:r>
              <w:rPr>
                <w:color w:val="000000"/>
                <w:kern w:val="0"/>
                <w:sz w:val="24"/>
                <w:szCs w:val="24"/>
              </w:rPr>
              <w:t>金雷股份</w:t>
            </w:r>
          </w:p>
        </w:tc>
        <w:tc>
          <w:tcPr>
            <w:tcW w:w="1701" w:type="dxa"/>
            <w:vAlign w:val="center"/>
          </w:tcPr>
          <w:p w:rsidR="0018143B" w:rsidRDefault="00F57E87">
            <w:pPr>
              <w:jc w:val="right"/>
            </w:pPr>
            <w:r>
              <w:rPr>
                <w:color w:val="000000"/>
                <w:kern w:val="0"/>
                <w:sz w:val="24"/>
                <w:szCs w:val="24"/>
              </w:rPr>
              <w:t>3,210,602</w:t>
            </w:r>
          </w:p>
        </w:tc>
        <w:tc>
          <w:tcPr>
            <w:tcW w:w="1984" w:type="dxa"/>
            <w:vAlign w:val="center"/>
          </w:tcPr>
          <w:p w:rsidR="0018143B" w:rsidRDefault="00F57E87">
            <w:pPr>
              <w:jc w:val="right"/>
            </w:pPr>
            <w:r>
              <w:rPr>
                <w:color w:val="000000"/>
                <w:kern w:val="0"/>
                <w:sz w:val="24"/>
                <w:szCs w:val="24"/>
              </w:rPr>
              <w:t>50,406,451.40</w:t>
            </w:r>
          </w:p>
        </w:tc>
        <w:tc>
          <w:tcPr>
            <w:tcW w:w="1559" w:type="dxa"/>
            <w:vAlign w:val="center"/>
          </w:tcPr>
          <w:p w:rsidR="0018143B" w:rsidRDefault="00F57E87">
            <w:pPr>
              <w:jc w:val="right"/>
            </w:pPr>
            <w:r>
              <w:rPr>
                <w:color w:val="000000"/>
                <w:kern w:val="0"/>
                <w:sz w:val="24"/>
                <w:szCs w:val="24"/>
              </w:rPr>
              <w:t>3.94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1,110,156.76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1,110,156.76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8143B">
        <w:tc>
          <w:tcPr>
            <w:tcW w:w="959" w:type="dxa"/>
            <w:vAlign w:val="center"/>
          </w:tcPr>
          <w:p w:rsidR="0018143B" w:rsidRDefault="00F57E87">
            <w:pPr>
              <w:jc w:val="center"/>
            </w:pPr>
            <w:r>
              <w:rPr>
                <w:color w:val="000000"/>
                <w:kern w:val="0"/>
                <w:sz w:val="24"/>
                <w:szCs w:val="24"/>
              </w:rPr>
              <w:t>1</w:t>
            </w:r>
          </w:p>
        </w:tc>
        <w:tc>
          <w:tcPr>
            <w:tcW w:w="1276" w:type="dxa"/>
            <w:vAlign w:val="center"/>
          </w:tcPr>
          <w:p w:rsidR="0018143B" w:rsidRDefault="00F57E87">
            <w:pPr>
              <w:jc w:val="center"/>
            </w:pPr>
            <w:r>
              <w:rPr>
                <w:color w:val="000000"/>
                <w:kern w:val="0"/>
                <w:sz w:val="24"/>
                <w:szCs w:val="24"/>
              </w:rPr>
              <w:t>128074</w:t>
            </w:r>
          </w:p>
        </w:tc>
        <w:tc>
          <w:tcPr>
            <w:tcW w:w="1275" w:type="dxa"/>
            <w:vAlign w:val="center"/>
          </w:tcPr>
          <w:p w:rsidR="0018143B" w:rsidRDefault="00F57E87">
            <w:pPr>
              <w:jc w:val="center"/>
            </w:pPr>
            <w:r>
              <w:rPr>
                <w:color w:val="000000"/>
                <w:kern w:val="0"/>
                <w:sz w:val="24"/>
                <w:szCs w:val="24"/>
              </w:rPr>
              <w:t>游族转债</w:t>
            </w:r>
          </w:p>
        </w:tc>
        <w:tc>
          <w:tcPr>
            <w:tcW w:w="1560" w:type="dxa"/>
            <w:vAlign w:val="center"/>
          </w:tcPr>
          <w:p w:rsidR="0018143B" w:rsidRDefault="00F57E87">
            <w:pPr>
              <w:jc w:val="right"/>
            </w:pPr>
            <w:r>
              <w:rPr>
                <w:color w:val="000000"/>
                <w:kern w:val="0"/>
                <w:sz w:val="24"/>
                <w:szCs w:val="24"/>
              </w:rPr>
              <w:t>8,023</w:t>
            </w:r>
          </w:p>
        </w:tc>
        <w:tc>
          <w:tcPr>
            <w:tcW w:w="1984" w:type="dxa"/>
            <w:vAlign w:val="center"/>
          </w:tcPr>
          <w:p w:rsidR="0018143B" w:rsidRDefault="00F57E87">
            <w:pPr>
              <w:jc w:val="right"/>
            </w:pPr>
            <w:r>
              <w:rPr>
                <w:color w:val="000000"/>
                <w:kern w:val="0"/>
                <w:sz w:val="24"/>
                <w:szCs w:val="24"/>
              </w:rPr>
              <w:t>802,300.00</w:t>
            </w:r>
          </w:p>
        </w:tc>
        <w:tc>
          <w:tcPr>
            <w:tcW w:w="1474" w:type="dxa"/>
            <w:vAlign w:val="center"/>
          </w:tcPr>
          <w:p w:rsidR="0018143B" w:rsidRDefault="00F57E87">
            <w:pPr>
              <w:jc w:val="right"/>
            </w:pPr>
            <w:r>
              <w:rPr>
                <w:color w:val="000000"/>
                <w:kern w:val="0"/>
                <w:sz w:val="24"/>
                <w:szCs w:val="24"/>
              </w:rPr>
              <w:t>0.06</w:t>
            </w:r>
          </w:p>
        </w:tc>
      </w:tr>
      <w:tr w:rsidR="0018143B">
        <w:tc>
          <w:tcPr>
            <w:tcW w:w="959" w:type="dxa"/>
            <w:vAlign w:val="center"/>
          </w:tcPr>
          <w:p w:rsidR="0018143B" w:rsidRDefault="00F57E87">
            <w:pPr>
              <w:jc w:val="center"/>
            </w:pPr>
            <w:r>
              <w:rPr>
                <w:color w:val="000000"/>
                <w:kern w:val="0"/>
                <w:sz w:val="24"/>
                <w:szCs w:val="24"/>
              </w:rPr>
              <w:t>2</w:t>
            </w:r>
          </w:p>
        </w:tc>
        <w:tc>
          <w:tcPr>
            <w:tcW w:w="1276" w:type="dxa"/>
            <w:vAlign w:val="center"/>
          </w:tcPr>
          <w:p w:rsidR="0018143B" w:rsidRDefault="00F57E87">
            <w:pPr>
              <w:jc w:val="center"/>
            </w:pPr>
            <w:r>
              <w:rPr>
                <w:color w:val="000000"/>
                <w:kern w:val="0"/>
                <w:sz w:val="24"/>
                <w:szCs w:val="24"/>
              </w:rPr>
              <w:t>127013</w:t>
            </w:r>
          </w:p>
        </w:tc>
        <w:tc>
          <w:tcPr>
            <w:tcW w:w="1275" w:type="dxa"/>
            <w:vAlign w:val="center"/>
          </w:tcPr>
          <w:p w:rsidR="0018143B" w:rsidRDefault="00F57E87">
            <w:pPr>
              <w:jc w:val="center"/>
            </w:pPr>
            <w:r>
              <w:rPr>
                <w:color w:val="000000"/>
                <w:kern w:val="0"/>
                <w:sz w:val="24"/>
                <w:szCs w:val="24"/>
              </w:rPr>
              <w:t>创维转债</w:t>
            </w:r>
          </w:p>
        </w:tc>
        <w:tc>
          <w:tcPr>
            <w:tcW w:w="1560" w:type="dxa"/>
            <w:vAlign w:val="center"/>
          </w:tcPr>
          <w:p w:rsidR="0018143B" w:rsidRDefault="00F57E87">
            <w:pPr>
              <w:jc w:val="right"/>
            </w:pPr>
            <w:r>
              <w:rPr>
                <w:color w:val="000000"/>
                <w:kern w:val="0"/>
                <w:sz w:val="24"/>
                <w:szCs w:val="24"/>
              </w:rPr>
              <w:t>3,028</w:t>
            </w:r>
          </w:p>
        </w:tc>
        <w:tc>
          <w:tcPr>
            <w:tcW w:w="1984" w:type="dxa"/>
            <w:vAlign w:val="center"/>
          </w:tcPr>
          <w:p w:rsidR="0018143B" w:rsidRDefault="00F57E87">
            <w:pPr>
              <w:jc w:val="right"/>
            </w:pPr>
            <w:r>
              <w:rPr>
                <w:color w:val="000000"/>
                <w:kern w:val="0"/>
                <w:sz w:val="24"/>
                <w:szCs w:val="24"/>
              </w:rPr>
              <w:t>307,856.76</w:t>
            </w:r>
          </w:p>
        </w:tc>
        <w:tc>
          <w:tcPr>
            <w:tcW w:w="1474" w:type="dxa"/>
            <w:vAlign w:val="center"/>
          </w:tcPr>
          <w:p w:rsidR="0018143B" w:rsidRDefault="00F57E87">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227,558.73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17,367.83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479,711.41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724,637.97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398,459,860.10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13,587,631.61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23,877,199.76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388,170,291.95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18143B" w:rsidRDefault="00F57E87">
      <w:pPr>
        <w:spacing w:line="360" w:lineRule="auto"/>
        <w:ind w:firstLineChars="200" w:firstLine="480"/>
        <w:rPr>
          <w:color w:val="000000"/>
          <w:sz w:val="24"/>
          <w:szCs w:val="24"/>
        </w:rPr>
      </w:pPr>
      <w:r>
        <w:rPr>
          <w:color w:val="000000"/>
          <w:sz w:val="24"/>
          <w:szCs w:val="24"/>
        </w:rPr>
        <w:t>1.</w:t>
      </w:r>
      <w:r>
        <w:rPr>
          <w:color w:val="000000"/>
          <w:sz w:val="24"/>
          <w:szCs w:val="24"/>
        </w:rPr>
        <w:t>中国证监会批准易方达策略成长证券投资基金设立的文件；</w:t>
      </w:r>
    </w:p>
    <w:p w:rsidR="0018143B" w:rsidRDefault="00F57E87">
      <w:pPr>
        <w:spacing w:line="360" w:lineRule="auto"/>
        <w:ind w:firstLineChars="200" w:firstLine="480"/>
        <w:rPr>
          <w:color w:val="000000"/>
          <w:sz w:val="24"/>
          <w:szCs w:val="24"/>
        </w:rPr>
      </w:pPr>
      <w:r>
        <w:rPr>
          <w:color w:val="000000"/>
          <w:sz w:val="24"/>
          <w:szCs w:val="24"/>
        </w:rPr>
        <w:t>2.</w:t>
      </w:r>
      <w:r>
        <w:rPr>
          <w:color w:val="000000"/>
          <w:sz w:val="24"/>
          <w:szCs w:val="24"/>
        </w:rPr>
        <w:t>《易方达策略成长证券投资基金基金合同》；</w:t>
      </w:r>
    </w:p>
    <w:p w:rsidR="0018143B" w:rsidRDefault="00F57E87">
      <w:pPr>
        <w:spacing w:line="360" w:lineRule="auto"/>
        <w:ind w:firstLineChars="200" w:firstLine="480"/>
        <w:rPr>
          <w:color w:val="000000"/>
          <w:sz w:val="24"/>
          <w:szCs w:val="24"/>
        </w:rPr>
      </w:pPr>
      <w:r>
        <w:rPr>
          <w:color w:val="000000"/>
          <w:sz w:val="24"/>
          <w:szCs w:val="24"/>
        </w:rPr>
        <w:t>3.</w:t>
      </w:r>
      <w:r>
        <w:rPr>
          <w:color w:val="000000"/>
          <w:sz w:val="24"/>
          <w:szCs w:val="24"/>
        </w:rPr>
        <w:t>《易方达策略成长证券投资基金托管协议》；</w:t>
      </w:r>
    </w:p>
    <w:p w:rsidR="0018143B" w:rsidRDefault="00F57E87">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57E87">
      <w:rPr>
        <w:rStyle w:val="a7"/>
        <w:noProof/>
      </w:rPr>
      <w:t>1</w:t>
    </w:r>
    <w:r>
      <w:rPr>
        <w:rStyle w:val="a7"/>
      </w:rPr>
      <w:fldChar w:fldCharType="end"/>
    </w:r>
    <w:r>
      <w:rPr>
        <w:rStyle w:val="a7"/>
        <w:rFonts w:hint="eastAsia"/>
      </w:rPr>
      <w:t>页共</w:t>
    </w:r>
    <w:r w:rsidR="00F57E87">
      <w:fldChar w:fldCharType="begin"/>
    </w:r>
    <w:r w:rsidR="00F57E87">
      <w:instrText xml:space="preserve"> NUMPAGES  \* Arabic  \* MERGEFORMAT </w:instrText>
    </w:r>
    <w:r w:rsidR="00F57E87">
      <w:fldChar w:fldCharType="separate"/>
    </w:r>
    <w:r w:rsidR="00F57E87" w:rsidRPr="00F57E87">
      <w:rPr>
        <w:rStyle w:val="a7"/>
        <w:noProof/>
      </w:rPr>
      <w:t>3</w:t>
    </w:r>
    <w:r w:rsidR="00F57E8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57E87">
      <w:rPr>
        <w:rStyle w:val="a7"/>
        <w:noProof/>
      </w:rPr>
      <w:t>11</w:t>
    </w:r>
    <w:r>
      <w:rPr>
        <w:rStyle w:val="a7"/>
      </w:rPr>
      <w:fldChar w:fldCharType="end"/>
    </w:r>
    <w:r>
      <w:rPr>
        <w:rStyle w:val="a7"/>
        <w:rFonts w:hint="eastAsia"/>
      </w:rPr>
      <w:t>页共</w:t>
    </w:r>
    <w:fldSimple w:instr=" NUMPAGES  \* Arabic  \* MERGEFORMAT ">
      <w:r w:rsidR="00F57E87" w:rsidRPr="00F57E87">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易方达策略成长证券投资基金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143B"/>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57E87"/>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4FDA-E582-4C73-A7BC-DB9443F1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