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易方达年年恒夏纯债一年定期开放债券型发起式证券投资基金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招商银行股份有限公司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931752" w:rsidRDefault="00546784">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931752" w:rsidRDefault="00546784">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931752" w:rsidRDefault="00546784">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931752" w:rsidRDefault="00546784">
      <w:pPr>
        <w:spacing w:line="360" w:lineRule="auto"/>
        <w:ind w:firstLineChars="200" w:firstLine="480"/>
        <w:rPr>
          <w:color w:val="000000"/>
          <w:sz w:val="24"/>
        </w:rPr>
      </w:pPr>
      <w:r>
        <w:rPr>
          <w:color w:val="000000"/>
          <w:sz w:val="24"/>
        </w:rPr>
        <w:t>基金</w:t>
      </w:r>
      <w:r>
        <w:rPr>
          <w:color w:val="000000"/>
          <w:sz w:val="24"/>
        </w:rPr>
        <w:t>的过往业绩并不代表其未来表现。投资有风险，投资者在作出投资决策前应仔细阅读本基金的招募说明书。</w:t>
      </w:r>
      <w:r>
        <w:rPr>
          <w:color w:val="000000"/>
          <w:sz w:val="24"/>
        </w:rPr>
        <w:t xml:space="preserve"> </w:t>
      </w:r>
    </w:p>
    <w:p w:rsidR="00931752" w:rsidRDefault="00546784">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易方达年年恒夏纯债一年定开债券发起式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007525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2019</w:t>
            </w:r>
            <w:r w:rsidRPr="00C30CFF">
              <w:rPr>
                <w:color w:val="000000"/>
                <w:kern w:val="0"/>
                <w:sz w:val="24"/>
              </w:rPr>
              <w:t>年</w:t>
            </w:r>
            <w:r w:rsidRPr="00C30CFF">
              <w:rPr>
                <w:color w:val="000000"/>
                <w:kern w:val="0"/>
                <w:sz w:val="24"/>
              </w:rPr>
              <w:t>7</w:t>
            </w:r>
            <w:r w:rsidRPr="00C30CFF">
              <w:rPr>
                <w:color w:val="000000"/>
                <w:kern w:val="0"/>
                <w:sz w:val="24"/>
              </w:rPr>
              <w:t>月</w:t>
            </w:r>
            <w:r w:rsidRPr="00C30CFF">
              <w:rPr>
                <w:color w:val="000000"/>
                <w:kern w:val="0"/>
                <w:sz w:val="24"/>
              </w:rPr>
              <w:t>11</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1,384,776,674.64</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本基金为纯债基金，管理人主要通过分析影响债券市场的各类要素，对债券组合的平均久期、期限结构、类属品种进行有效配置，力争为投资人提供长期稳定的投资回报。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封闭运作期内，本基金在债券投资上主要通过久期配置、类属配置、期限结构配置和个券选择四个层次进行投资管理。在久期配置方面，在投资组合平均久期与封闭运作期适当匹配的基础上，本基金将</w:t>
            </w:r>
            <w:r w:rsidRPr="00C30CFF">
              <w:rPr>
                <w:color w:val="000000"/>
                <w:kern w:val="0"/>
                <w:sz w:val="24"/>
              </w:rPr>
              <w:lastRenderedPageBreak/>
              <w:t>对宏观经济走势、经济周期所处阶段和宏观经济政策动向等进行研究，并据此积极调整债券组合的平均久期。在类属配置方面，本基金将对宏观经济周期、市场利率走势、资金供求变化，以及信用债券的信用风险等因素进行分析，根据各债券类属的风险收益特征，确定债券类属资产的最优权重。在期限结构配置方面，本基金将对市场收益率曲线变动情况进行研判，在长期、中期和短期债券之间进行配置，适时采用子弹型、哑铃型或梯型策略构建投资组合。在个券选择方面，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本基金将在对资金面进行综合分析的基础上，比较债券收益率和融资成本，判断利差空间，力争通过息差策略提高组合收益。开放运作期内，本基金为保持较高的组合流动性，方便投资人安排投资，在遵守本基金有关投资限制与投资比例的前提下，将主要投资于高流动性的投资品种，减小基金净值的波动。</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中债信用债总财富（</w:t>
            </w:r>
            <w:r w:rsidRPr="00C30CFF">
              <w:rPr>
                <w:color w:val="000000"/>
                <w:kern w:val="0"/>
                <w:sz w:val="24"/>
              </w:rPr>
              <w:t>1</w:t>
            </w:r>
            <w:r w:rsidRPr="00C30CFF">
              <w:rPr>
                <w:color w:val="000000"/>
                <w:kern w:val="0"/>
                <w:sz w:val="24"/>
              </w:rPr>
              <w:t>年以下）指数收益率</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r w:rsidRPr="00C30CFF">
              <w:rPr>
                <w:color w:val="000000"/>
                <w:kern w:val="0"/>
                <w:sz w:val="24"/>
              </w:rPr>
              <w:t xml:space="preserve"> </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招商银行股份有限公司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易方达年年恒夏纯债一年定开债券发起式</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易方达年年恒夏纯债一年定开债券发起式</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007525</w:t>
            </w:r>
          </w:p>
        </w:tc>
        <w:tc>
          <w:tcPr>
            <w:tcW w:w="2790" w:type="dxa"/>
            <w:vAlign w:val="center"/>
          </w:tcPr>
          <w:p w:rsidR="00F016DD" w:rsidRPr="00C30CFF" w:rsidRDefault="00F016DD" w:rsidP="00950413">
            <w:pPr>
              <w:jc w:val="left"/>
              <w:rPr>
                <w:color w:val="000000"/>
                <w:sz w:val="24"/>
              </w:rPr>
            </w:pPr>
            <w:r w:rsidRPr="00C30CFF">
              <w:rPr>
                <w:color w:val="000000"/>
                <w:sz w:val="24"/>
              </w:rPr>
              <w:t>007526</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1,226,944,774.96</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157,831,899.68</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11</w:t>
            </w:r>
            <w:r w:rsidRPr="00FA472B">
              <w:rPr>
                <w:color w:val="000000"/>
                <w:sz w:val="24"/>
              </w:rPr>
              <w:t>日（基金合同生效日）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易方达年年恒夏纯债一年定开债券发起式</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易方达年年恒夏纯债一年定开债券发起式</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13,180,171.17</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1,589,269.96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13,381,398.73</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1,615,184.20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0.0109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0.0102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1,240,326,173.69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159,447,083.88</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1.0109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1.0102</w:t>
            </w:r>
          </w:p>
        </w:tc>
      </w:tr>
    </w:tbl>
    <w:p w:rsidR="00931752" w:rsidRDefault="00546784">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931752" w:rsidRDefault="00546784">
      <w:pPr>
        <w:spacing w:line="360" w:lineRule="auto"/>
        <w:ind w:firstLineChars="200" w:firstLine="480"/>
        <w:rPr>
          <w:color w:val="000000"/>
          <w:sz w:val="24"/>
        </w:rPr>
      </w:pPr>
      <w:r>
        <w:rPr>
          <w:color w:val="000000"/>
          <w:sz w:val="24"/>
        </w:rPr>
        <w:t>2.</w:t>
      </w:r>
      <w:r>
        <w:rPr>
          <w:color w:val="000000"/>
          <w:sz w:val="24"/>
        </w:rPr>
        <w:t>本期已实现收益指基金本期利息收入、投资收益、其他收入</w:t>
      </w:r>
      <w:r>
        <w:rPr>
          <w:color w:val="000000"/>
          <w:sz w:val="24"/>
        </w:rPr>
        <w:t>(</w:t>
      </w:r>
      <w:r>
        <w:rPr>
          <w:color w:val="000000"/>
          <w:sz w:val="24"/>
        </w:rPr>
        <w:t>不含公允价值变动收益</w:t>
      </w:r>
      <w:r>
        <w:rPr>
          <w:color w:val="000000"/>
          <w:sz w:val="24"/>
        </w:rPr>
        <w:t>)</w:t>
      </w:r>
      <w:r>
        <w:rPr>
          <w:color w:val="000000"/>
          <w:sz w:val="24"/>
        </w:rPr>
        <w:t>扣除相关费用后的余额</w:t>
      </w:r>
      <w:r>
        <w:rPr>
          <w:color w:val="000000"/>
          <w:sz w:val="24"/>
        </w:rPr>
        <w:t>,</w:t>
      </w:r>
      <w:r>
        <w:rPr>
          <w:color w:val="000000"/>
          <w:sz w:val="24"/>
        </w:rPr>
        <w:t>本期利润为本期已实现收益加上本期公允价值变动收益。</w:t>
      </w:r>
    </w:p>
    <w:p w:rsidR="00F016DD" w:rsidRPr="00C30CFF" w:rsidRDefault="00F016DD" w:rsidP="00C30CFF">
      <w:pPr>
        <w:spacing w:line="360" w:lineRule="auto"/>
        <w:ind w:firstLineChars="200" w:firstLine="480"/>
        <w:rPr>
          <w:color w:val="000000"/>
          <w:sz w:val="24"/>
        </w:rPr>
      </w:pPr>
      <w:r w:rsidRPr="00C30CFF">
        <w:rPr>
          <w:color w:val="000000"/>
          <w:sz w:val="24"/>
        </w:rPr>
        <w:t>3.</w:t>
      </w:r>
      <w:r w:rsidRPr="00C30CFF">
        <w:rPr>
          <w:color w:val="000000"/>
          <w:sz w:val="24"/>
        </w:rPr>
        <w:t>本基金合同于</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11</w:t>
      </w:r>
      <w:r w:rsidRPr="00C30CFF">
        <w:rPr>
          <w:color w:val="000000"/>
          <w:sz w:val="24"/>
        </w:rPr>
        <w:t>日生效</w:t>
      </w:r>
      <w:r w:rsidRPr="00C30CFF">
        <w:rPr>
          <w:color w:val="000000"/>
          <w:sz w:val="24"/>
        </w:rPr>
        <w:t>,</w:t>
      </w:r>
      <w:r w:rsidRPr="00C30CFF">
        <w:rPr>
          <w:color w:val="000000"/>
          <w:sz w:val="24"/>
        </w:rPr>
        <w:t>合同生效当期的相关数据和指标按实际存</w:t>
      </w:r>
      <w:r w:rsidRPr="00C30CFF">
        <w:rPr>
          <w:color w:val="000000"/>
          <w:sz w:val="24"/>
        </w:rPr>
        <w:lastRenderedPageBreak/>
        <w:t>续期计算。</w:t>
      </w:r>
      <w:r w:rsidRPr="00C30CFF">
        <w:rPr>
          <w:color w:val="000000"/>
          <w:sz w:val="24"/>
        </w:rPr>
        <w:t xml:space="preserve"> </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易方达年年恒夏纯债一年定开债券发起式A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931752">
        <w:tc>
          <w:tcPr>
            <w:tcW w:w="1290" w:type="dxa"/>
            <w:vAlign w:val="center"/>
          </w:tcPr>
          <w:p w:rsidR="00931752" w:rsidRDefault="00546784">
            <w:pPr>
              <w:jc w:val="left"/>
            </w:pPr>
            <w:r>
              <w:rPr>
                <w:color w:val="000000"/>
                <w:sz w:val="24"/>
              </w:rPr>
              <w:t>过去三个月</w:t>
            </w:r>
          </w:p>
        </w:tc>
        <w:tc>
          <w:tcPr>
            <w:tcW w:w="1291" w:type="dxa"/>
            <w:vAlign w:val="center"/>
          </w:tcPr>
          <w:p w:rsidR="00931752" w:rsidRDefault="00546784">
            <w:pPr>
              <w:jc w:val="center"/>
            </w:pPr>
            <w:r>
              <w:rPr>
                <w:color w:val="000000"/>
                <w:sz w:val="24"/>
              </w:rPr>
              <w:t>1.09%</w:t>
            </w:r>
          </w:p>
        </w:tc>
        <w:tc>
          <w:tcPr>
            <w:tcW w:w="1291" w:type="dxa"/>
            <w:vAlign w:val="center"/>
          </w:tcPr>
          <w:p w:rsidR="00931752" w:rsidRDefault="00546784">
            <w:pPr>
              <w:jc w:val="center"/>
            </w:pPr>
            <w:r>
              <w:rPr>
                <w:color w:val="000000"/>
                <w:sz w:val="24"/>
              </w:rPr>
              <w:t>0.04%</w:t>
            </w:r>
          </w:p>
        </w:tc>
        <w:tc>
          <w:tcPr>
            <w:tcW w:w="1291" w:type="dxa"/>
            <w:vAlign w:val="center"/>
          </w:tcPr>
          <w:p w:rsidR="00931752" w:rsidRDefault="00546784">
            <w:pPr>
              <w:jc w:val="center"/>
            </w:pPr>
            <w:r>
              <w:rPr>
                <w:color w:val="000000"/>
                <w:sz w:val="24"/>
              </w:rPr>
              <w:t>0.74%</w:t>
            </w:r>
          </w:p>
        </w:tc>
        <w:tc>
          <w:tcPr>
            <w:tcW w:w="1291" w:type="dxa"/>
            <w:vAlign w:val="center"/>
          </w:tcPr>
          <w:p w:rsidR="00931752" w:rsidRDefault="00546784">
            <w:pPr>
              <w:jc w:val="center"/>
            </w:pPr>
            <w:r>
              <w:rPr>
                <w:color w:val="000000"/>
                <w:sz w:val="24"/>
              </w:rPr>
              <w:t>0.01%</w:t>
            </w:r>
          </w:p>
        </w:tc>
        <w:tc>
          <w:tcPr>
            <w:tcW w:w="1291" w:type="dxa"/>
            <w:vAlign w:val="center"/>
          </w:tcPr>
          <w:p w:rsidR="00931752" w:rsidRDefault="00546784">
            <w:pPr>
              <w:jc w:val="center"/>
            </w:pPr>
            <w:r>
              <w:rPr>
                <w:color w:val="000000"/>
                <w:sz w:val="24"/>
              </w:rPr>
              <w:t>0.35%</w:t>
            </w:r>
          </w:p>
        </w:tc>
        <w:tc>
          <w:tcPr>
            <w:tcW w:w="1291" w:type="dxa"/>
            <w:vAlign w:val="center"/>
          </w:tcPr>
          <w:p w:rsidR="00931752" w:rsidRDefault="00546784">
            <w:pPr>
              <w:jc w:val="center"/>
            </w:pPr>
            <w:r>
              <w:rPr>
                <w:color w:val="000000"/>
                <w:sz w:val="24"/>
              </w:rPr>
              <w:t>0.03%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易方达年年恒夏纯债一年定开债券发起式C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931752">
        <w:tc>
          <w:tcPr>
            <w:tcW w:w="1290" w:type="dxa"/>
            <w:vAlign w:val="center"/>
          </w:tcPr>
          <w:p w:rsidR="00931752" w:rsidRDefault="00546784">
            <w:pPr>
              <w:jc w:val="left"/>
            </w:pPr>
            <w:r>
              <w:rPr>
                <w:color w:val="000000"/>
                <w:sz w:val="24"/>
              </w:rPr>
              <w:t>过去三个月</w:t>
            </w:r>
          </w:p>
        </w:tc>
        <w:tc>
          <w:tcPr>
            <w:tcW w:w="1291" w:type="dxa"/>
            <w:vAlign w:val="center"/>
          </w:tcPr>
          <w:p w:rsidR="00931752" w:rsidRDefault="00546784">
            <w:pPr>
              <w:jc w:val="center"/>
            </w:pPr>
            <w:r>
              <w:rPr>
                <w:color w:val="000000"/>
                <w:sz w:val="24"/>
              </w:rPr>
              <w:t>1.02%</w:t>
            </w:r>
          </w:p>
        </w:tc>
        <w:tc>
          <w:tcPr>
            <w:tcW w:w="1291" w:type="dxa"/>
            <w:vAlign w:val="center"/>
          </w:tcPr>
          <w:p w:rsidR="00931752" w:rsidRDefault="00546784">
            <w:pPr>
              <w:jc w:val="center"/>
            </w:pPr>
            <w:r>
              <w:rPr>
                <w:color w:val="000000"/>
                <w:sz w:val="24"/>
              </w:rPr>
              <w:t>0.04%</w:t>
            </w:r>
          </w:p>
        </w:tc>
        <w:tc>
          <w:tcPr>
            <w:tcW w:w="1291" w:type="dxa"/>
            <w:vAlign w:val="center"/>
          </w:tcPr>
          <w:p w:rsidR="00931752" w:rsidRDefault="00546784">
            <w:pPr>
              <w:jc w:val="center"/>
            </w:pPr>
            <w:r>
              <w:rPr>
                <w:color w:val="000000"/>
                <w:sz w:val="24"/>
              </w:rPr>
              <w:t>0.74%</w:t>
            </w:r>
          </w:p>
        </w:tc>
        <w:tc>
          <w:tcPr>
            <w:tcW w:w="1291" w:type="dxa"/>
            <w:vAlign w:val="center"/>
          </w:tcPr>
          <w:p w:rsidR="00931752" w:rsidRDefault="00546784">
            <w:pPr>
              <w:jc w:val="center"/>
            </w:pPr>
            <w:r>
              <w:rPr>
                <w:color w:val="000000"/>
                <w:sz w:val="24"/>
              </w:rPr>
              <w:t>0.01%</w:t>
            </w:r>
          </w:p>
        </w:tc>
        <w:tc>
          <w:tcPr>
            <w:tcW w:w="1291" w:type="dxa"/>
            <w:vAlign w:val="center"/>
          </w:tcPr>
          <w:p w:rsidR="00931752" w:rsidRDefault="00546784">
            <w:pPr>
              <w:jc w:val="center"/>
            </w:pPr>
            <w:r>
              <w:rPr>
                <w:color w:val="000000"/>
                <w:sz w:val="24"/>
              </w:rPr>
              <w:t>0.28%</w:t>
            </w:r>
          </w:p>
        </w:tc>
        <w:tc>
          <w:tcPr>
            <w:tcW w:w="1291" w:type="dxa"/>
            <w:vAlign w:val="center"/>
          </w:tcPr>
          <w:p w:rsidR="00931752" w:rsidRDefault="00546784">
            <w:pPr>
              <w:jc w:val="center"/>
            </w:pPr>
            <w:r>
              <w:rPr>
                <w:color w:val="000000"/>
                <w:sz w:val="24"/>
              </w:rPr>
              <w:t>0.03%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易方达年年恒夏纯债一年定期开放债券型发起式证券投资基金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7</w:t>
      </w:r>
      <w:r w:rsidRPr="00FA472B">
        <w:rPr>
          <w:rFonts w:ascii="Times New Roman" w:hAnsi="Times New Roman"/>
          <w:sz w:val="24"/>
          <w:szCs w:val="24"/>
        </w:rPr>
        <w:t>月</w:t>
      </w:r>
      <w:r w:rsidRPr="00FA472B">
        <w:rPr>
          <w:rFonts w:ascii="Times New Roman" w:hAnsi="Times New Roman"/>
          <w:sz w:val="24"/>
          <w:szCs w:val="24"/>
        </w:rPr>
        <w:t>11</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易方达年年恒夏纯债一年定开债券发起式</w:t>
      </w:r>
      <w:r w:rsidRPr="00611CB2">
        <w:rPr>
          <w:color w:val="000000"/>
          <w:sz w:val="24"/>
        </w:rPr>
        <w:t>A</w:t>
      </w:r>
    </w:p>
    <w:p w:rsidR="00F016DD" w:rsidRPr="0078105B" w:rsidRDefault="00546784"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易方达年年恒夏纯债一年定开债券发起式</w:t>
      </w:r>
      <w:r w:rsidRPr="00611CB2">
        <w:rPr>
          <w:color w:val="000000"/>
          <w:sz w:val="24"/>
        </w:rPr>
        <w:t>C</w:t>
      </w:r>
    </w:p>
    <w:p w:rsidR="00F016DD" w:rsidRPr="0078105B" w:rsidRDefault="00546784"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931752" w:rsidRDefault="00546784">
      <w:pPr>
        <w:spacing w:line="360" w:lineRule="auto"/>
        <w:ind w:firstLineChars="200" w:firstLine="480"/>
        <w:rPr>
          <w:color w:val="000000"/>
          <w:sz w:val="24"/>
        </w:rPr>
      </w:pPr>
      <w:r>
        <w:rPr>
          <w:color w:val="000000"/>
          <w:sz w:val="24"/>
        </w:rPr>
        <w:t>注：</w:t>
      </w:r>
      <w:r>
        <w:rPr>
          <w:color w:val="000000"/>
          <w:sz w:val="24"/>
        </w:rPr>
        <w:t>1.</w:t>
      </w:r>
      <w:r>
        <w:rPr>
          <w:color w:val="000000"/>
          <w:sz w:val="24"/>
        </w:rPr>
        <w:t>本基金合同于</w:t>
      </w:r>
      <w:r>
        <w:rPr>
          <w:color w:val="000000"/>
          <w:sz w:val="24"/>
        </w:rPr>
        <w:t>2019</w:t>
      </w:r>
      <w:r>
        <w:rPr>
          <w:color w:val="000000"/>
          <w:sz w:val="24"/>
        </w:rPr>
        <w:t>年</w:t>
      </w:r>
      <w:r>
        <w:rPr>
          <w:color w:val="000000"/>
          <w:sz w:val="24"/>
        </w:rPr>
        <w:t>7</w:t>
      </w:r>
      <w:r>
        <w:rPr>
          <w:color w:val="000000"/>
          <w:sz w:val="24"/>
        </w:rPr>
        <w:t>月</w:t>
      </w:r>
      <w:r>
        <w:rPr>
          <w:color w:val="000000"/>
          <w:sz w:val="24"/>
        </w:rPr>
        <w:t>11</w:t>
      </w:r>
      <w:r>
        <w:rPr>
          <w:color w:val="000000"/>
          <w:sz w:val="24"/>
        </w:rPr>
        <w:t>日生效，截至报告期末本基金合同生效未满一年。</w:t>
      </w:r>
    </w:p>
    <w:p w:rsidR="00931752" w:rsidRDefault="00546784">
      <w:pPr>
        <w:spacing w:line="360" w:lineRule="auto"/>
        <w:ind w:firstLineChars="200" w:firstLine="480"/>
        <w:rPr>
          <w:color w:val="000000"/>
          <w:sz w:val="24"/>
        </w:rPr>
      </w:pPr>
      <w:r>
        <w:rPr>
          <w:color w:val="000000"/>
          <w:sz w:val="24"/>
        </w:rPr>
        <w:t>2.</w:t>
      </w:r>
      <w:r>
        <w:rPr>
          <w:color w:val="000000"/>
          <w:sz w:val="24"/>
        </w:rPr>
        <w:t>按基金合同和招募说明书的约定，自基金合同生效之日起六个月内使基金的投资组合比例符合本基金合同（第十二部分二、投资范围，三、投资策略和四、投资限制）的有关约定。本报告期本基金处于建仓期内。</w:t>
      </w:r>
    </w:p>
    <w:p w:rsidR="00F016DD" w:rsidRPr="00DF18FE" w:rsidRDefault="00F016DD" w:rsidP="00DF18FE">
      <w:pPr>
        <w:spacing w:line="360" w:lineRule="auto"/>
        <w:ind w:firstLineChars="200" w:firstLine="480"/>
        <w:rPr>
          <w:color w:val="000000"/>
          <w:sz w:val="24"/>
        </w:rPr>
      </w:pPr>
      <w:r w:rsidRPr="00DF18FE">
        <w:rPr>
          <w:color w:val="000000"/>
          <w:sz w:val="24"/>
        </w:rPr>
        <w:t>3.</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1.09%</w:t>
      </w:r>
      <w:r w:rsidRPr="00DF18FE">
        <w:rPr>
          <w:color w:val="000000"/>
          <w:sz w:val="24"/>
        </w:rPr>
        <w:t>，</w:t>
      </w:r>
      <w:r w:rsidRPr="00DF18FE">
        <w:rPr>
          <w:color w:val="000000"/>
          <w:sz w:val="24"/>
        </w:rPr>
        <w:t>C</w:t>
      </w:r>
      <w:r w:rsidRPr="00DF18FE">
        <w:rPr>
          <w:color w:val="000000"/>
          <w:sz w:val="24"/>
        </w:rPr>
        <w:t>类基金份</w:t>
      </w:r>
      <w:r w:rsidRPr="00DF18FE">
        <w:rPr>
          <w:color w:val="000000"/>
          <w:sz w:val="24"/>
        </w:rPr>
        <w:lastRenderedPageBreak/>
        <w:t>额净值增长率为</w:t>
      </w:r>
      <w:r w:rsidRPr="00DF18FE">
        <w:rPr>
          <w:color w:val="000000"/>
          <w:sz w:val="24"/>
        </w:rPr>
        <w:t>1.02%</w:t>
      </w:r>
      <w:r w:rsidRPr="00DF18FE">
        <w:rPr>
          <w:color w:val="000000"/>
          <w:sz w:val="24"/>
        </w:rPr>
        <w:t>，同期业绩比较基准收益率为</w:t>
      </w:r>
      <w:r w:rsidRPr="00DF18FE">
        <w:rPr>
          <w:color w:val="000000"/>
          <w:sz w:val="24"/>
        </w:rPr>
        <w:t>0.74%</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931752">
        <w:tc>
          <w:tcPr>
            <w:tcW w:w="567" w:type="dxa"/>
            <w:vAlign w:val="center"/>
          </w:tcPr>
          <w:p w:rsidR="00931752" w:rsidRDefault="00546784">
            <w:pPr>
              <w:jc w:val="center"/>
            </w:pPr>
            <w:r>
              <w:rPr>
                <w:color w:val="000000"/>
                <w:sz w:val="24"/>
              </w:rPr>
              <w:t>李一硕</w:t>
            </w:r>
          </w:p>
        </w:tc>
        <w:tc>
          <w:tcPr>
            <w:tcW w:w="2835" w:type="dxa"/>
            <w:vAlign w:val="center"/>
          </w:tcPr>
          <w:p w:rsidR="00931752" w:rsidRDefault="00546784">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日）、易方达聚盈分级债券型发起式证券投资基金的基金经理、易方达恒益定期开放债券型发起式证券投资基金的</w:t>
            </w:r>
            <w:r>
              <w:rPr>
                <w:color w:val="000000"/>
                <w:sz w:val="24"/>
              </w:rPr>
              <w:t>基金经理、易方达恒信定期开放债券型发起式证券投资基金的基金经理、易方达恒惠定期开放债券型发起式证券投资基金的基金经理、易方达富惠纯债债券型证券投资基金的基金经理、易方达纯债</w:t>
            </w:r>
            <w:r>
              <w:rPr>
                <w:color w:val="000000"/>
                <w:sz w:val="24"/>
              </w:rPr>
              <w:lastRenderedPageBreak/>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的基金经理助理、易方达稳健收益债券型证券投资基金的基金经理助理、易方达丰惠混合型证券投资基</w:t>
            </w:r>
            <w:r>
              <w:rPr>
                <w:color w:val="000000"/>
                <w:sz w:val="24"/>
              </w:rPr>
              <w:t>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931752" w:rsidRDefault="00546784">
            <w:pPr>
              <w:jc w:val="center"/>
            </w:pPr>
            <w:r>
              <w:rPr>
                <w:color w:val="000000"/>
                <w:sz w:val="24"/>
              </w:rPr>
              <w:lastRenderedPageBreak/>
              <w:t>2019-07-11</w:t>
            </w:r>
          </w:p>
        </w:tc>
        <w:tc>
          <w:tcPr>
            <w:tcW w:w="850" w:type="dxa"/>
            <w:vAlign w:val="center"/>
          </w:tcPr>
          <w:p w:rsidR="00931752" w:rsidRDefault="00546784">
            <w:pPr>
              <w:jc w:val="center"/>
            </w:pPr>
            <w:r>
              <w:rPr>
                <w:color w:val="000000"/>
                <w:sz w:val="24"/>
              </w:rPr>
              <w:t>-</w:t>
            </w:r>
          </w:p>
        </w:tc>
        <w:tc>
          <w:tcPr>
            <w:tcW w:w="851" w:type="dxa"/>
            <w:vAlign w:val="center"/>
          </w:tcPr>
          <w:p w:rsidR="00931752" w:rsidRDefault="00546784">
            <w:pPr>
              <w:jc w:val="center"/>
            </w:pPr>
            <w:r>
              <w:rPr>
                <w:color w:val="000000"/>
                <w:sz w:val="24"/>
              </w:rPr>
              <w:t>11</w:t>
            </w:r>
            <w:r>
              <w:rPr>
                <w:color w:val="000000"/>
                <w:sz w:val="24"/>
              </w:rPr>
              <w:t>年</w:t>
            </w:r>
          </w:p>
        </w:tc>
        <w:tc>
          <w:tcPr>
            <w:tcW w:w="2977" w:type="dxa"/>
            <w:vAlign w:val="center"/>
          </w:tcPr>
          <w:p w:rsidR="00931752" w:rsidRDefault="00546784">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w:t>
            </w:r>
            <w:r>
              <w:rPr>
                <w:color w:val="000000"/>
                <w:sz w:val="24"/>
              </w:rPr>
              <w:t>、易方达瑞祥灵活配置混合型证券投资基金基金经理助理、易方达瑞兴灵活配置混合型证券投资基金基金经理助理、易方达瑞智灵活配置混合型证券投资基金基金经理助理。</w:t>
            </w:r>
          </w:p>
        </w:tc>
      </w:tr>
    </w:tbl>
    <w:p w:rsidR="00931752" w:rsidRDefault="00546784">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lastRenderedPageBreak/>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931752" w:rsidRDefault="00546784">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931752" w:rsidRDefault="00546784">
      <w:pPr>
        <w:spacing w:line="360" w:lineRule="auto"/>
        <w:ind w:firstLineChars="200" w:firstLine="480"/>
        <w:rPr>
          <w:color w:val="000000"/>
          <w:sz w:val="24"/>
        </w:rPr>
      </w:pPr>
      <w:r>
        <w:rPr>
          <w:color w:val="000000"/>
          <w:sz w:val="24"/>
        </w:rPr>
        <w:t>2019</w:t>
      </w:r>
      <w:r>
        <w:rPr>
          <w:color w:val="000000"/>
          <w:sz w:val="24"/>
        </w:rPr>
        <w:t>年三季度宏观经济维持相对弱势。在经历了</w:t>
      </w:r>
      <w:r>
        <w:rPr>
          <w:color w:val="000000"/>
          <w:sz w:val="24"/>
        </w:rPr>
        <w:t>6</w:t>
      </w:r>
      <w:r>
        <w:rPr>
          <w:color w:val="000000"/>
          <w:sz w:val="24"/>
        </w:rPr>
        <w:t>月份超预期的增长数据后，</w:t>
      </w:r>
      <w:r>
        <w:rPr>
          <w:color w:val="000000"/>
          <w:sz w:val="24"/>
        </w:rPr>
        <w:t>7-8</w:t>
      </w:r>
      <w:r>
        <w:rPr>
          <w:color w:val="000000"/>
          <w:sz w:val="24"/>
        </w:rPr>
        <w:t>月大部分经济指标均有所回落，低于市场此前的预计水平。其中</w:t>
      </w:r>
      <w:r>
        <w:rPr>
          <w:color w:val="000000"/>
          <w:sz w:val="24"/>
        </w:rPr>
        <w:t>7</w:t>
      </w:r>
      <w:r>
        <w:rPr>
          <w:color w:val="000000"/>
          <w:sz w:val="24"/>
        </w:rPr>
        <w:t>月工业增加值同比增速由</w:t>
      </w:r>
      <w:r>
        <w:rPr>
          <w:color w:val="000000"/>
          <w:sz w:val="24"/>
        </w:rPr>
        <w:t>6</w:t>
      </w:r>
      <w:r>
        <w:rPr>
          <w:color w:val="000000"/>
          <w:sz w:val="24"/>
        </w:rPr>
        <w:t>月份的</w:t>
      </w:r>
      <w:r>
        <w:rPr>
          <w:color w:val="000000"/>
          <w:sz w:val="24"/>
        </w:rPr>
        <w:t>6.3%</w:t>
      </w:r>
      <w:r>
        <w:rPr>
          <w:color w:val="000000"/>
          <w:sz w:val="24"/>
        </w:rPr>
        <w:t>下降至</w:t>
      </w:r>
      <w:r>
        <w:rPr>
          <w:color w:val="000000"/>
          <w:sz w:val="24"/>
        </w:rPr>
        <w:t>4.8%</w:t>
      </w:r>
      <w:r>
        <w:rPr>
          <w:color w:val="000000"/>
          <w:sz w:val="24"/>
        </w:rPr>
        <w:t>，</w:t>
      </w:r>
      <w:r>
        <w:rPr>
          <w:color w:val="000000"/>
          <w:sz w:val="24"/>
        </w:rPr>
        <w:t>8</w:t>
      </w:r>
      <w:r>
        <w:rPr>
          <w:color w:val="000000"/>
          <w:sz w:val="24"/>
        </w:rPr>
        <w:t>月份进一步回落至</w:t>
      </w:r>
      <w:r>
        <w:rPr>
          <w:color w:val="000000"/>
          <w:sz w:val="24"/>
        </w:rPr>
        <w:t>4.4%</w:t>
      </w:r>
      <w:r>
        <w:rPr>
          <w:color w:val="000000"/>
          <w:sz w:val="24"/>
        </w:rPr>
        <w:t>；</w:t>
      </w:r>
      <w:r>
        <w:rPr>
          <w:color w:val="000000"/>
          <w:sz w:val="24"/>
        </w:rPr>
        <w:t>7</w:t>
      </w:r>
      <w:r>
        <w:rPr>
          <w:color w:val="000000"/>
          <w:sz w:val="24"/>
        </w:rPr>
        <w:t>月份社会销售品零售总额同比增长</w:t>
      </w:r>
      <w:r>
        <w:rPr>
          <w:color w:val="000000"/>
          <w:sz w:val="24"/>
        </w:rPr>
        <w:t>7.6%</w:t>
      </w:r>
      <w:r>
        <w:rPr>
          <w:color w:val="000000"/>
          <w:sz w:val="24"/>
        </w:rPr>
        <w:t>，增速相较</w:t>
      </w:r>
      <w:r>
        <w:rPr>
          <w:color w:val="000000"/>
          <w:sz w:val="24"/>
        </w:rPr>
        <w:t>6</w:t>
      </w:r>
      <w:r>
        <w:rPr>
          <w:color w:val="000000"/>
          <w:sz w:val="24"/>
        </w:rPr>
        <w:t>月份回落</w:t>
      </w:r>
      <w:r>
        <w:rPr>
          <w:color w:val="000000"/>
          <w:sz w:val="24"/>
        </w:rPr>
        <w:t>2.2</w:t>
      </w:r>
      <w:r>
        <w:rPr>
          <w:color w:val="000000"/>
          <w:sz w:val="24"/>
        </w:rPr>
        <w:t>个百分点，</w:t>
      </w:r>
      <w:r>
        <w:rPr>
          <w:color w:val="000000"/>
          <w:sz w:val="24"/>
        </w:rPr>
        <w:t>8</w:t>
      </w:r>
      <w:r>
        <w:rPr>
          <w:color w:val="000000"/>
          <w:sz w:val="24"/>
        </w:rPr>
        <w:t>月份小幅放缓至</w:t>
      </w:r>
      <w:r>
        <w:rPr>
          <w:color w:val="000000"/>
          <w:sz w:val="24"/>
        </w:rPr>
        <w:t>7.5%</w:t>
      </w:r>
      <w:r>
        <w:rPr>
          <w:color w:val="000000"/>
          <w:sz w:val="24"/>
        </w:rPr>
        <w:t>；固定资产投资增速在</w:t>
      </w:r>
      <w:r>
        <w:rPr>
          <w:color w:val="000000"/>
          <w:sz w:val="24"/>
        </w:rPr>
        <w:t>6</w:t>
      </w:r>
      <w:r>
        <w:rPr>
          <w:color w:val="000000"/>
          <w:sz w:val="24"/>
        </w:rPr>
        <w:t>月份冲高之后同样连续两个月有所回落。三季度海外主要经济体同样面临经济增速下行的风险，叠加中美贸易谈判继续出现诸多波折，未来全球经济的增速预期仍不明朗。</w:t>
      </w:r>
    </w:p>
    <w:p w:rsidR="00931752" w:rsidRDefault="00546784">
      <w:pPr>
        <w:spacing w:line="360" w:lineRule="auto"/>
        <w:ind w:firstLineChars="200" w:firstLine="480"/>
        <w:rPr>
          <w:color w:val="000000"/>
          <w:sz w:val="24"/>
        </w:rPr>
      </w:pPr>
      <w:r>
        <w:rPr>
          <w:color w:val="000000"/>
          <w:sz w:val="24"/>
        </w:rPr>
        <w:t>在宏观基本面不确定性</w:t>
      </w:r>
      <w:r>
        <w:rPr>
          <w:color w:val="000000"/>
          <w:sz w:val="24"/>
        </w:rPr>
        <w:t>上升的背景下，货币政策宽松的预期增加，海外债券市场收益率不断回落，共同带动三季度我国债券市场收益率总体呈现下行态势。但</w:t>
      </w:r>
      <w:r>
        <w:rPr>
          <w:color w:val="000000"/>
          <w:sz w:val="24"/>
        </w:rPr>
        <w:t>9</w:t>
      </w:r>
      <w:r>
        <w:rPr>
          <w:color w:val="000000"/>
          <w:sz w:val="24"/>
        </w:rPr>
        <w:t>月份以来，随着央行全面下调金融机构存款准备金率的政策公布，债券市场收益率开始出现回升，尤其是长端品种调整较为明显。</w:t>
      </w:r>
    </w:p>
    <w:p w:rsidR="00F016DD" w:rsidRPr="00DF18FE" w:rsidRDefault="00F016DD" w:rsidP="00DF18FE">
      <w:pPr>
        <w:spacing w:line="360" w:lineRule="auto"/>
        <w:ind w:firstLineChars="200" w:firstLine="480"/>
        <w:rPr>
          <w:color w:val="000000"/>
          <w:sz w:val="24"/>
        </w:rPr>
      </w:pPr>
      <w:r w:rsidRPr="00DF18FE">
        <w:rPr>
          <w:color w:val="000000"/>
          <w:sz w:val="24"/>
        </w:rPr>
        <w:t>操作上，组合在建仓期不断增加债券配置比例，组合杠杆有所提升。未来在维持久期匹配的整体策略下，将根据市场情况灵活调整组合的配置结构。</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1.0109</w:t>
      </w:r>
      <w:r w:rsidRPr="00DF18FE">
        <w:rPr>
          <w:color w:val="000000"/>
          <w:sz w:val="24"/>
        </w:rPr>
        <w:t>元，本报告期份额净值增长</w:t>
      </w:r>
      <w:r w:rsidRPr="00DF18FE">
        <w:rPr>
          <w:color w:val="000000"/>
          <w:sz w:val="24"/>
        </w:rPr>
        <w:lastRenderedPageBreak/>
        <w:t>率为</w:t>
      </w:r>
      <w:r w:rsidRPr="00DF18FE">
        <w:rPr>
          <w:color w:val="000000"/>
          <w:sz w:val="24"/>
        </w:rPr>
        <w:t>1.09%</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1.0102</w:t>
      </w:r>
      <w:r w:rsidRPr="00DF18FE">
        <w:rPr>
          <w:color w:val="000000"/>
          <w:sz w:val="24"/>
        </w:rPr>
        <w:t>元，本报告期份额净值增长率为</w:t>
      </w:r>
      <w:r w:rsidRPr="00DF18FE">
        <w:rPr>
          <w:color w:val="000000"/>
          <w:sz w:val="24"/>
        </w:rPr>
        <w:t>1.02%</w:t>
      </w:r>
      <w:r w:rsidRPr="00DF18FE">
        <w:rPr>
          <w:color w:val="000000"/>
          <w:sz w:val="24"/>
        </w:rPr>
        <w:t>；同期业绩比较基准收益率为</w:t>
      </w:r>
      <w:r w:rsidRPr="00DF18FE">
        <w:rPr>
          <w:color w:val="000000"/>
          <w:sz w:val="24"/>
        </w:rPr>
        <w:t>0.74%</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2,044,915,640.00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96.55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1,984,821,640.00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93.72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60,094,000.00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2.84</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44,662,044.43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28,321,300.99</w:t>
            </w:r>
          </w:p>
        </w:tc>
        <w:tc>
          <w:tcPr>
            <w:tcW w:w="1843" w:type="dxa"/>
            <w:vAlign w:val="center"/>
          </w:tcPr>
          <w:p w:rsidR="00F016DD" w:rsidRPr="00FA472B" w:rsidRDefault="00F016DD" w:rsidP="00F4518C">
            <w:pPr>
              <w:jc w:val="right"/>
              <w:rPr>
                <w:color w:val="000000"/>
                <w:sz w:val="24"/>
              </w:rPr>
            </w:pPr>
            <w:r w:rsidRPr="00FA472B">
              <w:rPr>
                <w:color w:val="000000"/>
                <w:sz w:val="24"/>
              </w:rPr>
              <w:t>1.34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2,117,898,985.42</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w:t>
            </w:r>
            <w:r w:rsidRPr="006A1153">
              <w:rPr>
                <w:rFonts w:eastAsiaTheme="minorEastAsia"/>
                <w:color w:val="000000" w:themeColor="text1"/>
                <w:sz w:val="24"/>
              </w:rPr>
              <w:lastRenderedPageBreak/>
              <w:t>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1,220,489,140.00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87.19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235,256,500.00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16.81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529,076,000.00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37.80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1,984,821,640.00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141.80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931752">
        <w:tc>
          <w:tcPr>
            <w:tcW w:w="802" w:type="dxa"/>
            <w:vAlign w:val="center"/>
          </w:tcPr>
          <w:p w:rsidR="00931752" w:rsidRDefault="00546784">
            <w:pPr>
              <w:jc w:val="center"/>
            </w:pPr>
            <w:r>
              <w:rPr>
                <w:color w:val="000000"/>
                <w:sz w:val="24"/>
              </w:rPr>
              <w:t>1</w:t>
            </w:r>
          </w:p>
        </w:tc>
        <w:tc>
          <w:tcPr>
            <w:tcW w:w="1559" w:type="dxa"/>
            <w:vAlign w:val="center"/>
          </w:tcPr>
          <w:p w:rsidR="00931752" w:rsidRDefault="00546784">
            <w:pPr>
              <w:jc w:val="center"/>
            </w:pPr>
            <w:r>
              <w:rPr>
                <w:color w:val="000000"/>
                <w:sz w:val="24"/>
              </w:rPr>
              <w:t>122456</w:t>
            </w:r>
          </w:p>
        </w:tc>
        <w:tc>
          <w:tcPr>
            <w:tcW w:w="1985" w:type="dxa"/>
            <w:vAlign w:val="center"/>
          </w:tcPr>
          <w:p w:rsidR="00931752" w:rsidRDefault="00546784">
            <w:pPr>
              <w:jc w:val="center"/>
            </w:pPr>
            <w:r>
              <w:rPr>
                <w:color w:val="000000"/>
                <w:sz w:val="24"/>
              </w:rPr>
              <w:t>15</w:t>
            </w:r>
            <w:r>
              <w:rPr>
                <w:color w:val="000000"/>
                <w:sz w:val="24"/>
              </w:rPr>
              <w:t>绿城</w:t>
            </w:r>
            <w:r>
              <w:rPr>
                <w:color w:val="000000"/>
                <w:sz w:val="24"/>
              </w:rPr>
              <w:t>03</w:t>
            </w:r>
          </w:p>
        </w:tc>
        <w:tc>
          <w:tcPr>
            <w:tcW w:w="1559" w:type="dxa"/>
            <w:vAlign w:val="center"/>
          </w:tcPr>
          <w:p w:rsidR="00931752" w:rsidRDefault="00546784">
            <w:pPr>
              <w:jc w:val="right"/>
            </w:pPr>
            <w:r>
              <w:rPr>
                <w:color w:val="000000"/>
                <w:sz w:val="24"/>
              </w:rPr>
              <w:t>800,000</w:t>
            </w:r>
          </w:p>
        </w:tc>
        <w:tc>
          <w:tcPr>
            <w:tcW w:w="2126" w:type="dxa"/>
            <w:vAlign w:val="center"/>
          </w:tcPr>
          <w:p w:rsidR="00931752" w:rsidRDefault="00546784">
            <w:pPr>
              <w:jc w:val="right"/>
            </w:pPr>
            <w:r>
              <w:rPr>
                <w:color w:val="000000"/>
                <w:sz w:val="24"/>
              </w:rPr>
              <w:t>81,320,000.00</w:t>
            </w:r>
          </w:p>
        </w:tc>
        <w:tc>
          <w:tcPr>
            <w:tcW w:w="990" w:type="dxa"/>
            <w:vAlign w:val="center"/>
          </w:tcPr>
          <w:p w:rsidR="00931752" w:rsidRDefault="00546784">
            <w:pPr>
              <w:jc w:val="right"/>
            </w:pPr>
            <w:r>
              <w:rPr>
                <w:color w:val="000000"/>
                <w:sz w:val="24"/>
              </w:rPr>
              <w:t>5.81</w:t>
            </w:r>
          </w:p>
        </w:tc>
      </w:tr>
      <w:tr w:rsidR="00931752">
        <w:tc>
          <w:tcPr>
            <w:tcW w:w="802" w:type="dxa"/>
            <w:vAlign w:val="center"/>
          </w:tcPr>
          <w:p w:rsidR="00931752" w:rsidRDefault="00546784">
            <w:pPr>
              <w:jc w:val="center"/>
            </w:pPr>
            <w:r>
              <w:rPr>
                <w:color w:val="000000"/>
                <w:sz w:val="24"/>
              </w:rPr>
              <w:t>2</w:t>
            </w:r>
          </w:p>
        </w:tc>
        <w:tc>
          <w:tcPr>
            <w:tcW w:w="1559" w:type="dxa"/>
            <w:vAlign w:val="center"/>
          </w:tcPr>
          <w:p w:rsidR="00931752" w:rsidRDefault="00546784">
            <w:pPr>
              <w:jc w:val="center"/>
            </w:pPr>
            <w:r>
              <w:rPr>
                <w:color w:val="000000"/>
                <w:sz w:val="24"/>
              </w:rPr>
              <w:t>136259</w:t>
            </w:r>
          </w:p>
        </w:tc>
        <w:tc>
          <w:tcPr>
            <w:tcW w:w="1985" w:type="dxa"/>
            <w:vAlign w:val="center"/>
          </w:tcPr>
          <w:p w:rsidR="00931752" w:rsidRDefault="00546784">
            <w:pPr>
              <w:jc w:val="center"/>
            </w:pPr>
            <w:r>
              <w:rPr>
                <w:color w:val="000000"/>
                <w:sz w:val="24"/>
              </w:rPr>
              <w:t>16</w:t>
            </w:r>
            <w:r>
              <w:rPr>
                <w:color w:val="000000"/>
                <w:sz w:val="24"/>
              </w:rPr>
              <w:t>龙湖</w:t>
            </w:r>
            <w:r>
              <w:rPr>
                <w:color w:val="000000"/>
                <w:sz w:val="24"/>
              </w:rPr>
              <w:t>03</w:t>
            </w:r>
          </w:p>
        </w:tc>
        <w:tc>
          <w:tcPr>
            <w:tcW w:w="1559" w:type="dxa"/>
            <w:vAlign w:val="center"/>
          </w:tcPr>
          <w:p w:rsidR="00931752" w:rsidRDefault="00546784">
            <w:pPr>
              <w:jc w:val="right"/>
            </w:pPr>
            <w:r>
              <w:rPr>
                <w:color w:val="000000"/>
                <w:sz w:val="24"/>
              </w:rPr>
              <w:t>700,000</w:t>
            </w:r>
          </w:p>
        </w:tc>
        <w:tc>
          <w:tcPr>
            <w:tcW w:w="2126" w:type="dxa"/>
            <w:vAlign w:val="center"/>
          </w:tcPr>
          <w:p w:rsidR="00931752" w:rsidRDefault="00546784">
            <w:pPr>
              <w:jc w:val="right"/>
            </w:pPr>
            <w:r>
              <w:rPr>
                <w:color w:val="000000"/>
                <w:sz w:val="24"/>
              </w:rPr>
              <w:t>70,889,000.00</w:t>
            </w:r>
          </w:p>
        </w:tc>
        <w:tc>
          <w:tcPr>
            <w:tcW w:w="990" w:type="dxa"/>
            <w:vAlign w:val="center"/>
          </w:tcPr>
          <w:p w:rsidR="00931752" w:rsidRDefault="00546784">
            <w:pPr>
              <w:jc w:val="right"/>
            </w:pPr>
            <w:r>
              <w:rPr>
                <w:color w:val="000000"/>
                <w:sz w:val="24"/>
              </w:rPr>
              <w:t>5.06</w:t>
            </w:r>
          </w:p>
        </w:tc>
      </w:tr>
      <w:tr w:rsidR="00931752">
        <w:tc>
          <w:tcPr>
            <w:tcW w:w="802" w:type="dxa"/>
            <w:vAlign w:val="center"/>
          </w:tcPr>
          <w:p w:rsidR="00931752" w:rsidRDefault="00546784">
            <w:pPr>
              <w:jc w:val="center"/>
            </w:pPr>
            <w:r>
              <w:rPr>
                <w:color w:val="000000"/>
                <w:sz w:val="24"/>
              </w:rPr>
              <w:t>3</w:t>
            </w:r>
          </w:p>
        </w:tc>
        <w:tc>
          <w:tcPr>
            <w:tcW w:w="1559" w:type="dxa"/>
            <w:vAlign w:val="center"/>
          </w:tcPr>
          <w:p w:rsidR="00931752" w:rsidRDefault="00546784">
            <w:pPr>
              <w:jc w:val="center"/>
            </w:pPr>
            <w:r>
              <w:rPr>
                <w:color w:val="000000"/>
                <w:sz w:val="24"/>
              </w:rPr>
              <w:t>143061</w:t>
            </w:r>
          </w:p>
        </w:tc>
        <w:tc>
          <w:tcPr>
            <w:tcW w:w="1985" w:type="dxa"/>
            <w:vAlign w:val="center"/>
          </w:tcPr>
          <w:p w:rsidR="00931752" w:rsidRDefault="00546784">
            <w:pPr>
              <w:jc w:val="center"/>
            </w:pPr>
            <w:r>
              <w:rPr>
                <w:color w:val="000000"/>
                <w:sz w:val="24"/>
              </w:rPr>
              <w:t>17</w:t>
            </w:r>
            <w:r>
              <w:rPr>
                <w:color w:val="000000"/>
                <w:sz w:val="24"/>
              </w:rPr>
              <w:t>正集</w:t>
            </w:r>
            <w:r>
              <w:rPr>
                <w:color w:val="000000"/>
                <w:sz w:val="24"/>
              </w:rPr>
              <w:t>01</w:t>
            </w:r>
          </w:p>
        </w:tc>
        <w:tc>
          <w:tcPr>
            <w:tcW w:w="1559" w:type="dxa"/>
            <w:vAlign w:val="center"/>
          </w:tcPr>
          <w:p w:rsidR="00931752" w:rsidRDefault="00546784">
            <w:pPr>
              <w:jc w:val="right"/>
            </w:pPr>
            <w:r>
              <w:rPr>
                <w:color w:val="000000"/>
                <w:sz w:val="24"/>
              </w:rPr>
              <w:t>600,000</w:t>
            </w:r>
          </w:p>
        </w:tc>
        <w:tc>
          <w:tcPr>
            <w:tcW w:w="2126" w:type="dxa"/>
            <w:vAlign w:val="center"/>
          </w:tcPr>
          <w:p w:rsidR="00931752" w:rsidRDefault="00546784">
            <w:pPr>
              <w:jc w:val="right"/>
            </w:pPr>
            <w:r>
              <w:rPr>
                <w:color w:val="000000"/>
                <w:sz w:val="24"/>
              </w:rPr>
              <w:t>60,336,000.00</w:t>
            </w:r>
          </w:p>
        </w:tc>
        <w:tc>
          <w:tcPr>
            <w:tcW w:w="990" w:type="dxa"/>
            <w:vAlign w:val="center"/>
          </w:tcPr>
          <w:p w:rsidR="00931752" w:rsidRDefault="00546784">
            <w:pPr>
              <w:jc w:val="right"/>
            </w:pPr>
            <w:r>
              <w:rPr>
                <w:color w:val="000000"/>
                <w:sz w:val="24"/>
              </w:rPr>
              <w:t>4.31</w:t>
            </w:r>
          </w:p>
        </w:tc>
      </w:tr>
      <w:tr w:rsidR="00931752">
        <w:tc>
          <w:tcPr>
            <w:tcW w:w="802" w:type="dxa"/>
            <w:vAlign w:val="center"/>
          </w:tcPr>
          <w:p w:rsidR="00931752" w:rsidRDefault="00546784">
            <w:pPr>
              <w:jc w:val="center"/>
            </w:pPr>
            <w:r>
              <w:rPr>
                <w:color w:val="000000"/>
                <w:sz w:val="24"/>
              </w:rPr>
              <w:t>4</w:t>
            </w:r>
          </w:p>
        </w:tc>
        <w:tc>
          <w:tcPr>
            <w:tcW w:w="1559" w:type="dxa"/>
            <w:vAlign w:val="center"/>
          </w:tcPr>
          <w:p w:rsidR="00931752" w:rsidRDefault="00546784">
            <w:pPr>
              <w:jc w:val="center"/>
            </w:pPr>
            <w:r>
              <w:rPr>
                <w:color w:val="000000"/>
                <w:sz w:val="24"/>
              </w:rPr>
              <w:t>122488</w:t>
            </w:r>
          </w:p>
        </w:tc>
        <w:tc>
          <w:tcPr>
            <w:tcW w:w="1985" w:type="dxa"/>
            <w:vAlign w:val="center"/>
          </w:tcPr>
          <w:p w:rsidR="00931752" w:rsidRDefault="00546784">
            <w:pPr>
              <w:jc w:val="center"/>
            </w:pPr>
            <w:r>
              <w:rPr>
                <w:color w:val="000000"/>
                <w:sz w:val="24"/>
              </w:rPr>
              <w:t>15</w:t>
            </w:r>
            <w:r>
              <w:rPr>
                <w:color w:val="000000"/>
                <w:sz w:val="24"/>
              </w:rPr>
              <w:t>金地</w:t>
            </w:r>
            <w:r>
              <w:rPr>
                <w:color w:val="000000"/>
                <w:sz w:val="24"/>
              </w:rPr>
              <w:t>01</w:t>
            </w:r>
          </w:p>
        </w:tc>
        <w:tc>
          <w:tcPr>
            <w:tcW w:w="1559" w:type="dxa"/>
            <w:vAlign w:val="center"/>
          </w:tcPr>
          <w:p w:rsidR="00931752" w:rsidRDefault="00546784">
            <w:pPr>
              <w:jc w:val="right"/>
            </w:pPr>
            <w:r>
              <w:rPr>
                <w:color w:val="000000"/>
                <w:sz w:val="24"/>
              </w:rPr>
              <w:t>500,000</w:t>
            </w:r>
          </w:p>
        </w:tc>
        <w:tc>
          <w:tcPr>
            <w:tcW w:w="2126" w:type="dxa"/>
            <w:vAlign w:val="center"/>
          </w:tcPr>
          <w:p w:rsidR="00931752" w:rsidRDefault="00546784">
            <w:pPr>
              <w:jc w:val="right"/>
            </w:pPr>
            <w:r>
              <w:rPr>
                <w:color w:val="000000"/>
                <w:sz w:val="24"/>
              </w:rPr>
              <w:t>50,685,000.00</w:t>
            </w:r>
          </w:p>
        </w:tc>
        <w:tc>
          <w:tcPr>
            <w:tcW w:w="990" w:type="dxa"/>
            <w:vAlign w:val="center"/>
          </w:tcPr>
          <w:p w:rsidR="00931752" w:rsidRDefault="00546784">
            <w:pPr>
              <w:jc w:val="right"/>
            </w:pPr>
            <w:r>
              <w:rPr>
                <w:color w:val="000000"/>
                <w:sz w:val="24"/>
              </w:rPr>
              <w:t>3.62</w:t>
            </w:r>
          </w:p>
        </w:tc>
      </w:tr>
      <w:tr w:rsidR="00931752">
        <w:tc>
          <w:tcPr>
            <w:tcW w:w="802" w:type="dxa"/>
            <w:vAlign w:val="center"/>
          </w:tcPr>
          <w:p w:rsidR="00931752" w:rsidRDefault="00546784">
            <w:pPr>
              <w:jc w:val="center"/>
            </w:pPr>
            <w:r>
              <w:rPr>
                <w:color w:val="000000"/>
                <w:sz w:val="24"/>
              </w:rPr>
              <w:t>5</w:t>
            </w:r>
          </w:p>
        </w:tc>
        <w:tc>
          <w:tcPr>
            <w:tcW w:w="1559" w:type="dxa"/>
            <w:vAlign w:val="center"/>
          </w:tcPr>
          <w:p w:rsidR="00931752" w:rsidRDefault="00546784">
            <w:pPr>
              <w:jc w:val="center"/>
            </w:pPr>
            <w:r>
              <w:rPr>
                <w:color w:val="000000"/>
                <w:sz w:val="24"/>
              </w:rPr>
              <w:t>136186</w:t>
            </w:r>
          </w:p>
        </w:tc>
        <w:tc>
          <w:tcPr>
            <w:tcW w:w="1985" w:type="dxa"/>
            <w:vAlign w:val="center"/>
          </w:tcPr>
          <w:p w:rsidR="00931752" w:rsidRDefault="00546784">
            <w:pPr>
              <w:jc w:val="center"/>
            </w:pPr>
            <w:r>
              <w:rPr>
                <w:color w:val="000000"/>
                <w:sz w:val="24"/>
              </w:rPr>
              <w:t>16</w:t>
            </w:r>
            <w:r>
              <w:rPr>
                <w:color w:val="000000"/>
                <w:sz w:val="24"/>
              </w:rPr>
              <w:t>苏新债</w:t>
            </w:r>
          </w:p>
        </w:tc>
        <w:tc>
          <w:tcPr>
            <w:tcW w:w="1559" w:type="dxa"/>
            <w:vAlign w:val="center"/>
          </w:tcPr>
          <w:p w:rsidR="00931752" w:rsidRDefault="00546784">
            <w:pPr>
              <w:jc w:val="right"/>
            </w:pPr>
            <w:r>
              <w:rPr>
                <w:color w:val="000000"/>
                <w:sz w:val="24"/>
              </w:rPr>
              <w:t>500,000</w:t>
            </w:r>
          </w:p>
        </w:tc>
        <w:tc>
          <w:tcPr>
            <w:tcW w:w="2126" w:type="dxa"/>
            <w:vAlign w:val="center"/>
          </w:tcPr>
          <w:p w:rsidR="00931752" w:rsidRDefault="00546784">
            <w:pPr>
              <w:jc w:val="right"/>
            </w:pPr>
            <w:r>
              <w:rPr>
                <w:color w:val="000000"/>
                <w:sz w:val="24"/>
              </w:rPr>
              <w:t>50,335,000.00</w:t>
            </w:r>
          </w:p>
        </w:tc>
        <w:tc>
          <w:tcPr>
            <w:tcW w:w="990" w:type="dxa"/>
            <w:vAlign w:val="center"/>
          </w:tcPr>
          <w:p w:rsidR="00931752" w:rsidRDefault="00546784">
            <w:pPr>
              <w:jc w:val="right"/>
            </w:pPr>
            <w:r>
              <w:rPr>
                <w:color w:val="000000"/>
                <w:sz w:val="24"/>
              </w:rPr>
              <w:t>3.60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1"/>
        <w:gridCol w:w="1325"/>
        <w:gridCol w:w="1290"/>
        <w:gridCol w:w="1807"/>
        <w:gridCol w:w="1697"/>
        <w:gridCol w:w="1721"/>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931752">
        <w:tc>
          <w:tcPr>
            <w:tcW w:w="0" w:type="auto"/>
            <w:vAlign w:val="center"/>
          </w:tcPr>
          <w:p w:rsidR="00931752" w:rsidRDefault="00546784">
            <w:pPr>
              <w:jc w:val="center"/>
            </w:pPr>
            <w:r>
              <w:rPr>
                <w:color w:val="000000"/>
                <w:sz w:val="24"/>
              </w:rPr>
              <w:t>1</w:t>
            </w:r>
          </w:p>
        </w:tc>
        <w:tc>
          <w:tcPr>
            <w:tcW w:w="0" w:type="auto"/>
            <w:vAlign w:val="center"/>
          </w:tcPr>
          <w:p w:rsidR="00931752" w:rsidRDefault="00546784">
            <w:pPr>
              <w:jc w:val="center"/>
            </w:pPr>
            <w:r>
              <w:rPr>
                <w:color w:val="000000"/>
                <w:sz w:val="24"/>
              </w:rPr>
              <w:t>159507</w:t>
            </w:r>
          </w:p>
        </w:tc>
        <w:tc>
          <w:tcPr>
            <w:tcW w:w="0" w:type="auto"/>
            <w:vAlign w:val="center"/>
          </w:tcPr>
          <w:p w:rsidR="00931752" w:rsidRDefault="00546784">
            <w:pPr>
              <w:jc w:val="center"/>
            </w:pPr>
            <w:r>
              <w:rPr>
                <w:color w:val="000000"/>
                <w:sz w:val="24"/>
              </w:rPr>
              <w:t>19</w:t>
            </w:r>
            <w:r>
              <w:rPr>
                <w:color w:val="000000"/>
                <w:sz w:val="24"/>
              </w:rPr>
              <w:t>裕源</w:t>
            </w:r>
            <w:r>
              <w:rPr>
                <w:color w:val="000000"/>
                <w:sz w:val="24"/>
              </w:rPr>
              <w:t>08</w:t>
            </w:r>
          </w:p>
        </w:tc>
        <w:tc>
          <w:tcPr>
            <w:tcW w:w="0" w:type="auto"/>
            <w:vAlign w:val="center"/>
          </w:tcPr>
          <w:p w:rsidR="00931752" w:rsidRDefault="00546784">
            <w:pPr>
              <w:jc w:val="right"/>
            </w:pPr>
            <w:r>
              <w:rPr>
                <w:color w:val="000000"/>
                <w:sz w:val="24"/>
              </w:rPr>
              <w:t>400,000</w:t>
            </w:r>
          </w:p>
        </w:tc>
        <w:tc>
          <w:tcPr>
            <w:tcW w:w="0" w:type="auto"/>
            <w:vAlign w:val="center"/>
          </w:tcPr>
          <w:p w:rsidR="00931752" w:rsidRDefault="00546784">
            <w:pPr>
              <w:jc w:val="right"/>
            </w:pPr>
            <w:r>
              <w:rPr>
                <w:color w:val="000000"/>
                <w:sz w:val="24"/>
              </w:rPr>
              <w:t>40,096,000.00</w:t>
            </w:r>
          </w:p>
        </w:tc>
        <w:tc>
          <w:tcPr>
            <w:tcW w:w="0" w:type="auto"/>
            <w:vAlign w:val="center"/>
          </w:tcPr>
          <w:p w:rsidR="00931752" w:rsidRDefault="00546784">
            <w:pPr>
              <w:jc w:val="right"/>
            </w:pPr>
            <w:r>
              <w:rPr>
                <w:color w:val="000000"/>
                <w:sz w:val="24"/>
              </w:rPr>
              <w:t>2.86</w:t>
            </w:r>
          </w:p>
        </w:tc>
      </w:tr>
      <w:tr w:rsidR="00931752">
        <w:tc>
          <w:tcPr>
            <w:tcW w:w="0" w:type="auto"/>
            <w:vAlign w:val="center"/>
          </w:tcPr>
          <w:p w:rsidR="00931752" w:rsidRDefault="00546784">
            <w:pPr>
              <w:jc w:val="center"/>
            </w:pPr>
            <w:r>
              <w:rPr>
                <w:color w:val="000000"/>
                <w:sz w:val="24"/>
              </w:rPr>
              <w:t>2</w:t>
            </w:r>
          </w:p>
        </w:tc>
        <w:tc>
          <w:tcPr>
            <w:tcW w:w="0" w:type="auto"/>
            <w:vAlign w:val="center"/>
          </w:tcPr>
          <w:p w:rsidR="00931752" w:rsidRDefault="00546784">
            <w:pPr>
              <w:jc w:val="center"/>
            </w:pPr>
            <w:r>
              <w:rPr>
                <w:color w:val="000000"/>
                <w:sz w:val="24"/>
              </w:rPr>
              <w:t>159690</w:t>
            </w:r>
          </w:p>
        </w:tc>
        <w:tc>
          <w:tcPr>
            <w:tcW w:w="0" w:type="auto"/>
            <w:vAlign w:val="center"/>
          </w:tcPr>
          <w:p w:rsidR="00931752" w:rsidRDefault="00546784">
            <w:pPr>
              <w:jc w:val="center"/>
            </w:pPr>
            <w:r>
              <w:rPr>
                <w:color w:val="000000"/>
                <w:sz w:val="24"/>
              </w:rPr>
              <w:t>璀璨</w:t>
            </w:r>
            <w:r>
              <w:rPr>
                <w:color w:val="000000"/>
                <w:sz w:val="24"/>
              </w:rPr>
              <w:t>10A</w:t>
            </w:r>
          </w:p>
        </w:tc>
        <w:tc>
          <w:tcPr>
            <w:tcW w:w="0" w:type="auto"/>
            <w:vAlign w:val="center"/>
          </w:tcPr>
          <w:p w:rsidR="00931752" w:rsidRDefault="00546784">
            <w:pPr>
              <w:jc w:val="right"/>
            </w:pPr>
            <w:r>
              <w:rPr>
                <w:color w:val="000000"/>
                <w:sz w:val="24"/>
              </w:rPr>
              <w:t>200,000</w:t>
            </w:r>
          </w:p>
        </w:tc>
        <w:tc>
          <w:tcPr>
            <w:tcW w:w="0" w:type="auto"/>
            <w:vAlign w:val="center"/>
          </w:tcPr>
          <w:p w:rsidR="00931752" w:rsidRDefault="00546784">
            <w:pPr>
              <w:jc w:val="right"/>
            </w:pPr>
            <w:r>
              <w:rPr>
                <w:color w:val="000000"/>
                <w:sz w:val="24"/>
              </w:rPr>
              <w:t>19,998,000.00</w:t>
            </w:r>
          </w:p>
        </w:tc>
        <w:tc>
          <w:tcPr>
            <w:tcW w:w="0" w:type="auto"/>
            <w:vAlign w:val="center"/>
          </w:tcPr>
          <w:p w:rsidR="00931752" w:rsidRDefault="00546784">
            <w:pPr>
              <w:jc w:val="right"/>
            </w:pPr>
            <w:r>
              <w:rPr>
                <w:color w:val="000000"/>
                <w:sz w:val="24"/>
              </w:rPr>
              <w:t>1.43</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lastRenderedPageBreak/>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70,479.81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28,250,821.18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28,321,300.99</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易方达年年恒夏纯</w:t>
            </w:r>
            <w:r w:rsidRPr="00FA472B">
              <w:rPr>
                <w:sz w:val="24"/>
              </w:rPr>
              <w:lastRenderedPageBreak/>
              <w:t>债一年定开债券发起式</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lastRenderedPageBreak/>
              <w:t>易方达年年恒夏纯</w:t>
            </w:r>
            <w:r w:rsidRPr="00FA472B">
              <w:rPr>
                <w:sz w:val="24"/>
              </w:rPr>
              <w:lastRenderedPageBreak/>
              <w:t>债一年定开债券发起式</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A5C1D">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基金合同生效日基金份额总额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A5C1D">
            <w:pPr>
              <w:autoSpaceDE w:val="0"/>
              <w:autoSpaceDN w:val="0"/>
              <w:adjustRightInd w:val="0"/>
              <w:spacing w:before="29" w:line="360" w:lineRule="auto"/>
              <w:ind w:left="17"/>
              <w:jc w:val="right"/>
              <w:rPr>
                <w:color w:val="000000"/>
                <w:sz w:val="24"/>
              </w:rPr>
            </w:pPr>
            <w:r w:rsidRPr="00FA472B">
              <w:rPr>
                <w:color w:val="000000"/>
                <w:sz w:val="24"/>
              </w:rPr>
              <w:t>1,226,944,774.96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157,831,899.68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基金合同生效日起至报告期期末基金总申购份额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减：基金合同生效日起至报告期期末基金总赎回份额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基金合同生效日起至报告期期末基金拆分变动份额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1,226,944,774.96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157,831,899.68</w:t>
            </w:r>
          </w:p>
        </w:tc>
      </w:tr>
    </w:tbl>
    <w:p w:rsidR="00F016DD" w:rsidRPr="00DF18FE" w:rsidRDefault="00F016DD" w:rsidP="00DF18FE">
      <w:pPr>
        <w:spacing w:line="360" w:lineRule="auto"/>
        <w:ind w:firstLineChars="200" w:firstLine="480"/>
        <w:rPr>
          <w:color w:val="000000"/>
          <w:sz w:val="24"/>
        </w:rPr>
      </w:pPr>
      <w:r w:rsidRPr="00DF18FE">
        <w:rPr>
          <w:color w:val="000000"/>
          <w:sz w:val="24"/>
        </w:rPr>
        <w:t>注：本基金合同生效日为</w:t>
      </w:r>
      <w:r w:rsidRPr="00DF18FE">
        <w:rPr>
          <w:color w:val="000000"/>
          <w:sz w:val="24"/>
        </w:rPr>
        <w:t>2019</w:t>
      </w:r>
      <w:r w:rsidRPr="00DF18FE">
        <w:rPr>
          <w:color w:val="000000"/>
          <w:sz w:val="24"/>
        </w:rPr>
        <w:t>年</w:t>
      </w:r>
      <w:r w:rsidRPr="00DF18FE">
        <w:rPr>
          <w:color w:val="000000"/>
          <w:sz w:val="24"/>
        </w:rPr>
        <w:t>07</w:t>
      </w:r>
      <w:r w:rsidRPr="00DF18FE">
        <w:rPr>
          <w:color w:val="000000"/>
          <w:sz w:val="24"/>
        </w:rPr>
        <w:t>月</w:t>
      </w:r>
      <w:r w:rsidRPr="00DF18FE">
        <w:rPr>
          <w:color w:val="000000"/>
          <w:sz w:val="24"/>
        </w:rPr>
        <w:t>11</w:t>
      </w:r>
      <w:r w:rsidRPr="00DF18FE">
        <w:rPr>
          <w:color w:val="000000"/>
          <w:sz w:val="24"/>
        </w:rPr>
        <w:t>日。</w:t>
      </w:r>
    </w:p>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易方达年年恒夏纯债一年定开债券发起式</w:t>
            </w:r>
            <w:r w:rsidRPr="00FA472B">
              <w:rPr>
                <w:sz w:val="24"/>
              </w:rPr>
              <w:t>A</w:t>
            </w:r>
          </w:p>
        </w:tc>
        <w:tc>
          <w:tcPr>
            <w:tcW w:w="2631" w:type="dxa"/>
            <w:vAlign w:val="bottom"/>
          </w:tcPr>
          <w:p w:rsidR="00CC78C7" w:rsidRPr="00FA472B" w:rsidRDefault="00CC78C7" w:rsidP="00964538">
            <w:pPr>
              <w:jc w:val="center"/>
              <w:rPr>
                <w:sz w:val="24"/>
              </w:rPr>
            </w:pPr>
            <w:r w:rsidRPr="00FA472B">
              <w:rPr>
                <w:sz w:val="24"/>
              </w:rPr>
              <w:t>易方达年年恒夏纯债一年定开债券发起式</w:t>
            </w:r>
            <w:r w:rsidRPr="00FA472B">
              <w:rPr>
                <w:sz w:val="24"/>
              </w:rPr>
              <w:t>C</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3B42FF">
              <w:rPr>
                <w:rFonts w:eastAsiaTheme="minorEastAsia"/>
                <w:color w:val="000000" w:themeColor="text1"/>
              </w:rPr>
              <w:t>基金合同生效日</w:t>
            </w:r>
            <w:r w:rsidRPr="00FA472B">
              <w:rPr>
                <w:color w:val="000000"/>
                <w:szCs w:val="24"/>
              </w:rPr>
              <w:t>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基金合同生效日起至报告期期末</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基金合同生效日起至报告期期末</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10,000,000.00</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0.82</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DF18FE" w:rsidRDefault="00CC78C7" w:rsidP="00DF18FE">
      <w:pPr>
        <w:spacing w:line="360" w:lineRule="auto"/>
        <w:ind w:firstLineChars="200" w:firstLine="480"/>
        <w:rPr>
          <w:color w:val="000000"/>
          <w:sz w:val="24"/>
        </w:rPr>
      </w:pPr>
      <w:r w:rsidRPr="00DF18FE">
        <w:rPr>
          <w:color w:val="000000"/>
          <w:sz w:val="24"/>
        </w:rPr>
        <w:t>注：本基金合同生效日为</w:t>
      </w:r>
      <w:r w:rsidRPr="00DF18FE">
        <w:rPr>
          <w:color w:val="000000"/>
          <w:sz w:val="24"/>
        </w:rPr>
        <w:t>2019</w:t>
      </w:r>
      <w:r w:rsidRPr="00DF18FE">
        <w:rPr>
          <w:color w:val="000000"/>
          <w:sz w:val="24"/>
        </w:rPr>
        <w:t>年</w:t>
      </w:r>
      <w:r w:rsidRPr="00DF18FE">
        <w:rPr>
          <w:color w:val="000000"/>
          <w:sz w:val="24"/>
        </w:rPr>
        <w:t>07</w:t>
      </w:r>
      <w:r w:rsidRPr="00DF18FE">
        <w:rPr>
          <w:color w:val="000000"/>
          <w:sz w:val="24"/>
        </w:rPr>
        <w:t>月</w:t>
      </w:r>
      <w:r w:rsidRPr="00DF18FE">
        <w:rPr>
          <w:color w:val="000000"/>
          <w:sz w:val="24"/>
        </w:rPr>
        <w:t>11</w:t>
      </w:r>
      <w:r w:rsidRPr="00DF18FE">
        <w:rPr>
          <w:color w:val="000000"/>
          <w:sz w:val="24"/>
        </w:rPr>
        <w:t>日。</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
        <w:gridCol w:w="1546"/>
        <w:gridCol w:w="1276"/>
        <w:gridCol w:w="2100"/>
        <w:gridCol w:w="2011"/>
        <w:gridCol w:w="1228"/>
      </w:tblGrid>
      <w:tr w:rsidR="00F016DD" w:rsidRPr="004A3251" w:rsidTr="00174038">
        <w:trPr>
          <w:trHeight w:val="340"/>
          <w:jc w:val="center"/>
        </w:trPr>
        <w:tc>
          <w:tcPr>
            <w:tcW w:w="1070" w:type="dxa"/>
            <w:vAlign w:val="center"/>
          </w:tcPr>
          <w:p w:rsidR="00F016DD" w:rsidRPr="00FA472B" w:rsidRDefault="00F016DD" w:rsidP="00532DB7">
            <w:pPr>
              <w:pStyle w:val="ac"/>
              <w:adjustRightInd w:val="0"/>
              <w:snapToGrid w:val="0"/>
              <w:spacing w:line="360" w:lineRule="exact"/>
              <w:jc w:val="center"/>
              <w:rPr>
                <w:color w:val="000000"/>
                <w:kern w:val="0"/>
                <w:szCs w:val="24"/>
              </w:rPr>
            </w:pPr>
            <w:r w:rsidRPr="00FA472B">
              <w:rPr>
                <w:color w:val="000000"/>
                <w:kern w:val="0"/>
                <w:szCs w:val="24"/>
              </w:rPr>
              <w:t>序号</w:t>
            </w:r>
          </w:p>
        </w:tc>
        <w:tc>
          <w:tcPr>
            <w:tcW w:w="1546" w:type="dxa"/>
          </w:tcPr>
          <w:p w:rsidR="00F016DD" w:rsidRPr="00FA472B" w:rsidRDefault="00F016DD" w:rsidP="00532DB7">
            <w:pPr>
              <w:adjustRightInd w:val="0"/>
              <w:snapToGrid w:val="0"/>
              <w:spacing w:line="360" w:lineRule="exact"/>
              <w:jc w:val="center"/>
              <w:rPr>
                <w:color w:val="000000"/>
                <w:kern w:val="0"/>
                <w:sz w:val="24"/>
              </w:rPr>
            </w:pPr>
            <w:r w:rsidRPr="00FA472B">
              <w:rPr>
                <w:color w:val="000000"/>
                <w:kern w:val="0"/>
                <w:sz w:val="24"/>
              </w:rPr>
              <w:t>交易方式</w:t>
            </w:r>
          </w:p>
        </w:tc>
        <w:tc>
          <w:tcPr>
            <w:tcW w:w="1276" w:type="dxa"/>
          </w:tcPr>
          <w:p w:rsidR="00F016DD" w:rsidRPr="00FA472B" w:rsidRDefault="00F016DD" w:rsidP="00532DB7">
            <w:pPr>
              <w:adjustRightInd w:val="0"/>
              <w:snapToGrid w:val="0"/>
              <w:spacing w:line="360" w:lineRule="exact"/>
              <w:rPr>
                <w:color w:val="000000"/>
                <w:kern w:val="0"/>
                <w:sz w:val="24"/>
              </w:rPr>
            </w:pPr>
            <w:r w:rsidRPr="00FA472B">
              <w:rPr>
                <w:color w:val="000000"/>
                <w:kern w:val="0"/>
                <w:sz w:val="24"/>
              </w:rPr>
              <w:t>交易日期</w:t>
            </w:r>
          </w:p>
        </w:tc>
        <w:tc>
          <w:tcPr>
            <w:tcW w:w="2100" w:type="dxa"/>
          </w:tcPr>
          <w:p w:rsidR="00F016DD" w:rsidRPr="00FA472B" w:rsidRDefault="00F016DD" w:rsidP="00532DB7">
            <w:pPr>
              <w:adjustRightInd w:val="0"/>
              <w:snapToGrid w:val="0"/>
              <w:spacing w:line="360" w:lineRule="exact"/>
              <w:jc w:val="center"/>
              <w:rPr>
                <w:color w:val="000000"/>
                <w:kern w:val="0"/>
                <w:sz w:val="24"/>
              </w:rPr>
            </w:pPr>
            <w:r w:rsidRPr="00FA472B">
              <w:rPr>
                <w:color w:val="000000"/>
                <w:kern w:val="0"/>
                <w:sz w:val="24"/>
              </w:rPr>
              <w:t>交易份额（份）</w:t>
            </w:r>
          </w:p>
        </w:tc>
        <w:tc>
          <w:tcPr>
            <w:tcW w:w="2011" w:type="dxa"/>
          </w:tcPr>
          <w:p w:rsidR="00F016DD" w:rsidRPr="00FA472B" w:rsidRDefault="00F016DD" w:rsidP="00532DB7">
            <w:pPr>
              <w:adjustRightInd w:val="0"/>
              <w:snapToGrid w:val="0"/>
              <w:spacing w:line="360" w:lineRule="exact"/>
              <w:jc w:val="center"/>
              <w:rPr>
                <w:color w:val="000000"/>
                <w:kern w:val="0"/>
                <w:sz w:val="24"/>
              </w:rPr>
            </w:pPr>
            <w:r w:rsidRPr="00FA472B">
              <w:rPr>
                <w:color w:val="000000"/>
                <w:kern w:val="0"/>
                <w:sz w:val="24"/>
              </w:rPr>
              <w:t>交易金额（元）</w:t>
            </w:r>
          </w:p>
        </w:tc>
        <w:tc>
          <w:tcPr>
            <w:tcW w:w="1228" w:type="dxa"/>
            <w:vAlign w:val="center"/>
          </w:tcPr>
          <w:p w:rsidR="00F016DD" w:rsidRPr="00FA472B" w:rsidRDefault="00F016DD" w:rsidP="00532DB7">
            <w:pPr>
              <w:adjustRightInd w:val="0"/>
              <w:snapToGrid w:val="0"/>
              <w:spacing w:line="360" w:lineRule="exact"/>
              <w:jc w:val="center"/>
              <w:rPr>
                <w:color w:val="000000"/>
                <w:kern w:val="0"/>
                <w:sz w:val="24"/>
              </w:rPr>
            </w:pPr>
            <w:r w:rsidRPr="00FA472B">
              <w:rPr>
                <w:color w:val="000000"/>
                <w:kern w:val="0"/>
                <w:sz w:val="24"/>
              </w:rPr>
              <w:t>适用费率</w:t>
            </w:r>
          </w:p>
        </w:tc>
      </w:tr>
      <w:tr w:rsidR="00931752">
        <w:trPr>
          <w:jc w:val="center"/>
        </w:trPr>
        <w:tc>
          <w:tcPr>
            <w:tcW w:w="1070" w:type="dxa"/>
            <w:vAlign w:val="center"/>
          </w:tcPr>
          <w:p w:rsidR="00931752" w:rsidRDefault="00546784">
            <w:pPr>
              <w:jc w:val="center"/>
            </w:pPr>
            <w:r>
              <w:rPr>
                <w:color w:val="000000"/>
                <w:sz w:val="24"/>
              </w:rPr>
              <w:t>1</w:t>
            </w:r>
          </w:p>
        </w:tc>
        <w:tc>
          <w:tcPr>
            <w:tcW w:w="1546" w:type="dxa"/>
            <w:vAlign w:val="center"/>
          </w:tcPr>
          <w:p w:rsidR="00931752" w:rsidRDefault="00546784">
            <w:pPr>
              <w:jc w:val="center"/>
            </w:pPr>
            <w:r>
              <w:rPr>
                <w:color w:val="000000"/>
                <w:sz w:val="24"/>
              </w:rPr>
              <w:t>认购</w:t>
            </w:r>
          </w:p>
        </w:tc>
        <w:tc>
          <w:tcPr>
            <w:tcW w:w="1276" w:type="dxa"/>
            <w:vAlign w:val="center"/>
          </w:tcPr>
          <w:p w:rsidR="00931752" w:rsidRDefault="00546784">
            <w:pPr>
              <w:jc w:val="center"/>
            </w:pPr>
            <w:r>
              <w:rPr>
                <w:color w:val="000000"/>
                <w:sz w:val="24"/>
              </w:rPr>
              <w:t>2019-07-08</w:t>
            </w:r>
          </w:p>
        </w:tc>
        <w:tc>
          <w:tcPr>
            <w:tcW w:w="2100" w:type="dxa"/>
            <w:vAlign w:val="center"/>
          </w:tcPr>
          <w:p w:rsidR="00931752" w:rsidRDefault="00546784">
            <w:pPr>
              <w:jc w:val="right"/>
            </w:pPr>
            <w:r>
              <w:rPr>
                <w:color w:val="000000"/>
                <w:sz w:val="24"/>
              </w:rPr>
              <w:t>10,000,000.00</w:t>
            </w:r>
          </w:p>
        </w:tc>
        <w:tc>
          <w:tcPr>
            <w:tcW w:w="2011" w:type="dxa"/>
            <w:vAlign w:val="center"/>
          </w:tcPr>
          <w:p w:rsidR="00931752" w:rsidRDefault="00546784">
            <w:pPr>
              <w:jc w:val="right"/>
            </w:pPr>
            <w:r>
              <w:rPr>
                <w:color w:val="000000"/>
                <w:sz w:val="24"/>
              </w:rPr>
              <w:t>10,000,000.00</w:t>
            </w:r>
          </w:p>
        </w:tc>
        <w:tc>
          <w:tcPr>
            <w:tcW w:w="1228" w:type="dxa"/>
            <w:vAlign w:val="center"/>
          </w:tcPr>
          <w:p w:rsidR="00931752" w:rsidRDefault="00546784">
            <w:pPr>
              <w:jc w:val="center"/>
            </w:pPr>
            <w:r>
              <w:rPr>
                <w:color w:val="000000"/>
                <w:sz w:val="24"/>
              </w:rPr>
              <w:t>-</w:t>
            </w:r>
          </w:p>
        </w:tc>
      </w:tr>
      <w:tr w:rsidR="00F016DD" w:rsidRPr="004A3251" w:rsidTr="00174038">
        <w:trPr>
          <w:trHeight w:val="340"/>
          <w:jc w:val="center"/>
        </w:trPr>
        <w:tc>
          <w:tcPr>
            <w:tcW w:w="1070" w:type="dxa"/>
            <w:vAlign w:val="center"/>
          </w:tcPr>
          <w:p w:rsidR="00F016DD" w:rsidRPr="00FA472B" w:rsidRDefault="00F016DD" w:rsidP="00532DB7">
            <w:pPr>
              <w:pStyle w:val="ac"/>
              <w:adjustRightInd w:val="0"/>
              <w:snapToGrid w:val="0"/>
              <w:spacing w:line="360" w:lineRule="exact"/>
              <w:jc w:val="center"/>
              <w:rPr>
                <w:color w:val="000000"/>
                <w:kern w:val="0"/>
                <w:szCs w:val="24"/>
              </w:rPr>
            </w:pPr>
            <w:r w:rsidRPr="00FA472B">
              <w:rPr>
                <w:color w:val="000000"/>
                <w:kern w:val="0"/>
                <w:szCs w:val="24"/>
              </w:rPr>
              <w:lastRenderedPageBreak/>
              <w:t>合计</w:t>
            </w:r>
          </w:p>
        </w:tc>
        <w:tc>
          <w:tcPr>
            <w:tcW w:w="1546" w:type="dxa"/>
          </w:tcPr>
          <w:p w:rsidR="00F016DD" w:rsidRPr="00FA472B" w:rsidRDefault="00F016DD" w:rsidP="00532DB7">
            <w:pPr>
              <w:adjustRightInd w:val="0"/>
              <w:snapToGrid w:val="0"/>
              <w:spacing w:line="360" w:lineRule="exact"/>
              <w:jc w:val="right"/>
              <w:rPr>
                <w:color w:val="0000FF"/>
                <w:kern w:val="0"/>
                <w:sz w:val="18"/>
              </w:rPr>
            </w:pPr>
          </w:p>
        </w:tc>
        <w:tc>
          <w:tcPr>
            <w:tcW w:w="1276" w:type="dxa"/>
          </w:tcPr>
          <w:p w:rsidR="00F016DD" w:rsidRPr="00FA472B" w:rsidRDefault="00F016DD" w:rsidP="00532DB7">
            <w:pPr>
              <w:adjustRightInd w:val="0"/>
              <w:snapToGrid w:val="0"/>
              <w:spacing w:line="360" w:lineRule="exact"/>
              <w:jc w:val="right"/>
              <w:rPr>
                <w:color w:val="0000FF"/>
                <w:kern w:val="0"/>
                <w:sz w:val="18"/>
              </w:rPr>
            </w:pPr>
          </w:p>
        </w:tc>
        <w:tc>
          <w:tcPr>
            <w:tcW w:w="2100" w:type="dxa"/>
          </w:tcPr>
          <w:p w:rsidR="00F016DD" w:rsidRPr="00FA472B" w:rsidRDefault="00F016DD" w:rsidP="00532DB7">
            <w:pPr>
              <w:adjustRightInd w:val="0"/>
              <w:snapToGrid w:val="0"/>
              <w:spacing w:line="360" w:lineRule="exact"/>
              <w:jc w:val="right"/>
              <w:rPr>
                <w:color w:val="000000"/>
                <w:sz w:val="24"/>
              </w:rPr>
            </w:pPr>
            <w:r w:rsidRPr="00FA472B">
              <w:rPr>
                <w:color w:val="000000"/>
                <w:sz w:val="24"/>
              </w:rPr>
              <w:t>10,000,000.00</w:t>
            </w:r>
          </w:p>
        </w:tc>
        <w:tc>
          <w:tcPr>
            <w:tcW w:w="2011" w:type="dxa"/>
          </w:tcPr>
          <w:p w:rsidR="00F016DD" w:rsidRPr="00FA472B" w:rsidRDefault="00F016DD" w:rsidP="00532DB7">
            <w:pPr>
              <w:adjustRightInd w:val="0"/>
              <w:snapToGrid w:val="0"/>
              <w:spacing w:line="360" w:lineRule="exact"/>
              <w:jc w:val="right"/>
              <w:rPr>
                <w:color w:val="000000"/>
                <w:sz w:val="24"/>
              </w:rPr>
            </w:pPr>
            <w:r w:rsidRPr="00FA472B">
              <w:rPr>
                <w:color w:val="000000"/>
                <w:sz w:val="24"/>
              </w:rPr>
              <w:t>10,000,000.00</w:t>
            </w:r>
          </w:p>
        </w:tc>
        <w:tc>
          <w:tcPr>
            <w:tcW w:w="1228" w:type="dxa"/>
            <w:vAlign w:val="center"/>
          </w:tcPr>
          <w:p w:rsidR="00F016DD" w:rsidRPr="00FA472B" w:rsidRDefault="00F016DD" w:rsidP="00532DB7">
            <w:pPr>
              <w:adjustRightInd w:val="0"/>
              <w:snapToGrid w:val="0"/>
              <w:spacing w:line="360" w:lineRule="exact"/>
              <w:jc w:val="right"/>
              <w:rPr>
                <w:color w:val="0000FF"/>
                <w:kern w:val="0"/>
                <w:sz w:val="18"/>
              </w:rPr>
            </w:pPr>
          </w:p>
        </w:tc>
      </w:tr>
    </w:tbl>
    <w:p w:rsidR="00F016DD" w:rsidRPr="00DF18FE" w:rsidRDefault="00F016DD" w:rsidP="00DF18FE">
      <w:pPr>
        <w:spacing w:line="360" w:lineRule="auto"/>
        <w:ind w:firstLineChars="200" w:firstLine="480"/>
        <w:rPr>
          <w:color w:val="000000"/>
          <w:sz w:val="24"/>
        </w:rPr>
      </w:pPr>
      <w:r w:rsidRPr="00DF18FE">
        <w:rPr>
          <w:color w:val="000000"/>
          <w:sz w:val="24"/>
        </w:rPr>
        <w:t>注：按照基金合同等相关法律文件的规定，该笔交易费用为</w:t>
      </w:r>
      <w:r w:rsidRPr="00DF18FE">
        <w:rPr>
          <w:color w:val="000000"/>
          <w:sz w:val="24"/>
        </w:rPr>
        <w:t>1000</w:t>
      </w:r>
      <w:r w:rsidRPr="00DF18FE">
        <w:rPr>
          <w:color w:val="000000"/>
          <w:sz w:val="24"/>
        </w:rPr>
        <w:t>元。</w:t>
      </w:r>
    </w:p>
    <w:p w:rsidR="00F016DD" w:rsidRPr="0078105B" w:rsidRDefault="00F016DD" w:rsidP="00B54884">
      <w:pPr>
        <w:pStyle w:val="1"/>
        <w:spacing w:beforeLines="100" w:before="312" w:afterLines="100" w:after="312" w:line="360" w:lineRule="auto"/>
        <w:jc w:val="center"/>
        <w:rPr>
          <w:rFonts w:ascii="宋体"/>
          <w:b w:val="0"/>
          <w:color w:val="000000"/>
          <w:sz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8  </w:t>
      </w:r>
      <w:r>
        <w:rPr>
          <w:rFonts w:ascii="宋体" w:hAnsi="宋体" w:cs="Arial" w:hint="eastAsia"/>
          <w:color w:val="000000"/>
          <w:kern w:val="0"/>
          <w:sz w:val="24"/>
          <w:szCs w:val="24"/>
        </w:rPr>
        <w:t>报告期末</w:t>
      </w:r>
      <w:r w:rsidRPr="0078105B">
        <w:rPr>
          <w:rFonts w:ascii="宋体" w:hAnsi="宋体" w:cs="Arial"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8"/>
        <w:gridCol w:w="1984"/>
        <w:gridCol w:w="1276"/>
        <w:gridCol w:w="1843"/>
        <w:gridCol w:w="1276"/>
        <w:gridCol w:w="1053"/>
      </w:tblGrid>
      <w:tr w:rsidR="00F016DD" w:rsidRPr="0078105B" w:rsidTr="009D0312">
        <w:trPr>
          <w:trHeight w:val="543"/>
          <w:jc w:val="center"/>
        </w:trPr>
        <w:tc>
          <w:tcPr>
            <w:tcW w:w="1448" w:type="dxa"/>
            <w:vAlign w:val="center"/>
          </w:tcPr>
          <w:p w:rsidR="00F016DD" w:rsidRPr="00FA472B" w:rsidRDefault="00F016DD" w:rsidP="00973B57">
            <w:pPr>
              <w:widowControl/>
              <w:jc w:val="left"/>
              <w:rPr>
                <w:color w:val="000000"/>
                <w:sz w:val="24"/>
              </w:rPr>
            </w:pPr>
            <w:r w:rsidRPr="00FA472B">
              <w:rPr>
                <w:color w:val="000000"/>
                <w:sz w:val="24"/>
              </w:rPr>
              <w:t>项目</w:t>
            </w:r>
          </w:p>
        </w:tc>
        <w:tc>
          <w:tcPr>
            <w:tcW w:w="1984" w:type="dxa"/>
          </w:tcPr>
          <w:p w:rsidR="00F016DD" w:rsidRPr="00FA472B" w:rsidRDefault="00F016DD" w:rsidP="00973B57">
            <w:pPr>
              <w:adjustRightInd w:val="0"/>
              <w:snapToGrid w:val="0"/>
              <w:spacing w:line="360" w:lineRule="exact"/>
              <w:rPr>
                <w:color w:val="000000"/>
                <w:sz w:val="24"/>
              </w:rPr>
            </w:pPr>
            <w:r w:rsidRPr="00FA472B">
              <w:rPr>
                <w:color w:val="000000"/>
                <w:sz w:val="24"/>
              </w:rPr>
              <w:t>持有份额总数</w:t>
            </w:r>
          </w:p>
        </w:tc>
        <w:tc>
          <w:tcPr>
            <w:tcW w:w="1276" w:type="dxa"/>
          </w:tcPr>
          <w:p w:rsidR="00F016DD" w:rsidRPr="00FA472B" w:rsidRDefault="00F016DD" w:rsidP="00973B57">
            <w:pPr>
              <w:adjustRightInd w:val="0"/>
              <w:snapToGrid w:val="0"/>
              <w:spacing w:line="360" w:lineRule="exact"/>
              <w:rPr>
                <w:color w:val="000000"/>
                <w:sz w:val="24"/>
              </w:rPr>
            </w:pPr>
            <w:r w:rsidRPr="00FA472B">
              <w:rPr>
                <w:color w:val="000000"/>
                <w:sz w:val="24"/>
              </w:rPr>
              <w:t>持有份额占基金总份额比例</w:t>
            </w:r>
          </w:p>
        </w:tc>
        <w:tc>
          <w:tcPr>
            <w:tcW w:w="1843" w:type="dxa"/>
          </w:tcPr>
          <w:p w:rsidR="00F016DD" w:rsidRPr="00FA472B" w:rsidRDefault="00F016DD" w:rsidP="00973B57">
            <w:pPr>
              <w:adjustRightInd w:val="0"/>
              <w:snapToGrid w:val="0"/>
              <w:spacing w:line="360" w:lineRule="exact"/>
              <w:rPr>
                <w:color w:val="000000"/>
                <w:sz w:val="24"/>
              </w:rPr>
            </w:pPr>
            <w:r w:rsidRPr="00FA472B">
              <w:rPr>
                <w:color w:val="000000"/>
                <w:sz w:val="24"/>
              </w:rPr>
              <w:t>发起份额总数</w:t>
            </w:r>
          </w:p>
        </w:tc>
        <w:tc>
          <w:tcPr>
            <w:tcW w:w="1276" w:type="dxa"/>
          </w:tcPr>
          <w:p w:rsidR="00F016DD" w:rsidRPr="00FA472B" w:rsidRDefault="00F016DD" w:rsidP="00973B57">
            <w:pPr>
              <w:adjustRightInd w:val="0"/>
              <w:snapToGrid w:val="0"/>
              <w:spacing w:line="360" w:lineRule="exact"/>
              <w:rPr>
                <w:color w:val="000000"/>
                <w:sz w:val="24"/>
              </w:rPr>
            </w:pPr>
            <w:r w:rsidRPr="00FA472B">
              <w:rPr>
                <w:color w:val="000000"/>
                <w:sz w:val="24"/>
              </w:rPr>
              <w:t>发起份额占基金总份额比例</w:t>
            </w:r>
          </w:p>
        </w:tc>
        <w:tc>
          <w:tcPr>
            <w:tcW w:w="1053" w:type="dxa"/>
          </w:tcPr>
          <w:p w:rsidR="00F016DD" w:rsidRPr="00FA472B" w:rsidRDefault="00F016DD" w:rsidP="00973B57">
            <w:pPr>
              <w:widowControl/>
              <w:jc w:val="left"/>
              <w:rPr>
                <w:color w:val="000000"/>
                <w:sz w:val="24"/>
              </w:rPr>
            </w:pPr>
            <w:r w:rsidRPr="00FA472B">
              <w:rPr>
                <w:color w:val="000000"/>
                <w:sz w:val="24"/>
              </w:rPr>
              <w:t>发起份额承诺持有期限</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rPr>
                <w:color w:val="000000"/>
                <w:sz w:val="24"/>
              </w:rPr>
            </w:pPr>
            <w:r w:rsidRPr="00FA472B">
              <w:rPr>
                <w:color w:val="000000"/>
                <w:sz w:val="24"/>
              </w:rPr>
              <w:t>基金管理人固有资金</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10,000,000.00</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0.7221%</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10,000,000.00</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0.7221%</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不少于</w:t>
            </w:r>
            <w:r w:rsidRPr="00FA472B">
              <w:rPr>
                <w:kern w:val="0"/>
                <w:sz w:val="24"/>
              </w:rPr>
              <w:t>3</w:t>
            </w:r>
            <w:r w:rsidRPr="00FA472B">
              <w:rPr>
                <w:kern w:val="0"/>
                <w:sz w:val="24"/>
              </w:rPr>
              <w:t>年</w:t>
            </w:r>
          </w:p>
        </w:tc>
      </w:tr>
      <w:tr w:rsidR="00F016DD" w:rsidRPr="0078105B" w:rsidTr="009D0312">
        <w:trPr>
          <w:trHeight w:val="790"/>
          <w:jc w:val="center"/>
        </w:trPr>
        <w:tc>
          <w:tcPr>
            <w:tcW w:w="1448" w:type="dxa"/>
          </w:tcPr>
          <w:p w:rsidR="00F016DD" w:rsidRPr="00FA472B" w:rsidRDefault="00F016DD" w:rsidP="00973B57">
            <w:pPr>
              <w:adjustRightInd w:val="0"/>
              <w:snapToGrid w:val="0"/>
              <w:spacing w:line="360" w:lineRule="exact"/>
              <w:rPr>
                <w:color w:val="000000"/>
                <w:sz w:val="24"/>
              </w:rPr>
            </w:pPr>
            <w:r w:rsidRPr="00FA472B">
              <w:rPr>
                <w:color w:val="000000"/>
                <w:sz w:val="24"/>
              </w:rPr>
              <w:t>基金管理人高级管理人员</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基金经理等人员</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基金管理人股东</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其他</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合计</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10,000,000.00</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0.7221%</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10,000,000.00</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0.7221%</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931752" w:rsidRDefault="00546784">
      <w:pPr>
        <w:spacing w:line="360" w:lineRule="auto"/>
        <w:ind w:firstLineChars="200" w:firstLine="480"/>
        <w:rPr>
          <w:color w:val="000000"/>
          <w:sz w:val="24"/>
        </w:rPr>
      </w:pPr>
      <w:r>
        <w:rPr>
          <w:color w:val="000000"/>
          <w:sz w:val="24"/>
        </w:rPr>
        <w:t>1.</w:t>
      </w:r>
      <w:r>
        <w:rPr>
          <w:color w:val="000000"/>
          <w:sz w:val="24"/>
        </w:rPr>
        <w:t>中国证监会准予易方达年年恒夏纯债一年定期开放债券型发起式证券投资基金注册的文件；</w:t>
      </w:r>
    </w:p>
    <w:p w:rsidR="00931752" w:rsidRDefault="00546784">
      <w:pPr>
        <w:spacing w:line="360" w:lineRule="auto"/>
        <w:ind w:firstLineChars="200" w:firstLine="480"/>
        <w:rPr>
          <w:color w:val="000000"/>
          <w:sz w:val="24"/>
        </w:rPr>
      </w:pPr>
      <w:r>
        <w:rPr>
          <w:color w:val="000000"/>
          <w:sz w:val="24"/>
        </w:rPr>
        <w:t>2.</w:t>
      </w:r>
      <w:r>
        <w:rPr>
          <w:color w:val="000000"/>
          <w:sz w:val="24"/>
        </w:rPr>
        <w:t>《易方达年年恒夏纯债一年定期开放债券型发起式证券投资基金基金合同》；</w:t>
      </w:r>
    </w:p>
    <w:p w:rsidR="00931752" w:rsidRDefault="00546784">
      <w:pPr>
        <w:spacing w:line="360" w:lineRule="auto"/>
        <w:ind w:firstLineChars="200" w:firstLine="480"/>
        <w:rPr>
          <w:color w:val="000000"/>
          <w:sz w:val="24"/>
        </w:rPr>
      </w:pPr>
      <w:r>
        <w:rPr>
          <w:color w:val="000000"/>
          <w:sz w:val="24"/>
        </w:rPr>
        <w:t>3.</w:t>
      </w:r>
      <w:r>
        <w:rPr>
          <w:color w:val="000000"/>
          <w:sz w:val="24"/>
        </w:rPr>
        <w:t>《易方达年年恒夏纯债一年定期开放债券型发起式证券投资基金托管协议》；</w:t>
      </w:r>
    </w:p>
    <w:p w:rsidR="00931752" w:rsidRDefault="00546784">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546784">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546784">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546784">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易方达年年恒夏纯债一年定期开放债券型发起式证券投资基金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6784"/>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1752"/>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F1E221A-2A93-43E5-8122-53711EEE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1172</Words>
  <Characters>6683</Characters>
  <Application>Microsoft Office Word</Application>
  <DocSecurity>0</DocSecurity>
  <Lines>55</Lines>
  <Paragraphs>15</Paragraphs>
  <ScaleCrop>false</ScaleCrop>
  <Company>TRT. Ltd. Co.</Company>
  <LinksUpToDate>false</LinksUpToDate>
  <CharactersWithSpaces>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