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bookmarkStart w:id="0" w:name="_GoBack"/>
      <w:bookmarkEnd w:id="0"/>
    </w:p>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397616" w:rsidRPr="008277FF" w:rsidRDefault="00397616" w:rsidP="00397616">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F22F00" w:rsidRPr="008277FF" w:rsidRDefault="00F22F00" w:rsidP="00F22F00">
      <w:pPr>
        <w:autoSpaceDE w:val="0"/>
        <w:autoSpaceDN w:val="0"/>
        <w:adjustRightInd w:val="0"/>
        <w:spacing w:line="360" w:lineRule="auto"/>
        <w:jc w:val="left"/>
        <w:rPr>
          <w:rFonts w:asciiTheme="minorEastAsia" w:eastAsiaTheme="minorEastAsia" w:hAnsiTheme="minorEastAsia" w:cs="Arial"/>
          <w:color w:val="000000" w:themeColor="text1"/>
          <w:kern w:val="0"/>
          <w:sz w:val="24"/>
        </w:rPr>
      </w:pPr>
    </w:p>
    <w:p w:rsidR="00F22F00" w:rsidRPr="008277FF" w:rsidRDefault="00F22F00" w:rsidP="00506D57">
      <w:pPr>
        <w:spacing w:line="360" w:lineRule="auto"/>
        <w:jc w:val="center"/>
        <w:rPr>
          <w:rFonts w:asciiTheme="minorEastAsia" w:eastAsiaTheme="minorEastAsia" w:hAnsiTheme="minorEastAsia"/>
          <w:b/>
          <w:color w:val="000000" w:themeColor="text1"/>
          <w:sz w:val="36"/>
          <w:szCs w:val="36"/>
        </w:rPr>
      </w:pPr>
      <w:r w:rsidRPr="008277FF">
        <w:rPr>
          <w:rFonts w:asciiTheme="minorEastAsia" w:eastAsiaTheme="minorEastAsia" w:hAnsiTheme="minorEastAsia" w:hint="eastAsia"/>
          <w:b/>
          <w:color w:val="000000" w:themeColor="text1"/>
          <w:sz w:val="36"/>
          <w:szCs w:val="36"/>
        </w:rPr>
        <w:t>易方达中短期美元债债券型证券投资基金（QDII）</w:t>
      </w:r>
    </w:p>
    <w:p w:rsidR="00F22F00" w:rsidRPr="008277FF" w:rsidRDefault="00F22F00" w:rsidP="00506D57">
      <w:pPr>
        <w:spacing w:line="360" w:lineRule="auto"/>
        <w:jc w:val="center"/>
        <w:rPr>
          <w:rFonts w:asciiTheme="minorEastAsia" w:eastAsiaTheme="minorEastAsia" w:hAnsiTheme="minorEastAsia"/>
          <w:b/>
          <w:color w:val="000000" w:themeColor="text1"/>
          <w:sz w:val="36"/>
          <w:szCs w:val="36"/>
        </w:rPr>
      </w:pPr>
      <w:r w:rsidRPr="008277FF">
        <w:rPr>
          <w:rFonts w:asciiTheme="minorEastAsia" w:eastAsiaTheme="minorEastAsia" w:hAnsiTheme="minorEastAsia" w:hint="eastAsia"/>
          <w:b/>
          <w:color w:val="000000" w:themeColor="text1"/>
          <w:sz w:val="36"/>
          <w:szCs w:val="36"/>
        </w:rPr>
        <w:t>2019年第3季度报告</w:t>
      </w:r>
    </w:p>
    <w:p w:rsidR="00397616" w:rsidRPr="008277FF" w:rsidRDefault="00623556" w:rsidP="00506D57">
      <w:pPr>
        <w:spacing w:line="360" w:lineRule="auto"/>
        <w:jc w:val="center"/>
        <w:rPr>
          <w:rFonts w:asciiTheme="minorEastAsia" w:eastAsiaTheme="minorEastAsia" w:hAnsiTheme="minorEastAsia"/>
          <w:b/>
          <w:color w:val="000000" w:themeColor="text1"/>
          <w:sz w:val="24"/>
        </w:rPr>
      </w:pPr>
      <w:r w:rsidRPr="008277FF">
        <w:rPr>
          <w:rFonts w:asciiTheme="minorEastAsia" w:eastAsiaTheme="minorEastAsia" w:hAnsiTheme="minorEastAsia"/>
          <w:b/>
          <w:color w:val="000000" w:themeColor="text1"/>
          <w:sz w:val="24"/>
        </w:rPr>
        <w:t>2019年9月30日</w:t>
      </w: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397616">
      <w:pPr>
        <w:spacing w:line="360" w:lineRule="auto"/>
        <w:jc w:val="center"/>
        <w:rPr>
          <w:rFonts w:asciiTheme="minorEastAsia" w:eastAsiaTheme="minorEastAsia" w:hAnsiTheme="minorEastAsia"/>
          <w:b/>
          <w:color w:val="000000" w:themeColor="text1"/>
          <w:sz w:val="24"/>
        </w:rPr>
      </w:pPr>
    </w:p>
    <w:p w:rsidR="00397616" w:rsidRPr="008277FF" w:rsidRDefault="00397616" w:rsidP="00826B12">
      <w:pPr>
        <w:spacing w:line="288" w:lineRule="auto"/>
        <w:ind w:firstLineChars="900" w:firstLine="2168"/>
        <w:rPr>
          <w:rFonts w:asciiTheme="minorEastAsia" w:eastAsiaTheme="minorEastAsia" w:hAnsiTheme="minorEastAsia"/>
          <w:b/>
          <w:color w:val="000000" w:themeColor="text1"/>
          <w:sz w:val="24"/>
        </w:rPr>
      </w:pP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pPr>
      <w:r w:rsidRPr="008277FF">
        <w:rPr>
          <w:rFonts w:asciiTheme="minorEastAsia" w:eastAsiaTheme="minorEastAsia" w:hAnsiTheme="minorEastAsia" w:hint="eastAsia"/>
          <w:b/>
          <w:color w:val="000000" w:themeColor="text1"/>
          <w:sz w:val="24"/>
        </w:rPr>
        <w:t>基金管理人：</w:t>
      </w:r>
      <w:r w:rsidRPr="008277FF">
        <w:rPr>
          <w:rFonts w:asciiTheme="minorEastAsia" w:eastAsiaTheme="minorEastAsia" w:hAnsiTheme="minorEastAsia"/>
          <w:b/>
          <w:color w:val="000000" w:themeColor="text1"/>
          <w:sz w:val="24"/>
        </w:rPr>
        <w:t>易方达基金管理有限公司</w:t>
      </w: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pPr>
      <w:r w:rsidRPr="008277FF">
        <w:rPr>
          <w:rFonts w:asciiTheme="minorEastAsia" w:eastAsiaTheme="minorEastAsia" w:hAnsiTheme="minorEastAsia" w:hint="eastAsia"/>
          <w:b/>
          <w:color w:val="000000" w:themeColor="text1"/>
          <w:sz w:val="24"/>
        </w:rPr>
        <w:t>基金托管人：</w:t>
      </w:r>
      <w:r w:rsidRPr="008277FF">
        <w:rPr>
          <w:rFonts w:asciiTheme="minorEastAsia" w:eastAsiaTheme="minorEastAsia" w:hAnsiTheme="minorEastAsia"/>
          <w:b/>
          <w:color w:val="000000" w:themeColor="text1"/>
          <w:sz w:val="24"/>
        </w:rPr>
        <w:t>招商银行股份有限公司</w:t>
      </w:r>
    </w:p>
    <w:p w:rsidR="007D1292" w:rsidRPr="008277FF" w:rsidRDefault="007D1292" w:rsidP="00506D57">
      <w:pPr>
        <w:spacing w:line="360" w:lineRule="auto"/>
        <w:ind w:firstLineChars="900" w:firstLine="2168"/>
        <w:rPr>
          <w:rFonts w:asciiTheme="minorEastAsia" w:eastAsiaTheme="minorEastAsia" w:hAnsiTheme="minorEastAsia"/>
          <w:b/>
          <w:color w:val="000000" w:themeColor="text1"/>
          <w:sz w:val="24"/>
        </w:rPr>
        <w:sectPr w:rsidR="007D1292" w:rsidRPr="008277FF" w:rsidSect="00B918B8">
          <w:headerReference w:type="default" r:id="rId7"/>
          <w:footerReference w:type="default" r:id="rId8"/>
          <w:pgSz w:w="11926" w:h="15840"/>
          <w:pgMar w:top="1418" w:right="1418" w:bottom="851" w:left="1418" w:header="851" w:footer="992" w:gutter="0"/>
          <w:cols w:space="720"/>
          <w:noEndnote/>
        </w:sectPr>
      </w:pPr>
      <w:r w:rsidRPr="008277FF">
        <w:rPr>
          <w:rFonts w:asciiTheme="minorEastAsia" w:eastAsiaTheme="minorEastAsia" w:hAnsiTheme="minorEastAsia" w:hint="eastAsia"/>
          <w:b/>
          <w:color w:val="000000" w:themeColor="text1"/>
          <w:sz w:val="24"/>
        </w:rPr>
        <w:t>报告送出日期：</w:t>
      </w:r>
      <w:r w:rsidR="00CB44DE" w:rsidRPr="008277FF">
        <w:rPr>
          <w:rFonts w:asciiTheme="minorEastAsia" w:eastAsiaTheme="minorEastAsia" w:hAnsiTheme="minorEastAsia"/>
          <w:b/>
          <w:color w:val="000000" w:themeColor="text1"/>
          <w:sz w:val="24"/>
        </w:rPr>
        <w:t>二〇一九年十月二十四日</w:t>
      </w:r>
    </w:p>
    <w:p w:rsidR="0076518F" w:rsidRPr="00A67563" w:rsidRDefault="0076518F" w:rsidP="00775284">
      <w:pPr>
        <w:pStyle w:val="1"/>
        <w:spacing w:beforeLines="100" w:before="312" w:afterLines="100" w:after="312" w:line="360" w:lineRule="auto"/>
        <w:jc w:val="center"/>
        <w:rPr>
          <w:b w:val="0"/>
          <w:color w:val="000000" w:themeColor="text1"/>
          <w:kern w:val="0"/>
          <w:sz w:val="24"/>
          <w:szCs w:val="24"/>
        </w:rPr>
      </w:pPr>
      <w:r w:rsidRPr="00A67563">
        <w:rPr>
          <w:color w:val="000000" w:themeColor="text1"/>
          <w:kern w:val="0"/>
          <w:sz w:val="24"/>
          <w:szCs w:val="24"/>
        </w:rPr>
        <w:lastRenderedPageBreak/>
        <w:t xml:space="preserve">§1  </w:t>
      </w:r>
      <w:r w:rsidRPr="00A67563">
        <w:rPr>
          <w:color w:val="000000" w:themeColor="text1"/>
          <w:kern w:val="0"/>
          <w:sz w:val="24"/>
          <w:szCs w:val="24"/>
        </w:rPr>
        <w:t>重要提示</w:t>
      </w:r>
    </w:p>
    <w:p w:rsidR="00F00A26" w:rsidRDefault="002A0141">
      <w:pPr>
        <w:spacing w:line="360" w:lineRule="auto"/>
        <w:ind w:firstLineChars="200" w:firstLine="480"/>
        <w:rPr>
          <w:color w:val="000000" w:themeColor="text1"/>
          <w:sz w:val="24"/>
        </w:rPr>
      </w:pPr>
      <w:r>
        <w:rPr>
          <w:color w:val="000000" w:themeColor="text1"/>
          <w:sz w:val="24"/>
        </w:rPr>
        <w:t>基金管理人的董事会及董事保证本报告所载资料不存在虚假记载、误导性陈述或重大遗漏，并对其内容的真实性、准确性和完整性承担个别及连带责任。</w:t>
      </w:r>
      <w:r>
        <w:rPr>
          <w:color w:val="000000" w:themeColor="text1"/>
          <w:sz w:val="24"/>
        </w:rPr>
        <w:t xml:space="preserve"> </w:t>
      </w:r>
    </w:p>
    <w:p w:rsidR="00F00A26" w:rsidRDefault="002A0141">
      <w:pPr>
        <w:spacing w:line="360" w:lineRule="auto"/>
        <w:ind w:firstLineChars="200" w:firstLine="480"/>
        <w:rPr>
          <w:color w:val="000000" w:themeColor="text1"/>
          <w:sz w:val="24"/>
        </w:rPr>
      </w:pPr>
      <w:r>
        <w:rPr>
          <w:color w:val="000000" w:themeColor="text1"/>
          <w:sz w:val="24"/>
        </w:rPr>
        <w:t>基金托管人招商银行股份有限公司根据本基金合同规定，于</w:t>
      </w:r>
      <w:r>
        <w:rPr>
          <w:color w:val="000000" w:themeColor="text1"/>
          <w:sz w:val="24"/>
        </w:rPr>
        <w:t>2019</w:t>
      </w:r>
      <w:r>
        <w:rPr>
          <w:color w:val="000000" w:themeColor="text1"/>
          <w:sz w:val="24"/>
        </w:rPr>
        <w:t>年</w:t>
      </w:r>
      <w:r>
        <w:rPr>
          <w:color w:val="000000" w:themeColor="text1"/>
          <w:sz w:val="24"/>
        </w:rPr>
        <w:t>10</w:t>
      </w:r>
      <w:r>
        <w:rPr>
          <w:color w:val="000000" w:themeColor="text1"/>
          <w:sz w:val="24"/>
        </w:rPr>
        <w:t>月</w:t>
      </w:r>
      <w:r>
        <w:rPr>
          <w:color w:val="000000" w:themeColor="text1"/>
          <w:sz w:val="24"/>
        </w:rPr>
        <w:t>22</w:t>
      </w:r>
      <w:r>
        <w:rPr>
          <w:color w:val="000000" w:themeColor="text1"/>
          <w:sz w:val="24"/>
        </w:rPr>
        <w:t>日复核了本报告中的财务指标、净值表现和投资组合报告等内容，保证复核内容不存在虚假记载、误导性陈述或者重大遗漏。</w:t>
      </w:r>
      <w:r>
        <w:rPr>
          <w:color w:val="000000" w:themeColor="text1"/>
          <w:sz w:val="24"/>
        </w:rPr>
        <w:t xml:space="preserve"> </w:t>
      </w:r>
    </w:p>
    <w:p w:rsidR="00F00A26" w:rsidRDefault="002A0141">
      <w:pPr>
        <w:spacing w:line="360" w:lineRule="auto"/>
        <w:ind w:firstLineChars="200" w:firstLine="480"/>
        <w:rPr>
          <w:color w:val="000000" w:themeColor="text1"/>
          <w:sz w:val="24"/>
        </w:rPr>
      </w:pPr>
      <w:r>
        <w:rPr>
          <w:color w:val="000000" w:themeColor="text1"/>
          <w:sz w:val="24"/>
        </w:rPr>
        <w:t>基金管理人承诺以诚实信用、勤勉尽责的原则管理和运用基金资产，但不保证基金一定盈利。</w:t>
      </w:r>
      <w:r>
        <w:rPr>
          <w:color w:val="000000" w:themeColor="text1"/>
          <w:sz w:val="24"/>
        </w:rPr>
        <w:t xml:space="preserve"> </w:t>
      </w:r>
    </w:p>
    <w:p w:rsidR="00F00A26" w:rsidRDefault="002A0141">
      <w:pPr>
        <w:spacing w:line="360" w:lineRule="auto"/>
        <w:ind w:firstLineChars="200" w:firstLine="480"/>
        <w:rPr>
          <w:color w:val="000000" w:themeColor="text1"/>
          <w:sz w:val="24"/>
        </w:rPr>
      </w:pPr>
      <w:r>
        <w:rPr>
          <w:color w:val="000000" w:themeColor="text1"/>
          <w:sz w:val="24"/>
        </w:rPr>
        <w:t>基金</w:t>
      </w:r>
      <w:r>
        <w:rPr>
          <w:color w:val="000000" w:themeColor="text1"/>
          <w:sz w:val="24"/>
        </w:rPr>
        <w:t>的过往业绩并不代表其未来表现。投资有风险，投资者在作出投资决策前应仔细阅读本基金的招募说明书。</w:t>
      </w:r>
      <w:r>
        <w:rPr>
          <w:color w:val="000000" w:themeColor="text1"/>
          <w:sz w:val="24"/>
        </w:rPr>
        <w:t xml:space="preserve"> </w:t>
      </w:r>
    </w:p>
    <w:p w:rsidR="00F00A26" w:rsidRDefault="002A0141">
      <w:pPr>
        <w:spacing w:line="360" w:lineRule="auto"/>
        <w:ind w:firstLineChars="200" w:firstLine="480"/>
        <w:rPr>
          <w:color w:val="000000" w:themeColor="text1"/>
          <w:sz w:val="24"/>
        </w:rPr>
      </w:pPr>
      <w:r>
        <w:rPr>
          <w:color w:val="000000" w:themeColor="text1"/>
          <w:sz w:val="24"/>
        </w:rPr>
        <w:t>本报告中财务资料未经审计。</w:t>
      </w:r>
    </w:p>
    <w:p w:rsidR="007D1292" w:rsidRPr="00A67563" w:rsidRDefault="007D1292" w:rsidP="006669C9">
      <w:pPr>
        <w:spacing w:line="360" w:lineRule="auto"/>
        <w:ind w:firstLineChars="200" w:firstLine="480"/>
        <w:rPr>
          <w:color w:val="000000" w:themeColor="text1"/>
          <w:sz w:val="24"/>
        </w:rPr>
      </w:pPr>
      <w:r w:rsidRPr="00A67563">
        <w:rPr>
          <w:color w:val="000000" w:themeColor="text1"/>
          <w:sz w:val="24"/>
        </w:rPr>
        <w:t>本报告期自</w:t>
      </w:r>
      <w:r w:rsidRPr="00A67563">
        <w:rPr>
          <w:color w:val="000000" w:themeColor="text1"/>
          <w:sz w:val="24"/>
        </w:rPr>
        <w:t>2019</w:t>
      </w:r>
      <w:r w:rsidRPr="00A67563">
        <w:rPr>
          <w:color w:val="000000" w:themeColor="text1"/>
          <w:sz w:val="24"/>
        </w:rPr>
        <w:t>年</w:t>
      </w:r>
      <w:r w:rsidRPr="00A67563">
        <w:rPr>
          <w:color w:val="000000" w:themeColor="text1"/>
          <w:sz w:val="24"/>
        </w:rPr>
        <w:t>7</w:t>
      </w:r>
      <w:r w:rsidRPr="00A67563">
        <w:rPr>
          <w:color w:val="000000" w:themeColor="text1"/>
          <w:sz w:val="24"/>
        </w:rPr>
        <w:t>月</w:t>
      </w:r>
      <w:r w:rsidRPr="00A67563">
        <w:rPr>
          <w:color w:val="000000" w:themeColor="text1"/>
          <w:sz w:val="24"/>
        </w:rPr>
        <w:t>1</w:t>
      </w:r>
      <w:r w:rsidRPr="00A67563">
        <w:rPr>
          <w:color w:val="000000" w:themeColor="text1"/>
          <w:sz w:val="24"/>
        </w:rPr>
        <w:t>日起至</w:t>
      </w:r>
      <w:r w:rsidRPr="00A67563">
        <w:rPr>
          <w:color w:val="000000" w:themeColor="text1"/>
          <w:sz w:val="24"/>
        </w:rPr>
        <w:t>9</w:t>
      </w:r>
      <w:r w:rsidRPr="00A67563">
        <w:rPr>
          <w:color w:val="000000" w:themeColor="text1"/>
          <w:sz w:val="24"/>
        </w:rPr>
        <w:t>月</w:t>
      </w:r>
      <w:r w:rsidRPr="00A67563">
        <w:rPr>
          <w:color w:val="000000" w:themeColor="text1"/>
          <w:sz w:val="24"/>
        </w:rPr>
        <w:t>30</w:t>
      </w:r>
      <w:r w:rsidRPr="00A67563">
        <w:rPr>
          <w:color w:val="000000" w:themeColor="text1"/>
          <w:sz w:val="24"/>
        </w:rPr>
        <w:t>日止。</w:t>
      </w:r>
    </w:p>
    <w:p w:rsidR="0076518F" w:rsidRPr="00A67563" w:rsidRDefault="0076518F" w:rsidP="00775284">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§2  </w:t>
      </w:r>
      <w:r w:rsidRPr="00A67563">
        <w:rPr>
          <w:color w:val="000000" w:themeColor="text1"/>
          <w:kern w:val="0"/>
          <w:sz w:val="24"/>
          <w:szCs w:val="24"/>
        </w:rPr>
        <w:t>基金产品概况</w:t>
      </w:r>
    </w:p>
    <w:tbl>
      <w:tblPr>
        <w:tblW w:w="84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80"/>
        <w:gridCol w:w="2780"/>
        <w:gridCol w:w="2663"/>
      </w:tblGrid>
      <w:tr w:rsidR="008277FF" w:rsidRPr="00A67563" w:rsidTr="003376D5">
        <w:tc>
          <w:tcPr>
            <w:tcW w:w="2980" w:type="dxa"/>
            <w:vAlign w:val="center"/>
          </w:tcPr>
          <w:p w:rsidR="00363E15" w:rsidRPr="00A67563" w:rsidRDefault="00363E15" w:rsidP="003376D5">
            <w:pPr>
              <w:adjustRightInd w:val="0"/>
              <w:spacing w:before="29" w:line="360" w:lineRule="auto"/>
              <w:ind w:left="17"/>
              <w:rPr>
                <w:color w:val="000000" w:themeColor="text1"/>
                <w:kern w:val="0"/>
                <w:sz w:val="24"/>
              </w:rPr>
            </w:pPr>
            <w:r w:rsidRPr="00A67563">
              <w:rPr>
                <w:color w:val="000000" w:themeColor="text1"/>
                <w:kern w:val="0"/>
                <w:sz w:val="24"/>
              </w:rPr>
              <w:t>基金简称</w:t>
            </w:r>
          </w:p>
        </w:tc>
        <w:tc>
          <w:tcPr>
            <w:tcW w:w="5443" w:type="dxa"/>
            <w:gridSpan w:val="2"/>
            <w:vAlign w:val="center"/>
          </w:tcPr>
          <w:p w:rsidR="00363E15" w:rsidRPr="00A67563" w:rsidRDefault="00363E15" w:rsidP="003376D5">
            <w:pPr>
              <w:adjustRightInd w:val="0"/>
              <w:spacing w:before="29" w:line="360" w:lineRule="auto"/>
              <w:ind w:left="17"/>
              <w:rPr>
                <w:color w:val="000000" w:themeColor="text1"/>
                <w:kern w:val="0"/>
                <w:sz w:val="24"/>
              </w:rPr>
            </w:pPr>
            <w:r w:rsidRPr="00A67563">
              <w:rPr>
                <w:color w:val="000000" w:themeColor="text1"/>
                <w:kern w:val="0"/>
                <w:sz w:val="24"/>
              </w:rPr>
              <w:t>易方达中短期美元债债券（</w:t>
            </w:r>
            <w:r w:rsidRPr="00A67563">
              <w:rPr>
                <w:color w:val="000000" w:themeColor="text1"/>
                <w:kern w:val="0"/>
                <w:sz w:val="24"/>
              </w:rPr>
              <w:t>QDII</w:t>
            </w:r>
            <w:r w:rsidRPr="00A67563">
              <w:rPr>
                <w:color w:val="000000" w:themeColor="text1"/>
                <w:kern w:val="0"/>
                <w:sz w:val="24"/>
              </w:rPr>
              <w:t>）</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基金主代码</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007360</w:t>
            </w:r>
          </w:p>
        </w:tc>
      </w:tr>
      <w:tr w:rsidR="008277FF" w:rsidRPr="00A67563" w:rsidTr="003376D5">
        <w:tc>
          <w:tcPr>
            <w:tcW w:w="2980" w:type="dxa"/>
            <w:vAlign w:val="center"/>
          </w:tcPr>
          <w:p w:rsidR="005837E4" w:rsidRPr="00A67563" w:rsidRDefault="005837E4" w:rsidP="003376D5">
            <w:pPr>
              <w:adjustRightInd w:val="0"/>
              <w:spacing w:before="29" w:line="360" w:lineRule="auto"/>
              <w:ind w:left="17"/>
              <w:rPr>
                <w:color w:val="000000" w:themeColor="text1"/>
                <w:kern w:val="0"/>
                <w:sz w:val="24"/>
              </w:rPr>
            </w:pPr>
            <w:r w:rsidRPr="00A67563">
              <w:rPr>
                <w:color w:val="000000" w:themeColor="text1"/>
                <w:kern w:val="0"/>
                <w:sz w:val="24"/>
              </w:rPr>
              <w:t>交易代码</w:t>
            </w:r>
          </w:p>
        </w:tc>
        <w:tc>
          <w:tcPr>
            <w:tcW w:w="5443" w:type="dxa"/>
            <w:gridSpan w:val="2"/>
            <w:vAlign w:val="center"/>
          </w:tcPr>
          <w:p w:rsidR="005837E4" w:rsidRPr="00A67563" w:rsidRDefault="005837E4" w:rsidP="003376D5">
            <w:pPr>
              <w:adjustRightInd w:val="0"/>
              <w:spacing w:before="29" w:line="360" w:lineRule="auto"/>
              <w:ind w:left="17"/>
              <w:rPr>
                <w:color w:val="000000" w:themeColor="text1"/>
                <w:kern w:val="0"/>
                <w:sz w:val="24"/>
              </w:rPr>
            </w:pPr>
            <w:r w:rsidRPr="00A67563">
              <w:rPr>
                <w:color w:val="000000" w:themeColor="text1"/>
                <w:kern w:val="0"/>
                <w:sz w:val="24"/>
              </w:rPr>
              <w:t>007360</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基金运作方式</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契约型开放式</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基金合同生效日</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kern w:val="0"/>
                <w:sz w:val="24"/>
              </w:rPr>
            </w:pPr>
            <w:r w:rsidRPr="00A67563">
              <w:rPr>
                <w:color w:val="000000" w:themeColor="text1"/>
                <w:kern w:val="0"/>
                <w:sz w:val="24"/>
              </w:rPr>
              <w:t>2019</w:t>
            </w:r>
            <w:r w:rsidRPr="00A67563">
              <w:rPr>
                <w:color w:val="000000" w:themeColor="text1"/>
                <w:kern w:val="0"/>
                <w:sz w:val="24"/>
              </w:rPr>
              <w:t>年</w:t>
            </w:r>
            <w:r w:rsidRPr="00A67563">
              <w:rPr>
                <w:color w:val="000000" w:themeColor="text1"/>
                <w:kern w:val="0"/>
                <w:sz w:val="24"/>
              </w:rPr>
              <w:t>6</w:t>
            </w:r>
            <w:r w:rsidRPr="00A67563">
              <w:rPr>
                <w:color w:val="000000" w:themeColor="text1"/>
                <w:kern w:val="0"/>
                <w:sz w:val="24"/>
              </w:rPr>
              <w:t>月</w:t>
            </w:r>
            <w:r w:rsidRPr="00A67563">
              <w:rPr>
                <w:color w:val="000000" w:themeColor="text1"/>
                <w:kern w:val="0"/>
                <w:sz w:val="24"/>
              </w:rPr>
              <w:t>5</w:t>
            </w:r>
            <w:r w:rsidRPr="00A67563">
              <w:rPr>
                <w:color w:val="000000" w:themeColor="text1"/>
                <w:kern w:val="0"/>
                <w:sz w:val="24"/>
              </w:rPr>
              <w:t>日</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报告期末基金份额总额</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631,112,971.02</w:t>
            </w:r>
            <w:r w:rsidRPr="00A67563">
              <w:rPr>
                <w:color w:val="000000" w:themeColor="text1"/>
                <w:kern w:val="0"/>
                <w:sz w:val="24"/>
              </w:rPr>
              <w:t>份</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投资目标</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本基金主要投资中短期美元债券，在严格控制风险和保持较高流动性的基础上，力求获得超越业绩比较基准的投资回报。</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投资策略</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本基金基于对宏观形势和信用主体的深入研究，有选择地在国别与地域间灵活配置，通过久期策略、期限结构策略、个券精选策略进行债券配置，并根据其他固收资产的相对价值，在投资范围允许的范</w:t>
            </w:r>
            <w:r w:rsidRPr="00A67563">
              <w:rPr>
                <w:color w:val="000000" w:themeColor="text1"/>
                <w:kern w:val="0"/>
                <w:sz w:val="24"/>
              </w:rPr>
              <w:lastRenderedPageBreak/>
              <w:t>围内，对存款、存单、基金、资产支持证券及衍生品间进行固收资产的配置。</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lastRenderedPageBreak/>
              <w:t>业绩比较基准</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摩根大通</w:t>
            </w:r>
            <w:r w:rsidRPr="00A67563">
              <w:rPr>
                <w:color w:val="000000" w:themeColor="text1"/>
                <w:kern w:val="0"/>
                <w:sz w:val="24"/>
              </w:rPr>
              <w:t>1-3</w:t>
            </w:r>
            <w:r w:rsidRPr="00A67563">
              <w:rPr>
                <w:color w:val="000000" w:themeColor="text1"/>
                <w:kern w:val="0"/>
                <w:sz w:val="24"/>
              </w:rPr>
              <w:t>年全球投资级美元债总回报指数（</w:t>
            </w:r>
            <w:r w:rsidRPr="00A67563">
              <w:rPr>
                <w:color w:val="000000" w:themeColor="text1"/>
                <w:kern w:val="0"/>
                <w:sz w:val="24"/>
              </w:rPr>
              <w:t xml:space="preserve">J.P. Morgan Global Aggregate US IG 1-3 Total Return Index </w:t>
            </w:r>
            <w:r w:rsidRPr="00A67563">
              <w:rPr>
                <w:color w:val="000000" w:themeColor="text1"/>
                <w:kern w:val="0"/>
                <w:sz w:val="24"/>
              </w:rPr>
              <w:t>）（按照估值汇率折算）收益率</w:t>
            </w:r>
            <w:r w:rsidRPr="00A67563">
              <w:rPr>
                <w:color w:val="000000" w:themeColor="text1"/>
                <w:kern w:val="0"/>
                <w:sz w:val="24"/>
              </w:rPr>
              <w:t>×90%+</w:t>
            </w:r>
            <w:r w:rsidRPr="00A67563">
              <w:rPr>
                <w:color w:val="000000" w:themeColor="text1"/>
                <w:kern w:val="0"/>
                <w:sz w:val="24"/>
              </w:rPr>
              <w:t>人民币活期存款利率（税后）</w:t>
            </w:r>
            <w:r w:rsidRPr="00A67563">
              <w:rPr>
                <w:color w:val="000000" w:themeColor="text1"/>
                <w:kern w:val="0"/>
                <w:sz w:val="24"/>
              </w:rPr>
              <w:t>×10%</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风险收益特征</w:t>
            </w:r>
          </w:p>
        </w:tc>
        <w:tc>
          <w:tcPr>
            <w:tcW w:w="5443" w:type="dxa"/>
            <w:gridSpan w:val="2"/>
            <w:vAlign w:val="center"/>
          </w:tcPr>
          <w:p w:rsidR="00F00A26" w:rsidRDefault="002A0141">
            <w:pPr>
              <w:adjustRightInd w:val="0"/>
              <w:spacing w:before="29" w:line="360" w:lineRule="auto"/>
              <w:ind w:left="17"/>
              <w:rPr>
                <w:color w:val="000000" w:themeColor="text1"/>
                <w:sz w:val="24"/>
              </w:rPr>
            </w:pPr>
            <w:r>
              <w:rPr>
                <w:color w:val="000000" w:themeColor="text1"/>
                <w:kern w:val="0"/>
                <w:sz w:val="24"/>
              </w:rPr>
              <w:t>本基金为债券基金，理论上其预期风险与预期收益水平低于股票基金、混合基金，高于货币市场基金。</w:t>
            </w:r>
          </w:p>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本基金投资境外市场，除了需要承担与境内证券投资基金类似的市场波动风险等一般投资风险之外，本基金还面临汇率风险、国家</w:t>
            </w:r>
            <w:r w:rsidRPr="00A67563">
              <w:rPr>
                <w:color w:val="000000" w:themeColor="text1"/>
                <w:kern w:val="0"/>
                <w:sz w:val="24"/>
              </w:rPr>
              <w:t>/</w:t>
            </w:r>
            <w:r w:rsidRPr="00A67563">
              <w:rPr>
                <w:color w:val="000000" w:themeColor="text1"/>
                <w:kern w:val="0"/>
                <w:sz w:val="24"/>
              </w:rPr>
              <w:t>地区风险等境外投资面临的特有风险。</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基金管理人</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易方达基金管理有限公司</w:t>
            </w:r>
          </w:p>
        </w:tc>
      </w:tr>
      <w:tr w:rsidR="008277FF" w:rsidRPr="00A67563" w:rsidTr="003376D5">
        <w:tc>
          <w:tcPr>
            <w:tcW w:w="2980" w:type="dxa"/>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基金托管人</w:t>
            </w:r>
          </w:p>
        </w:tc>
        <w:tc>
          <w:tcPr>
            <w:tcW w:w="5443" w:type="dxa"/>
            <w:gridSpan w:val="2"/>
            <w:vAlign w:val="center"/>
          </w:tcPr>
          <w:p w:rsidR="0066726C" w:rsidRPr="00A67563" w:rsidRDefault="0066726C" w:rsidP="003376D5">
            <w:pPr>
              <w:adjustRightInd w:val="0"/>
              <w:spacing w:before="29" w:line="360" w:lineRule="auto"/>
              <w:ind w:left="17"/>
              <w:rPr>
                <w:color w:val="000000" w:themeColor="text1"/>
                <w:sz w:val="24"/>
              </w:rPr>
            </w:pPr>
            <w:r w:rsidRPr="00A67563">
              <w:rPr>
                <w:color w:val="000000" w:themeColor="text1"/>
                <w:kern w:val="0"/>
                <w:sz w:val="24"/>
              </w:rPr>
              <w:t>招商银行股份有限公司</w:t>
            </w:r>
          </w:p>
        </w:tc>
      </w:tr>
      <w:tr w:rsidR="007F4CD3" w:rsidRPr="00A67563" w:rsidTr="003376D5">
        <w:tc>
          <w:tcPr>
            <w:tcW w:w="2980" w:type="dxa"/>
            <w:vMerge w:val="restart"/>
            <w:vAlign w:val="center"/>
          </w:tcPr>
          <w:p w:rsidR="007F4CD3" w:rsidRPr="00A67563" w:rsidRDefault="007F4CD3" w:rsidP="007F4CD3">
            <w:pPr>
              <w:adjustRightInd w:val="0"/>
              <w:spacing w:before="29" w:line="360" w:lineRule="auto"/>
              <w:ind w:left="17"/>
              <w:rPr>
                <w:color w:val="000000" w:themeColor="text1"/>
                <w:kern w:val="0"/>
                <w:sz w:val="24"/>
              </w:rPr>
            </w:pPr>
            <w:r w:rsidRPr="00A67563">
              <w:rPr>
                <w:color w:val="000000" w:themeColor="text1"/>
                <w:kern w:val="0"/>
                <w:sz w:val="24"/>
              </w:rPr>
              <w:t>境外投资顾问</w:t>
            </w:r>
          </w:p>
        </w:tc>
        <w:tc>
          <w:tcPr>
            <w:tcW w:w="5443" w:type="dxa"/>
            <w:gridSpan w:val="2"/>
            <w:vAlign w:val="center"/>
          </w:tcPr>
          <w:p w:rsidR="007F4CD3" w:rsidRPr="00A67563" w:rsidRDefault="007F4CD3" w:rsidP="00801249">
            <w:pPr>
              <w:adjustRightInd w:val="0"/>
              <w:spacing w:before="29" w:line="360" w:lineRule="auto"/>
              <w:ind w:left="17"/>
              <w:jc w:val="left"/>
              <w:rPr>
                <w:color w:val="000000" w:themeColor="text1"/>
                <w:kern w:val="0"/>
                <w:sz w:val="24"/>
              </w:rPr>
            </w:pPr>
            <w:r w:rsidRPr="00A67563">
              <w:rPr>
                <w:color w:val="000000" w:themeColor="text1"/>
                <w:kern w:val="0"/>
                <w:sz w:val="24"/>
              </w:rPr>
              <w:t>英文名称</w:t>
            </w:r>
            <w:r w:rsidR="00801249">
              <w:rPr>
                <w:rFonts w:hint="eastAsia"/>
                <w:color w:val="000000" w:themeColor="text1"/>
                <w:kern w:val="0"/>
                <w:sz w:val="24"/>
              </w:rPr>
              <w:t>：</w:t>
            </w:r>
            <w:r w:rsidRPr="00A67563">
              <w:rPr>
                <w:color w:val="000000" w:themeColor="text1"/>
                <w:kern w:val="0"/>
                <w:sz w:val="24"/>
              </w:rPr>
              <w:t>无</w:t>
            </w:r>
          </w:p>
        </w:tc>
      </w:tr>
      <w:tr w:rsidR="007F4CD3" w:rsidRPr="00A67563" w:rsidTr="003376D5">
        <w:tc>
          <w:tcPr>
            <w:tcW w:w="2980" w:type="dxa"/>
            <w:vMerge/>
            <w:vAlign w:val="center"/>
          </w:tcPr>
          <w:p w:rsidR="007F4CD3" w:rsidRPr="00A67563" w:rsidRDefault="007F4CD3" w:rsidP="007F4CD3">
            <w:pPr>
              <w:adjustRightInd w:val="0"/>
              <w:spacing w:before="29" w:line="360" w:lineRule="auto"/>
              <w:ind w:left="17"/>
              <w:rPr>
                <w:color w:val="000000" w:themeColor="text1"/>
                <w:kern w:val="0"/>
                <w:sz w:val="24"/>
              </w:rPr>
            </w:pPr>
          </w:p>
        </w:tc>
        <w:tc>
          <w:tcPr>
            <w:tcW w:w="5443" w:type="dxa"/>
            <w:gridSpan w:val="2"/>
            <w:vAlign w:val="center"/>
          </w:tcPr>
          <w:p w:rsidR="007F4CD3" w:rsidRPr="00A67563" w:rsidRDefault="007F4CD3" w:rsidP="00801249">
            <w:pPr>
              <w:adjustRightInd w:val="0"/>
              <w:spacing w:before="29" w:line="360" w:lineRule="auto"/>
              <w:ind w:left="17"/>
              <w:jc w:val="left"/>
              <w:rPr>
                <w:color w:val="000000" w:themeColor="text1"/>
                <w:kern w:val="0"/>
                <w:sz w:val="24"/>
              </w:rPr>
            </w:pPr>
            <w:r>
              <w:rPr>
                <w:rFonts w:hint="eastAsia"/>
                <w:color w:val="000000" w:themeColor="text1"/>
                <w:kern w:val="0"/>
                <w:sz w:val="24"/>
              </w:rPr>
              <w:t>中文</w:t>
            </w:r>
            <w:r>
              <w:rPr>
                <w:color w:val="000000" w:themeColor="text1"/>
                <w:kern w:val="0"/>
                <w:sz w:val="24"/>
              </w:rPr>
              <w:t>名称</w:t>
            </w:r>
            <w:r>
              <w:rPr>
                <w:rFonts w:hint="eastAsia"/>
                <w:color w:val="000000" w:themeColor="text1"/>
                <w:kern w:val="0"/>
                <w:sz w:val="24"/>
              </w:rPr>
              <w:t>：</w:t>
            </w:r>
            <w:r w:rsidRPr="00A67563">
              <w:rPr>
                <w:color w:val="000000" w:themeColor="text1"/>
                <w:kern w:val="0"/>
                <w:sz w:val="24"/>
              </w:rPr>
              <w:t>无</w:t>
            </w:r>
          </w:p>
        </w:tc>
      </w:tr>
      <w:tr w:rsidR="007F4CD3" w:rsidRPr="00A67563" w:rsidTr="0031104D">
        <w:tc>
          <w:tcPr>
            <w:tcW w:w="2980" w:type="dxa"/>
            <w:vMerge w:val="restart"/>
            <w:vAlign w:val="center"/>
          </w:tcPr>
          <w:p w:rsidR="007F4CD3" w:rsidRPr="00A67563" w:rsidRDefault="007F4CD3" w:rsidP="007F4CD3">
            <w:pPr>
              <w:adjustRightInd w:val="0"/>
              <w:spacing w:before="29" w:line="360" w:lineRule="auto"/>
              <w:ind w:left="17"/>
              <w:rPr>
                <w:color w:val="000000" w:themeColor="text1"/>
                <w:kern w:val="0"/>
                <w:sz w:val="24"/>
              </w:rPr>
            </w:pPr>
            <w:r w:rsidRPr="00A67563">
              <w:rPr>
                <w:color w:val="000000" w:themeColor="text1"/>
                <w:kern w:val="0"/>
                <w:sz w:val="24"/>
              </w:rPr>
              <w:t>境外资产托管人</w:t>
            </w:r>
          </w:p>
        </w:tc>
        <w:tc>
          <w:tcPr>
            <w:tcW w:w="5443" w:type="dxa"/>
            <w:gridSpan w:val="2"/>
            <w:vAlign w:val="center"/>
          </w:tcPr>
          <w:p w:rsidR="007F4CD3" w:rsidRPr="00A67563" w:rsidRDefault="007F4CD3" w:rsidP="00801249">
            <w:pPr>
              <w:adjustRightInd w:val="0"/>
              <w:spacing w:before="29" w:line="360" w:lineRule="auto"/>
              <w:ind w:left="17"/>
              <w:jc w:val="left"/>
              <w:rPr>
                <w:color w:val="000000" w:themeColor="text1"/>
                <w:kern w:val="0"/>
                <w:sz w:val="24"/>
              </w:rPr>
            </w:pPr>
            <w:r w:rsidRPr="00A67563">
              <w:rPr>
                <w:color w:val="000000" w:themeColor="text1"/>
                <w:kern w:val="0"/>
                <w:sz w:val="24"/>
              </w:rPr>
              <w:t>英文名称</w:t>
            </w:r>
            <w:r>
              <w:rPr>
                <w:rFonts w:hint="eastAsia"/>
                <w:color w:val="000000" w:themeColor="text1"/>
                <w:kern w:val="0"/>
                <w:sz w:val="24"/>
              </w:rPr>
              <w:t>：</w:t>
            </w:r>
            <w:r w:rsidRPr="00A67563">
              <w:rPr>
                <w:color w:val="000000" w:themeColor="text1"/>
                <w:kern w:val="0"/>
                <w:sz w:val="24"/>
              </w:rPr>
              <w:t>The Hongkong and Shanghai Banking Corporation Limited</w:t>
            </w:r>
          </w:p>
        </w:tc>
      </w:tr>
      <w:tr w:rsidR="007F4CD3" w:rsidRPr="00A67563" w:rsidTr="0031104D">
        <w:tc>
          <w:tcPr>
            <w:tcW w:w="2980" w:type="dxa"/>
            <w:vMerge/>
            <w:vAlign w:val="center"/>
          </w:tcPr>
          <w:p w:rsidR="007F4CD3" w:rsidRPr="00A67563" w:rsidRDefault="007F4CD3" w:rsidP="007F4CD3">
            <w:pPr>
              <w:adjustRightInd w:val="0"/>
              <w:spacing w:before="29" w:line="360" w:lineRule="auto"/>
              <w:ind w:left="17"/>
              <w:rPr>
                <w:color w:val="000000" w:themeColor="text1"/>
                <w:kern w:val="0"/>
                <w:sz w:val="24"/>
              </w:rPr>
            </w:pPr>
          </w:p>
        </w:tc>
        <w:tc>
          <w:tcPr>
            <w:tcW w:w="5443" w:type="dxa"/>
            <w:gridSpan w:val="2"/>
            <w:vAlign w:val="center"/>
          </w:tcPr>
          <w:p w:rsidR="007F4CD3" w:rsidRPr="00A67563" w:rsidRDefault="007F4CD3" w:rsidP="00801249">
            <w:pPr>
              <w:adjustRightInd w:val="0"/>
              <w:spacing w:before="29" w:line="360" w:lineRule="auto"/>
              <w:ind w:left="17"/>
              <w:jc w:val="left"/>
              <w:rPr>
                <w:color w:val="000000" w:themeColor="text1"/>
                <w:kern w:val="0"/>
                <w:sz w:val="24"/>
              </w:rPr>
            </w:pPr>
            <w:r w:rsidRPr="00A67563">
              <w:rPr>
                <w:color w:val="000000" w:themeColor="text1"/>
                <w:kern w:val="0"/>
                <w:sz w:val="24"/>
              </w:rPr>
              <w:t>中文名称</w:t>
            </w:r>
            <w:r>
              <w:rPr>
                <w:rFonts w:hint="eastAsia"/>
                <w:color w:val="000000" w:themeColor="text1"/>
                <w:kern w:val="0"/>
                <w:sz w:val="24"/>
              </w:rPr>
              <w:t>：</w:t>
            </w:r>
            <w:r w:rsidRPr="00A67563">
              <w:rPr>
                <w:color w:val="000000" w:themeColor="text1"/>
                <w:kern w:val="0"/>
                <w:sz w:val="24"/>
              </w:rPr>
              <w:t>香港上海汇丰银行有限公司</w:t>
            </w:r>
          </w:p>
        </w:tc>
      </w:tr>
      <w:tr w:rsidR="00070DD6" w:rsidRPr="00A67563" w:rsidTr="00845292">
        <w:tblPrEx>
          <w:tblLook w:val="0000" w:firstRow="0" w:lastRow="0" w:firstColumn="0" w:lastColumn="0" w:noHBand="0" w:noVBand="0"/>
        </w:tblPrEx>
        <w:trPr>
          <w:trHeight w:val="866"/>
        </w:trPr>
        <w:tc>
          <w:tcPr>
            <w:tcW w:w="2980" w:type="dxa"/>
          </w:tcPr>
          <w:p w:rsidR="00070DD6" w:rsidRPr="00A67563" w:rsidRDefault="00070DD6" w:rsidP="00845292">
            <w:pPr>
              <w:adjustRightInd w:val="0"/>
              <w:spacing w:before="29" w:line="360" w:lineRule="auto"/>
              <w:ind w:left="17"/>
              <w:jc w:val="left"/>
              <w:rPr>
                <w:color w:val="000000" w:themeColor="text1"/>
                <w:kern w:val="0"/>
                <w:sz w:val="24"/>
              </w:rPr>
            </w:pPr>
            <w:r w:rsidRPr="00A67563">
              <w:rPr>
                <w:color w:val="000000" w:themeColor="text1"/>
                <w:sz w:val="24"/>
              </w:rPr>
              <w:t>下属分级基金的基金简称</w:t>
            </w:r>
          </w:p>
        </w:tc>
        <w:tc>
          <w:tcPr>
            <w:tcW w:w="2780" w:type="dxa"/>
            <w:vAlign w:val="center"/>
          </w:tcPr>
          <w:p w:rsidR="00070DD6" w:rsidRPr="00A67563" w:rsidRDefault="00070DD6" w:rsidP="00845292">
            <w:pPr>
              <w:jc w:val="left"/>
              <w:rPr>
                <w:color w:val="000000" w:themeColor="text1"/>
                <w:sz w:val="24"/>
              </w:rPr>
            </w:pPr>
            <w:r w:rsidRPr="00A67563">
              <w:rPr>
                <w:color w:val="000000" w:themeColor="text1"/>
                <w:sz w:val="24"/>
              </w:rPr>
              <w:t>易方达中短期美元债债券（</w:t>
            </w:r>
            <w:r w:rsidRPr="00A67563">
              <w:rPr>
                <w:color w:val="000000" w:themeColor="text1"/>
                <w:sz w:val="24"/>
              </w:rPr>
              <w:t>QDII</w:t>
            </w:r>
            <w:r w:rsidRPr="00A67563">
              <w:rPr>
                <w:color w:val="000000" w:themeColor="text1"/>
                <w:sz w:val="24"/>
              </w:rPr>
              <w:t>）</w:t>
            </w:r>
            <w:r w:rsidRPr="00A67563">
              <w:rPr>
                <w:color w:val="000000" w:themeColor="text1"/>
                <w:sz w:val="24"/>
              </w:rPr>
              <w:t>A</w:t>
            </w:r>
          </w:p>
        </w:tc>
        <w:tc>
          <w:tcPr>
            <w:tcW w:w="2663" w:type="dxa"/>
            <w:vAlign w:val="center"/>
          </w:tcPr>
          <w:p w:rsidR="00070DD6" w:rsidRPr="00A67563" w:rsidRDefault="00070DD6" w:rsidP="00845292">
            <w:pPr>
              <w:jc w:val="left"/>
              <w:rPr>
                <w:color w:val="000000" w:themeColor="text1"/>
                <w:sz w:val="24"/>
              </w:rPr>
            </w:pPr>
            <w:r w:rsidRPr="00A67563">
              <w:rPr>
                <w:color w:val="000000" w:themeColor="text1"/>
                <w:sz w:val="24"/>
              </w:rPr>
              <w:t>易方达中短期美元债债券（</w:t>
            </w:r>
            <w:r w:rsidRPr="00A67563">
              <w:rPr>
                <w:color w:val="000000" w:themeColor="text1"/>
                <w:sz w:val="24"/>
              </w:rPr>
              <w:t>QDII</w:t>
            </w:r>
            <w:r w:rsidRPr="00A67563">
              <w:rPr>
                <w:color w:val="000000" w:themeColor="text1"/>
                <w:sz w:val="24"/>
              </w:rPr>
              <w:t>）</w:t>
            </w:r>
            <w:r w:rsidRPr="00A67563">
              <w:rPr>
                <w:color w:val="000000" w:themeColor="text1"/>
                <w:sz w:val="24"/>
              </w:rPr>
              <w:t>C</w:t>
            </w:r>
          </w:p>
        </w:tc>
      </w:tr>
      <w:tr w:rsidR="00070DD6" w:rsidRPr="00A67563" w:rsidTr="00845292">
        <w:tblPrEx>
          <w:tblLook w:val="0000" w:firstRow="0" w:lastRow="0" w:firstColumn="0" w:lastColumn="0" w:noHBand="0" w:noVBand="0"/>
        </w:tblPrEx>
        <w:trPr>
          <w:trHeight w:val="628"/>
        </w:trPr>
        <w:tc>
          <w:tcPr>
            <w:tcW w:w="2980" w:type="dxa"/>
          </w:tcPr>
          <w:p w:rsidR="00070DD6" w:rsidRPr="00A67563" w:rsidRDefault="00070DD6" w:rsidP="00845292">
            <w:pPr>
              <w:adjustRightInd w:val="0"/>
              <w:spacing w:before="29" w:line="360" w:lineRule="auto"/>
              <w:ind w:left="17"/>
              <w:jc w:val="left"/>
              <w:rPr>
                <w:color w:val="000000" w:themeColor="text1"/>
                <w:sz w:val="24"/>
              </w:rPr>
            </w:pPr>
            <w:r w:rsidRPr="00A67563">
              <w:rPr>
                <w:color w:val="000000" w:themeColor="text1"/>
                <w:sz w:val="24"/>
              </w:rPr>
              <w:t>下属分级基金的交易代码</w:t>
            </w:r>
          </w:p>
        </w:tc>
        <w:tc>
          <w:tcPr>
            <w:tcW w:w="2780" w:type="dxa"/>
            <w:vAlign w:val="center"/>
          </w:tcPr>
          <w:p w:rsidR="00070DD6" w:rsidRPr="00A67563" w:rsidRDefault="00070DD6" w:rsidP="00845292">
            <w:pPr>
              <w:jc w:val="left"/>
              <w:rPr>
                <w:color w:val="000000" w:themeColor="text1"/>
                <w:sz w:val="24"/>
              </w:rPr>
            </w:pPr>
            <w:r w:rsidRPr="00A67563">
              <w:rPr>
                <w:color w:val="000000" w:themeColor="text1"/>
                <w:sz w:val="24"/>
              </w:rPr>
              <w:t>007360</w:t>
            </w:r>
          </w:p>
        </w:tc>
        <w:tc>
          <w:tcPr>
            <w:tcW w:w="2663" w:type="dxa"/>
            <w:vAlign w:val="center"/>
          </w:tcPr>
          <w:p w:rsidR="00070DD6" w:rsidRPr="00A67563" w:rsidRDefault="00070DD6" w:rsidP="00845292">
            <w:pPr>
              <w:jc w:val="left"/>
              <w:rPr>
                <w:color w:val="000000" w:themeColor="text1"/>
                <w:sz w:val="24"/>
              </w:rPr>
            </w:pPr>
            <w:r w:rsidRPr="00A67563">
              <w:rPr>
                <w:color w:val="000000" w:themeColor="text1"/>
                <w:sz w:val="24"/>
              </w:rPr>
              <w:t>007361</w:t>
            </w:r>
          </w:p>
        </w:tc>
      </w:tr>
      <w:tr w:rsidR="00322A5E" w:rsidRPr="00A67563" w:rsidTr="0031104D">
        <w:tblPrEx>
          <w:tblLook w:val="0000" w:firstRow="0" w:lastRow="0" w:firstColumn="0" w:lastColumn="0" w:noHBand="0" w:noVBand="0"/>
        </w:tblPrEx>
        <w:trPr>
          <w:trHeight w:val="555"/>
        </w:trPr>
        <w:tc>
          <w:tcPr>
            <w:tcW w:w="2980" w:type="dxa"/>
            <w:vAlign w:val="center"/>
          </w:tcPr>
          <w:p w:rsidR="00322A5E" w:rsidRPr="00A67563" w:rsidRDefault="00322A5E" w:rsidP="00845292">
            <w:pPr>
              <w:adjustRightInd w:val="0"/>
              <w:spacing w:before="29" w:line="360" w:lineRule="auto"/>
              <w:ind w:left="17"/>
              <w:rPr>
                <w:color w:val="000000" w:themeColor="text1"/>
                <w:sz w:val="24"/>
              </w:rPr>
            </w:pPr>
            <w:r w:rsidRPr="00A67563">
              <w:rPr>
                <w:color w:val="000000" w:themeColor="text1"/>
                <w:sz w:val="24"/>
              </w:rPr>
              <w:t>报告期末下属分级基金的份额总额</w:t>
            </w:r>
          </w:p>
        </w:tc>
        <w:tc>
          <w:tcPr>
            <w:tcW w:w="2780" w:type="dxa"/>
            <w:vAlign w:val="center"/>
          </w:tcPr>
          <w:p w:rsidR="00322A5E" w:rsidRPr="00A67563" w:rsidRDefault="00322A5E" w:rsidP="00845292">
            <w:pPr>
              <w:rPr>
                <w:color w:val="000000" w:themeColor="text1"/>
                <w:sz w:val="24"/>
              </w:rPr>
            </w:pPr>
            <w:r w:rsidRPr="00A67563">
              <w:rPr>
                <w:color w:val="000000" w:themeColor="text1"/>
                <w:sz w:val="24"/>
              </w:rPr>
              <w:t>389,513,798.69</w:t>
            </w:r>
            <w:r w:rsidRPr="00A67563">
              <w:rPr>
                <w:color w:val="000000" w:themeColor="text1"/>
                <w:kern w:val="0"/>
                <w:sz w:val="24"/>
              </w:rPr>
              <w:t>份</w:t>
            </w:r>
          </w:p>
        </w:tc>
        <w:tc>
          <w:tcPr>
            <w:tcW w:w="2663" w:type="dxa"/>
            <w:vAlign w:val="center"/>
          </w:tcPr>
          <w:p w:rsidR="00322A5E" w:rsidRPr="00A67563" w:rsidRDefault="00322A5E" w:rsidP="00845292">
            <w:pPr>
              <w:rPr>
                <w:color w:val="000000" w:themeColor="text1"/>
                <w:sz w:val="24"/>
              </w:rPr>
            </w:pPr>
            <w:r w:rsidRPr="00A67563">
              <w:rPr>
                <w:color w:val="000000" w:themeColor="text1"/>
                <w:sz w:val="24"/>
              </w:rPr>
              <w:t>241,599,172.33</w:t>
            </w:r>
            <w:r w:rsidRPr="00A67563">
              <w:rPr>
                <w:color w:val="000000" w:themeColor="text1"/>
                <w:kern w:val="0"/>
                <w:sz w:val="24"/>
              </w:rPr>
              <w:t>份</w:t>
            </w:r>
          </w:p>
        </w:tc>
      </w:tr>
    </w:tbl>
    <w:p w:rsidR="00363E15" w:rsidRPr="00A67563" w:rsidRDefault="00363E15"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注：易方达中短期美元债债券（</w:t>
      </w:r>
      <w:r w:rsidRPr="00A67563">
        <w:rPr>
          <w:color w:val="000000" w:themeColor="text1"/>
          <w:sz w:val="24"/>
        </w:rPr>
        <w:t>QDII</w:t>
      </w:r>
      <w:r w:rsidRPr="00A67563">
        <w:rPr>
          <w:color w:val="000000" w:themeColor="text1"/>
          <w:sz w:val="24"/>
        </w:rPr>
        <w:t>）</w:t>
      </w:r>
      <w:r w:rsidRPr="00A67563">
        <w:rPr>
          <w:color w:val="000000" w:themeColor="text1"/>
          <w:sz w:val="24"/>
        </w:rPr>
        <w:t>A</w:t>
      </w:r>
      <w:r w:rsidRPr="00A67563">
        <w:rPr>
          <w:color w:val="000000" w:themeColor="text1"/>
          <w:sz w:val="24"/>
        </w:rPr>
        <w:t>含</w:t>
      </w:r>
      <w:r w:rsidRPr="00A67563">
        <w:rPr>
          <w:color w:val="000000" w:themeColor="text1"/>
          <w:sz w:val="24"/>
        </w:rPr>
        <w:t>A</w:t>
      </w:r>
      <w:r w:rsidRPr="00A67563">
        <w:rPr>
          <w:color w:val="000000" w:themeColor="text1"/>
          <w:sz w:val="24"/>
        </w:rPr>
        <w:t>类人民币份额（份额代码：</w:t>
      </w:r>
      <w:r w:rsidRPr="00A67563">
        <w:rPr>
          <w:color w:val="000000" w:themeColor="text1"/>
          <w:sz w:val="24"/>
        </w:rPr>
        <w:t>007360</w:t>
      </w:r>
      <w:r w:rsidRPr="00A67563">
        <w:rPr>
          <w:color w:val="000000" w:themeColor="text1"/>
          <w:sz w:val="24"/>
        </w:rPr>
        <w:t>）及</w:t>
      </w:r>
      <w:r w:rsidRPr="00A67563">
        <w:rPr>
          <w:color w:val="000000" w:themeColor="text1"/>
          <w:sz w:val="24"/>
        </w:rPr>
        <w:t>A</w:t>
      </w:r>
      <w:r w:rsidRPr="00A67563">
        <w:rPr>
          <w:color w:val="000000" w:themeColor="text1"/>
          <w:sz w:val="24"/>
        </w:rPr>
        <w:t>类美元现汇份额（份额代码：</w:t>
      </w:r>
      <w:r w:rsidRPr="00A67563">
        <w:rPr>
          <w:color w:val="000000" w:themeColor="text1"/>
          <w:sz w:val="24"/>
        </w:rPr>
        <w:t>007362</w:t>
      </w:r>
      <w:r w:rsidRPr="00A67563">
        <w:rPr>
          <w:color w:val="000000" w:themeColor="text1"/>
          <w:sz w:val="24"/>
        </w:rPr>
        <w:t>），交易代码仅列示</w:t>
      </w:r>
      <w:r w:rsidRPr="00A67563">
        <w:rPr>
          <w:color w:val="000000" w:themeColor="text1"/>
          <w:sz w:val="24"/>
        </w:rPr>
        <w:t>A</w:t>
      </w:r>
      <w:r w:rsidRPr="00A67563">
        <w:rPr>
          <w:color w:val="000000" w:themeColor="text1"/>
          <w:sz w:val="24"/>
        </w:rPr>
        <w:t>类人民币份额代码；易方达中短期美元债债券（</w:t>
      </w:r>
      <w:r w:rsidRPr="00A67563">
        <w:rPr>
          <w:color w:val="000000" w:themeColor="text1"/>
          <w:sz w:val="24"/>
        </w:rPr>
        <w:t>QDII</w:t>
      </w:r>
      <w:r w:rsidRPr="00A67563">
        <w:rPr>
          <w:color w:val="000000" w:themeColor="text1"/>
          <w:sz w:val="24"/>
        </w:rPr>
        <w:t>）</w:t>
      </w:r>
      <w:r w:rsidRPr="00A67563">
        <w:rPr>
          <w:color w:val="000000" w:themeColor="text1"/>
          <w:sz w:val="24"/>
        </w:rPr>
        <w:t>C</w:t>
      </w:r>
      <w:r w:rsidRPr="00A67563">
        <w:rPr>
          <w:color w:val="000000" w:themeColor="text1"/>
          <w:sz w:val="24"/>
        </w:rPr>
        <w:t>含</w:t>
      </w:r>
      <w:r w:rsidRPr="00A67563">
        <w:rPr>
          <w:color w:val="000000" w:themeColor="text1"/>
          <w:sz w:val="24"/>
        </w:rPr>
        <w:t>C</w:t>
      </w:r>
      <w:r w:rsidRPr="00A67563">
        <w:rPr>
          <w:color w:val="000000" w:themeColor="text1"/>
          <w:sz w:val="24"/>
        </w:rPr>
        <w:t>类人民币份额（份额代码：</w:t>
      </w:r>
      <w:r w:rsidRPr="00A67563">
        <w:rPr>
          <w:color w:val="000000" w:themeColor="text1"/>
          <w:sz w:val="24"/>
        </w:rPr>
        <w:t>007361</w:t>
      </w:r>
      <w:r w:rsidRPr="00A67563">
        <w:rPr>
          <w:color w:val="000000" w:themeColor="text1"/>
          <w:sz w:val="24"/>
        </w:rPr>
        <w:t>）及</w:t>
      </w:r>
      <w:r w:rsidRPr="00A67563">
        <w:rPr>
          <w:color w:val="000000" w:themeColor="text1"/>
          <w:sz w:val="24"/>
        </w:rPr>
        <w:t>C</w:t>
      </w:r>
      <w:r w:rsidRPr="00A67563">
        <w:rPr>
          <w:color w:val="000000" w:themeColor="text1"/>
          <w:sz w:val="24"/>
        </w:rPr>
        <w:t>类美元现汇份额（份额代码：</w:t>
      </w:r>
      <w:r w:rsidRPr="00A67563">
        <w:rPr>
          <w:color w:val="000000" w:themeColor="text1"/>
          <w:sz w:val="24"/>
        </w:rPr>
        <w:t>007363</w:t>
      </w:r>
      <w:r w:rsidRPr="00A67563">
        <w:rPr>
          <w:color w:val="000000" w:themeColor="text1"/>
          <w:sz w:val="24"/>
        </w:rPr>
        <w:t>），交易代码仅列示</w:t>
      </w:r>
      <w:r w:rsidRPr="00A67563">
        <w:rPr>
          <w:color w:val="000000" w:themeColor="text1"/>
          <w:sz w:val="24"/>
        </w:rPr>
        <w:t>C</w:t>
      </w:r>
      <w:r w:rsidRPr="00A67563">
        <w:rPr>
          <w:color w:val="000000" w:themeColor="text1"/>
          <w:sz w:val="24"/>
        </w:rPr>
        <w:t>类人民币份额代码。</w:t>
      </w:r>
    </w:p>
    <w:p w:rsidR="0076518F" w:rsidRPr="00A67563" w:rsidRDefault="0076518F" w:rsidP="00775284">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lastRenderedPageBreak/>
        <w:t xml:space="preserve">§3  </w:t>
      </w:r>
      <w:r w:rsidRPr="00A67563">
        <w:rPr>
          <w:color w:val="000000" w:themeColor="text1"/>
          <w:kern w:val="0"/>
          <w:sz w:val="24"/>
          <w:szCs w:val="24"/>
        </w:rPr>
        <w:t>主要财务指标和基金净值表现</w:t>
      </w:r>
    </w:p>
    <w:p w:rsidR="0076518F" w:rsidRPr="00A67563" w:rsidRDefault="0076518F" w:rsidP="00506D57">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 xml:space="preserve">3.1 </w:t>
      </w:r>
      <w:r w:rsidRPr="00A67563">
        <w:rPr>
          <w:b/>
          <w:color w:val="000000" w:themeColor="text1"/>
          <w:kern w:val="0"/>
          <w:sz w:val="24"/>
        </w:rPr>
        <w:t>主要财务指标</w:t>
      </w:r>
    </w:p>
    <w:p w:rsidR="0076518F" w:rsidRPr="00A67563" w:rsidRDefault="0076518F" w:rsidP="008B6A4A">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单位：人民币元</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02"/>
        <w:gridCol w:w="2481"/>
        <w:gridCol w:w="2481"/>
      </w:tblGrid>
      <w:tr w:rsidR="00225051" w:rsidRPr="00A67563" w:rsidTr="00845292">
        <w:tc>
          <w:tcPr>
            <w:tcW w:w="3402" w:type="dxa"/>
            <w:vMerge w:val="restart"/>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主要财务指标</w:t>
            </w:r>
          </w:p>
        </w:tc>
        <w:tc>
          <w:tcPr>
            <w:tcW w:w="4962" w:type="dxa"/>
            <w:gridSpan w:val="2"/>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报告期</w:t>
            </w:r>
          </w:p>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(2019</w:t>
            </w:r>
            <w:r w:rsidRPr="00A67563">
              <w:rPr>
                <w:color w:val="000000" w:themeColor="text1"/>
                <w:sz w:val="24"/>
              </w:rPr>
              <w:t>年</w:t>
            </w:r>
            <w:r w:rsidRPr="00A67563">
              <w:rPr>
                <w:color w:val="000000" w:themeColor="text1"/>
                <w:sz w:val="24"/>
              </w:rPr>
              <w:t>7</w:t>
            </w:r>
            <w:r w:rsidRPr="00A67563">
              <w:rPr>
                <w:color w:val="000000" w:themeColor="text1"/>
                <w:sz w:val="24"/>
              </w:rPr>
              <w:t>月</w:t>
            </w:r>
            <w:r w:rsidRPr="00A67563">
              <w:rPr>
                <w:color w:val="000000" w:themeColor="text1"/>
                <w:sz w:val="24"/>
              </w:rPr>
              <w:t>1</w:t>
            </w:r>
            <w:r w:rsidRPr="00A67563">
              <w:rPr>
                <w:color w:val="000000" w:themeColor="text1"/>
                <w:sz w:val="24"/>
              </w:rPr>
              <w:t>日</w:t>
            </w:r>
            <w:r w:rsidRPr="00A67563">
              <w:rPr>
                <w:color w:val="000000" w:themeColor="text1"/>
                <w:sz w:val="24"/>
              </w:rPr>
              <w:t>-2019</w:t>
            </w:r>
            <w:r w:rsidRPr="00A67563">
              <w:rPr>
                <w:color w:val="000000" w:themeColor="text1"/>
                <w:sz w:val="24"/>
              </w:rPr>
              <w:t>年</w:t>
            </w:r>
            <w:r w:rsidRPr="00A67563">
              <w:rPr>
                <w:color w:val="000000" w:themeColor="text1"/>
                <w:sz w:val="24"/>
              </w:rPr>
              <w:t>9</w:t>
            </w:r>
            <w:r w:rsidRPr="00A67563">
              <w:rPr>
                <w:color w:val="000000" w:themeColor="text1"/>
                <w:sz w:val="24"/>
              </w:rPr>
              <w:t>月</w:t>
            </w:r>
            <w:r w:rsidRPr="00A67563">
              <w:rPr>
                <w:color w:val="000000" w:themeColor="text1"/>
                <w:sz w:val="24"/>
              </w:rPr>
              <w:t>30</w:t>
            </w:r>
            <w:r w:rsidRPr="00A67563">
              <w:rPr>
                <w:color w:val="000000" w:themeColor="text1"/>
                <w:sz w:val="24"/>
              </w:rPr>
              <w:t>日</w:t>
            </w:r>
            <w:r w:rsidRPr="00A67563">
              <w:rPr>
                <w:color w:val="000000" w:themeColor="text1"/>
                <w:sz w:val="24"/>
              </w:rPr>
              <w:t>)</w:t>
            </w:r>
          </w:p>
        </w:tc>
      </w:tr>
      <w:tr w:rsidR="00225051" w:rsidRPr="00A67563" w:rsidTr="00845292">
        <w:tc>
          <w:tcPr>
            <w:tcW w:w="3402" w:type="dxa"/>
            <w:vMerge/>
            <w:vAlign w:val="center"/>
          </w:tcPr>
          <w:p w:rsidR="00225051" w:rsidRPr="00A67563" w:rsidRDefault="00225051" w:rsidP="00845292">
            <w:pPr>
              <w:adjustRightInd w:val="0"/>
              <w:spacing w:before="29" w:line="360" w:lineRule="auto"/>
              <w:ind w:left="17"/>
              <w:rPr>
                <w:color w:val="000000" w:themeColor="text1"/>
                <w:kern w:val="0"/>
                <w:sz w:val="24"/>
              </w:rPr>
            </w:pPr>
          </w:p>
        </w:tc>
        <w:tc>
          <w:tcPr>
            <w:tcW w:w="2481" w:type="dxa"/>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易方达中短期美元债债券（</w:t>
            </w:r>
            <w:r w:rsidRPr="00A67563">
              <w:rPr>
                <w:color w:val="000000" w:themeColor="text1"/>
                <w:sz w:val="24"/>
              </w:rPr>
              <w:t>QDII</w:t>
            </w:r>
            <w:r w:rsidRPr="00A67563">
              <w:rPr>
                <w:color w:val="000000" w:themeColor="text1"/>
                <w:sz w:val="24"/>
              </w:rPr>
              <w:t>）</w:t>
            </w:r>
            <w:r w:rsidRPr="00A67563">
              <w:rPr>
                <w:color w:val="000000" w:themeColor="text1"/>
                <w:sz w:val="24"/>
              </w:rPr>
              <w:t>A</w:t>
            </w:r>
          </w:p>
        </w:tc>
        <w:tc>
          <w:tcPr>
            <w:tcW w:w="2481" w:type="dxa"/>
            <w:vAlign w:val="center"/>
          </w:tcPr>
          <w:p w:rsidR="00225051" w:rsidRPr="00A67563" w:rsidRDefault="00225051" w:rsidP="00845292">
            <w:pPr>
              <w:adjustRightInd w:val="0"/>
              <w:spacing w:before="29" w:line="360" w:lineRule="auto"/>
              <w:ind w:left="17"/>
              <w:jc w:val="center"/>
              <w:rPr>
                <w:color w:val="000000" w:themeColor="text1"/>
                <w:sz w:val="24"/>
              </w:rPr>
            </w:pPr>
            <w:r w:rsidRPr="00A67563">
              <w:rPr>
                <w:color w:val="000000" w:themeColor="text1"/>
                <w:sz w:val="24"/>
              </w:rPr>
              <w:t>易方达中短期美元债债券（</w:t>
            </w:r>
            <w:r w:rsidRPr="00A67563">
              <w:rPr>
                <w:color w:val="000000" w:themeColor="text1"/>
                <w:sz w:val="24"/>
              </w:rPr>
              <w:t>QDII</w:t>
            </w:r>
            <w:r w:rsidRPr="00A67563">
              <w:rPr>
                <w:color w:val="000000" w:themeColor="text1"/>
                <w:sz w:val="24"/>
              </w:rPr>
              <w:t>）</w:t>
            </w:r>
            <w:r w:rsidRPr="00A67563">
              <w:rPr>
                <w:color w:val="000000" w:themeColor="text1"/>
                <w:sz w:val="24"/>
              </w:rPr>
              <w:t>C</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1.</w:t>
            </w:r>
            <w:r w:rsidRPr="00A67563">
              <w:rPr>
                <w:color w:val="000000" w:themeColor="text1"/>
                <w:kern w:val="0"/>
                <w:sz w:val="24"/>
              </w:rPr>
              <w:t>本期已实现收益</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6,217,118.05</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4,176,293.67</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2.</w:t>
            </w:r>
            <w:r w:rsidRPr="00A67563">
              <w:rPr>
                <w:color w:val="000000" w:themeColor="text1"/>
                <w:kern w:val="0"/>
                <w:sz w:val="24"/>
              </w:rPr>
              <w:t>本期利润</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13,577,296.21</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9,185,165.47</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3.</w:t>
            </w:r>
            <w:r w:rsidRPr="00A67563">
              <w:rPr>
                <w:color w:val="000000" w:themeColor="text1"/>
                <w:kern w:val="0"/>
                <w:sz w:val="24"/>
              </w:rPr>
              <w:t>加权平均基金份额本期利润</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0.0418</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0.0403</w:t>
            </w:r>
          </w:p>
        </w:tc>
      </w:tr>
      <w:tr w:rsidR="00225051" w:rsidRPr="00A67563" w:rsidTr="00845292">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4.</w:t>
            </w:r>
            <w:r w:rsidRPr="00A67563">
              <w:rPr>
                <w:color w:val="000000" w:themeColor="text1"/>
                <w:kern w:val="0"/>
                <w:sz w:val="24"/>
              </w:rPr>
              <w:t>期末基金资产净值</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405,164,148.00</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251,144,935.85</w:t>
            </w:r>
          </w:p>
        </w:tc>
      </w:tr>
      <w:tr w:rsidR="00225051" w:rsidRPr="00A67563" w:rsidTr="00845292">
        <w:trPr>
          <w:trHeight w:val="158"/>
        </w:trPr>
        <w:tc>
          <w:tcPr>
            <w:tcW w:w="3402" w:type="dxa"/>
            <w:vAlign w:val="center"/>
          </w:tcPr>
          <w:p w:rsidR="00225051" w:rsidRPr="00A67563" w:rsidRDefault="00225051" w:rsidP="00845292">
            <w:pPr>
              <w:adjustRightInd w:val="0"/>
              <w:spacing w:before="29" w:line="360" w:lineRule="auto"/>
              <w:ind w:left="17"/>
              <w:rPr>
                <w:color w:val="000000" w:themeColor="text1"/>
                <w:kern w:val="0"/>
                <w:sz w:val="24"/>
              </w:rPr>
            </w:pPr>
            <w:r w:rsidRPr="00A67563">
              <w:rPr>
                <w:color w:val="000000" w:themeColor="text1"/>
                <w:kern w:val="0"/>
                <w:sz w:val="24"/>
              </w:rPr>
              <w:t>5.</w:t>
            </w:r>
            <w:r w:rsidRPr="00A67563">
              <w:rPr>
                <w:color w:val="000000" w:themeColor="text1"/>
                <w:kern w:val="0"/>
                <w:sz w:val="24"/>
              </w:rPr>
              <w:t>期末基金份额净值</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1.0402</w:t>
            </w:r>
          </w:p>
        </w:tc>
        <w:tc>
          <w:tcPr>
            <w:tcW w:w="2481" w:type="dxa"/>
            <w:vAlign w:val="center"/>
          </w:tcPr>
          <w:p w:rsidR="00225051" w:rsidRPr="00A67563" w:rsidRDefault="00225051" w:rsidP="00845292">
            <w:pPr>
              <w:adjustRightInd w:val="0"/>
              <w:spacing w:before="29" w:line="360" w:lineRule="auto"/>
              <w:ind w:left="17"/>
              <w:jc w:val="right"/>
              <w:rPr>
                <w:color w:val="000000" w:themeColor="text1"/>
                <w:sz w:val="24"/>
              </w:rPr>
            </w:pPr>
            <w:r w:rsidRPr="00A67563">
              <w:rPr>
                <w:color w:val="000000" w:themeColor="text1"/>
                <w:sz w:val="24"/>
              </w:rPr>
              <w:t>1.0395</w:t>
            </w:r>
          </w:p>
        </w:tc>
      </w:tr>
    </w:tbl>
    <w:p w:rsidR="00F00A26" w:rsidRDefault="002A0141">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所述基金业绩指标不包括持有人认购或交易基金的各项费用，计入费用后实际收益水平要低于所列数字。</w:t>
      </w:r>
    </w:p>
    <w:p w:rsidR="007D1292" w:rsidRPr="00A67563" w:rsidRDefault="007D1292"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2.</w:t>
      </w:r>
      <w:r w:rsidRPr="00A67563">
        <w:rPr>
          <w:color w:val="000000" w:themeColor="text1"/>
          <w:sz w:val="24"/>
        </w:rPr>
        <w:t>本期已实现收益指基金本期利息收入、投资收益、其他收入（不含公允价值变动收益）扣除相关费用后的余额，本期利润为本期已实现收益加上本期公允价值变动收益。</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 xml:space="preserve">3.2 </w:t>
      </w:r>
      <w:r w:rsidRPr="00A67563">
        <w:rPr>
          <w:b/>
          <w:color w:val="000000" w:themeColor="text1"/>
          <w:kern w:val="0"/>
          <w:sz w:val="24"/>
        </w:rPr>
        <w:t>基金净值表现</w:t>
      </w:r>
    </w:p>
    <w:p w:rsidR="0076518F" w:rsidRPr="00A67563" w:rsidRDefault="0076518F" w:rsidP="00EC4BA3">
      <w:pPr>
        <w:autoSpaceDE w:val="0"/>
        <w:autoSpaceDN w:val="0"/>
        <w:adjustRightInd w:val="0"/>
        <w:spacing w:line="360" w:lineRule="auto"/>
        <w:jc w:val="left"/>
        <w:rPr>
          <w:b/>
          <w:color w:val="000000" w:themeColor="text1"/>
          <w:kern w:val="0"/>
          <w:sz w:val="24"/>
        </w:rPr>
      </w:pPr>
      <w:smartTag w:uri="urn:schemas-microsoft-com:office:smarttags" w:element="chsdate">
        <w:smartTagPr>
          <w:attr w:name="IsROCDate" w:val="False"/>
          <w:attr w:name="IsLunarDate" w:val="False"/>
          <w:attr w:name="Day" w:val="30"/>
          <w:attr w:name="Month" w:val="12"/>
          <w:attr w:name="Year" w:val="1899"/>
        </w:smartTagPr>
        <w:r w:rsidRPr="00A67563">
          <w:rPr>
            <w:b/>
            <w:color w:val="000000" w:themeColor="text1"/>
            <w:kern w:val="0"/>
            <w:sz w:val="24"/>
          </w:rPr>
          <w:t>3.2.1</w:t>
        </w:r>
      </w:smartTag>
      <w:r w:rsidRPr="00A67563">
        <w:rPr>
          <w:b/>
          <w:color w:val="000000" w:themeColor="text1"/>
          <w:kern w:val="0"/>
          <w:sz w:val="24"/>
        </w:rPr>
        <w:t>本报告期基金份额净值增长率及其与同期业绩比较基准收益率的比较</w:t>
      </w:r>
    </w:p>
    <w:p w:rsidR="0065601A" w:rsidRPr="00A67563" w:rsidRDefault="0065601A" w:rsidP="0065601A">
      <w:pPr>
        <w:spacing w:line="360" w:lineRule="auto"/>
        <w:rPr>
          <w:b/>
          <w:color w:val="000000" w:themeColor="text1"/>
          <w:sz w:val="24"/>
        </w:rPr>
      </w:pPr>
      <w:r w:rsidRPr="00A67563">
        <w:rPr>
          <w:b/>
          <w:color w:val="000000" w:themeColor="text1"/>
          <w:sz w:val="24"/>
        </w:rPr>
        <w:t>1</w:t>
      </w:r>
      <w:r w:rsidRPr="00A67563">
        <w:rPr>
          <w:b/>
          <w:color w:val="000000" w:themeColor="text1"/>
          <w:sz w:val="24"/>
        </w:rPr>
        <w:t>、</w:t>
      </w:r>
      <w:r w:rsidRPr="00A67563">
        <w:rPr>
          <w:b/>
          <w:color w:val="000000" w:themeColor="text1"/>
          <w:kern w:val="0"/>
          <w:sz w:val="24"/>
        </w:rPr>
        <w:t>易方达中短期美元债债券（</w:t>
      </w:r>
      <w:r w:rsidRPr="00A67563">
        <w:rPr>
          <w:b/>
          <w:color w:val="000000" w:themeColor="text1"/>
          <w:kern w:val="0"/>
          <w:sz w:val="24"/>
        </w:rPr>
        <w:t>QDII</w:t>
      </w:r>
      <w:r w:rsidRPr="00A67563">
        <w:rPr>
          <w:b/>
          <w:color w:val="000000" w:themeColor="text1"/>
          <w:kern w:val="0"/>
          <w:sz w:val="24"/>
        </w:rPr>
        <w:t>）</w:t>
      </w:r>
      <w:r w:rsidRPr="00A67563">
        <w:rPr>
          <w:b/>
          <w:color w:val="000000" w:themeColor="text1"/>
          <w:kern w:val="0"/>
          <w:sz w:val="24"/>
        </w:rPr>
        <w:t>A</w:t>
      </w:r>
      <w:r w:rsidRPr="00A67563">
        <w:rPr>
          <w:b/>
          <w:color w:val="000000" w:themeColor="text1"/>
          <w:sz w:val="24"/>
        </w:rPr>
        <w:t>：</w:t>
      </w:r>
    </w:p>
    <w:tbl>
      <w:tblPr>
        <w:tblStyle w:val="af7"/>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65601A" w:rsidRPr="00A67563" w:rsidTr="00845292">
        <w:tc>
          <w:tcPr>
            <w:tcW w:w="1290"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阶段</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净值增长率</w:t>
            </w:r>
            <w:r w:rsidRPr="00A67563">
              <w:rPr>
                <w:rFonts w:ascii="宋体" w:hAnsi="宋体" w:cs="宋体" w:hint="eastAsia"/>
                <w:color w:val="000000" w:themeColor="text1"/>
                <w:sz w:val="24"/>
              </w:rPr>
              <w:t>①</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净值增长率标准差</w:t>
            </w:r>
            <w:r w:rsidRPr="00A67563">
              <w:rPr>
                <w:rFonts w:ascii="宋体" w:hAnsi="宋体" w:cs="宋体" w:hint="eastAsia"/>
                <w:color w:val="000000" w:themeColor="text1"/>
                <w:sz w:val="24"/>
              </w:rPr>
              <w:t>②</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业绩比较基准收益率标准差</w:t>
            </w:r>
            <w:r w:rsidRPr="00A67563">
              <w:rPr>
                <w:rFonts w:ascii="宋体" w:hAnsi="宋体" w:cs="宋体" w:hint="eastAsia"/>
                <w:color w:val="000000" w:themeColor="text1"/>
                <w:sz w:val="24"/>
              </w:rPr>
              <w:t>④</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①</w:t>
            </w:r>
            <w:r w:rsidRPr="00A67563">
              <w:rPr>
                <w:color w:val="000000" w:themeColor="text1"/>
                <w:sz w:val="24"/>
              </w:rPr>
              <w:t>－</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②</w:t>
            </w:r>
            <w:r w:rsidRPr="00A67563">
              <w:rPr>
                <w:color w:val="000000" w:themeColor="text1"/>
                <w:sz w:val="24"/>
              </w:rPr>
              <w:t>－</w:t>
            </w:r>
            <w:r w:rsidRPr="00A67563">
              <w:rPr>
                <w:rFonts w:ascii="宋体" w:hAnsi="宋体" w:cs="宋体" w:hint="eastAsia"/>
                <w:color w:val="000000" w:themeColor="text1"/>
                <w:sz w:val="24"/>
              </w:rPr>
              <w:t>④</w:t>
            </w:r>
          </w:p>
        </w:tc>
      </w:tr>
      <w:tr w:rsidR="00F00A26">
        <w:tc>
          <w:tcPr>
            <w:tcW w:w="1290" w:type="dxa"/>
            <w:vAlign w:val="center"/>
          </w:tcPr>
          <w:p w:rsidR="00F00A26" w:rsidRDefault="002A0141">
            <w:pPr>
              <w:jc w:val="left"/>
            </w:pPr>
            <w:r>
              <w:rPr>
                <w:color w:val="000000" w:themeColor="text1"/>
                <w:sz w:val="24"/>
              </w:rPr>
              <w:t>过去三个月</w:t>
            </w:r>
          </w:p>
        </w:tc>
        <w:tc>
          <w:tcPr>
            <w:tcW w:w="1291" w:type="dxa"/>
            <w:vAlign w:val="center"/>
          </w:tcPr>
          <w:p w:rsidR="00F00A26" w:rsidRDefault="002A0141">
            <w:pPr>
              <w:jc w:val="right"/>
            </w:pPr>
            <w:r>
              <w:rPr>
                <w:color w:val="000000" w:themeColor="text1"/>
                <w:sz w:val="24"/>
              </w:rPr>
              <w:t>4.23%</w:t>
            </w:r>
          </w:p>
        </w:tc>
        <w:tc>
          <w:tcPr>
            <w:tcW w:w="1291" w:type="dxa"/>
            <w:vAlign w:val="center"/>
          </w:tcPr>
          <w:p w:rsidR="00F00A26" w:rsidRDefault="002A0141">
            <w:pPr>
              <w:jc w:val="right"/>
            </w:pPr>
            <w:r>
              <w:rPr>
                <w:color w:val="000000" w:themeColor="text1"/>
                <w:sz w:val="24"/>
              </w:rPr>
              <w:t>0.15%</w:t>
            </w:r>
          </w:p>
        </w:tc>
        <w:tc>
          <w:tcPr>
            <w:tcW w:w="1291" w:type="dxa"/>
            <w:vAlign w:val="center"/>
          </w:tcPr>
          <w:p w:rsidR="00F00A26" w:rsidRDefault="002A0141">
            <w:pPr>
              <w:jc w:val="right"/>
            </w:pPr>
            <w:r>
              <w:rPr>
                <w:color w:val="000000" w:themeColor="text1"/>
                <w:sz w:val="24"/>
              </w:rPr>
              <w:t>3.29%</w:t>
            </w:r>
          </w:p>
        </w:tc>
        <w:tc>
          <w:tcPr>
            <w:tcW w:w="1291" w:type="dxa"/>
            <w:vAlign w:val="center"/>
          </w:tcPr>
          <w:p w:rsidR="00F00A26" w:rsidRDefault="002A0141">
            <w:pPr>
              <w:jc w:val="right"/>
            </w:pPr>
            <w:r>
              <w:rPr>
                <w:color w:val="000000" w:themeColor="text1"/>
                <w:sz w:val="24"/>
              </w:rPr>
              <w:t>0.17%</w:t>
            </w:r>
          </w:p>
        </w:tc>
        <w:tc>
          <w:tcPr>
            <w:tcW w:w="1291" w:type="dxa"/>
            <w:vAlign w:val="center"/>
          </w:tcPr>
          <w:p w:rsidR="00F00A26" w:rsidRDefault="002A0141">
            <w:pPr>
              <w:jc w:val="right"/>
            </w:pPr>
            <w:r>
              <w:rPr>
                <w:color w:val="000000" w:themeColor="text1"/>
                <w:sz w:val="24"/>
              </w:rPr>
              <w:t>0.94%</w:t>
            </w:r>
          </w:p>
        </w:tc>
        <w:tc>
          <w:tcPr>
            <w:tcW w:w="1291" w:type="dxa"/>
            <w:vAlign w:val="center"/>
          </w:tcPr>
          <w:p w:rsidR="00F00A26" w:rsidRDefault="002A0141">
            <w:pPr>
              <w:jc w:val="right"/>
            </w:pPr>
            <w:r>
              <w:rPr>
                <w:color w:val="000000" w:themeColor="text1"/>
                <w:sz w:val="24"/>
              </w:rPr>
              <w:t>-0.02%</w:t>
            </w:r>
          </w:p>
        </w:tc>
      </w:tr>
    </w:tbl>
    <w:p w:rsidR="0065601A" w:rsidRPr="00A67563" w:rsidRDefault="0065601A" w:rsidP="00775284">
      <w:pPr>
        <w:adjustRightInd w:val="0"/>
        <w:spacing w:beforeLines="50" w:before="156" w:line="360" w:lineRule="auto"/>
        <w:rPr>
          <w:b/>
          <w:color w:val="000000" w:themeColor="text1"/>
          <w:kern w:val="0"/>
          <w:sz w:val="24"/>
        </w:rPr>
      </w:pPr>
      <w:r w:rsidRPr="00A67563">
        <w:rPr>
          <w:b/>
          <w:color w:val="000000" w:themeColor="text1"/>
          <w:sz w:val="24"/>
        </w:rPr>
        <w:t>2</w:t>
      </w:r>
      <w:r w:rsidRPr="00A67563">
        <w:rPr>
          <w:b/>
          <w:color w:val="000000" w:themeColor="text1"/>
          <w:sz w:val="24"/>
        </w:rPr>
        <w:t>、</w:t>
      </w:r>
      <w:r w:rsidRPr="00A67563">
        <w:rPr>
          <w:b/>
          <w:color w:val="000000" w:themeColor="text1"/>
          <w:kern w:val="0"/>
          <w:sz w:val="24"/>
        </w:rPr>
        <w:t>易方达中短期美元债债券（</w:t>
      </w:r>
      <w:r w:rsidRPr="00A67563">
        <w:rPr>
          <w:b/>
          <w:color w:val="000000" w:themeColor="text1"/>
          <w:kern w:val="0"/>
          <w:sz w:val="24"/>
        </w:rPr>
        <w:t>QDII</w:t>
      </w:r>
      <w:r w:rsidRPr="00A67563">
        <w:rPr>
          <w:b/>
          <w:color w:val="000000" w:themeColor="text1"/>
          <w:kern w:val="0"/>
          <w:sz w:val="24"/>
        </w:rPr>
        <w:t>）</w:t>
      </w:r>
      <w:r w:rsidRPr="00A67563">
        <w:rPr>
          <w:b/>
          <w:color w:val="000000" w:themeColor="text1"/>
          <w:kern w:val="0"/>
          <w:sz w:val="24"/>
        </w:rPr>
        <w:t>C</w:t>
      </w:r>
      <w:r w:rsidRPr="00A67563">
        <w:rPr>
          <w:b/>
          <w:color w:val="000000" w:themeColor="text1"/>
          <w:kern w:val="0"/>
          <w:sz w:val="24"/>
        </w:rPr>
        <w:t>：</w:t>
      </w:r>
    </w:p>
    <w:tbl>
      <w:tblPr>
        <w:tblStyle w:val="af7"/>
        <w:tblW w:w="0" w:type="auto"/>
        <w:tblInd w:w="108" w:type="dxa"/>
        <w:tblLayout w:type="fixed"/>
        <w:tblLook w:val="04A0" w:firstRow="1" w:lastRow="0" w:firstColumn="1" w:lastColumn="0" w:noHBand="0" w:noVBand="1"/>
      </w:tblPr>
      <w:tblGrid>
        <w:gridCol w:w="1290"/>
        <w:gridCol w:w="1291"/>
        <w:gridCol w:w="1291"/>
        <w:gridCol w:w="1291"/>
        <w:gridCol w:w="1291"/>
        <w:gridCol w:w="1291"/>
        <w:gridCol w:w="1291"/>
      </w:tblGrid>
      <w:tr w:rsidR="0065601A" w:rsidRPr="00A67563" w:rsidTr="00845292">
        <w:tc>
          <w:tcPr>
            <w:tcW w:w="1290"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阶段</w:t>
            </w:r>
          </w:p>
        </w:tc>
        <w:tc>
          <w:tcPr>
            <w:tcW w:w="1291" w:type="dxa"/>
            <w:vAlign w:val="center"/>
          </w:tcPr>
          <w:p w:rsidR="0065601A" w:rsidRPr="00A67563" w:rsidRDefault="0065601A" w:rsidP="00845292">
            <w:pPr>
              <w:snapToGrid w:val="0"/>
              <w:spacing w:line="288" w:lineRule="auto"/>
              <w:jc w:val="center"/>
              <w:rPr>
                <w:color w:val="000000" w:themeColor="text1"/>
                <w:sz w:val="24"/>
                <w:highlight w:val="green"/>
              </w:rPr>
            </w:pPr>
            <w:r w:rsidRPr="00A67563">
              <w:rPr>
                <w:color w:val="000000" w:themeColor="text1"/>
                <w:sz w:val="24"/>
              </w:rPr>
              <w:t>净值增长率</w:t>
            </w:r>
            <w:r w:rsidRPr="00A67563">
              <w:rPr>
                <w:rFonts w:ascii="宋体" w:hAnsi="宋体" w:cs="宋体" w:hint="eastAsia"/>
                <w:color w:val="000000" w:themeColor="text1"/>
                <w:sz w:val="24"/>
              </w:rPr>
              <w:t>①</w:t>
            </w:r>
          </w:p>
        </w:tc>
        <w:tc>
          <w:tcPr>
            <w:tcW w:w="1291" w:type="dxa"/>
            <w:vAlign w:val="center"/>
          </w:tcPr>
          <w:p w:rsidR="0065601A" w:rsidRPr="00A67563" w:rsidRDefault="0065601A" w:rsidP="00845292">
            <w:pPr>
              <w:snapToGrid w:val="0"/>
              <w:spacing w:line="288" w:lineRule="auto"/>
              <w:jc w:val="center"/>
              <w:rPr>
                <w:color w:val="000000" w:themeColor="text1"/>
                <w:sz w:val="24"/>
                <w:highlight w:val="green"/>
              </w:rPr>
            </w:pPr>
            <w:r w:rsidRPr="00A67563">
              <w:rPr>
                <w:color w:val="000000" w:themeColor="text1"/>
                <w:sz w:val="24"/>
              </w:rPr>
              <w:t>净值增长率标准差</w:t>
            </w:r>
            <w:r w:rsidRPr="00A67563">
              <w:rPr>
                <w:rFonts w:ascii="宋体" w:hAnsi="宋体" w:cs="宋体" w:hint="eastAsia"/>
                <w:color w:val="000000" w:themeColor="text1"/>
                <w:sz w:val="24"/>
              </w:rPr>
              <w:t>②</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color w:val="000000" w:themeColor="text1"/>
                <w:sz w:val="24"/>
              </w:rPr>
              <w:t>业绩比较基准收益率标准差</w:t>
            </w:r>
            <w:r w:rsidRPr="00A67563">
              <w:rPr>
                <w:rFonts w:ascii="宋体" w:hAnsi="宋体" w:cs="宋体" w:hint="eastAsia"/>
                <w:color w:val="000000" w:themeColor="text1"/>
                <w:sz w:val="24"/>
              </w:rPr>
              <w:t>④</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①</w:t>
            </w:r>
            <w:r w:rsidRPr="00A67563">
              <w:rPr>
                <w:color w:val="000000" w:themeColor="text1"/>
                <w:sz w:val="24"/>
              </w:rPr>
              <w:t>－</w:t>
            </w:r>
            <w:r w:rsidRPr="00A67563">
              <w:rPr>
                <w:rFonts w:ascii="宋体" w:hAnsi="宋体" w:cs="宋体" w:hint="eastAsia"/>
                <w:color w:val="000000" w:themeColor="text1"/>
                <w:sz w:val="24"/>
              </w:rPr>
              <w:t>③</w:t>
            </w:r>
          </w:p>
        </w:tc>
        <w:tc>
          <w:tcPr>
            <w:tcW w:w="1291" w:type="dxa"/>
            <w:vAlign w:val="center"/>
          </w:tcPr>
          <w:p w:rsidR="0065601A" w:rsidRPr="00A67563" w:rsidRDefault="0065601A" w:rsidP="00845292">
            <w:pPr>
              <w:snapToGrid w:val="0"/>
              <w:spacing w:line="288" w:lineRule="auto"/>
              <w:jc w:val="center"/>
              <w:rPr>
                <w:color w:val="000000" w:themeColor="text1"/>
                <w:sz w:val="24"/>
              </w:rPr>
            </w:pPr>
            <w:r w:rsidRPr="00A67563">
              <w:rPr>
                <w:rFonts w:ascii="宋体" w:hAnsi="宋体" w:cs="宋体" w:hint="eastAsia"/>
                <w:color w:val="000000" w:themeColor="text1"/>
                <w:sz w:val="24"/>
              </w:rPr>
              <w:t>②</w:t>
            </w:r>
            <w:r w:rsidRPr="00A67563">
              <w:rPr>
                <w:color w:val="000000" w:themeColor="text1"/>
                <w:sz w:val="24"/>
              </w:rPr>
              <w:t>－</w:t>
            </w:r>
            <w:r w:rsidRPr="00A67563">
              <w:rPr>
                <w:rFonts w:ascii="宋体" w:hAnsi="宋体" w:cs="宋体" w:hint="eastAsia"/>
                <w:color w:val="000000" w:themeColor="text1"/>
                <w:sz w:val="24"/>
              </w:rPr>
              <w:t>④</w:t>
            </w:r>
          </w:p>
        </w:tc>
      </w:tr>
      <w:tr w:rsidR="00F00A26">
        <w:tc>
          <w:tcPr>
            <w:tcW w:w="1290" w:type="dxa"/>
            <w:vAlign w:val="center"/>
          </w:tcPr>
          <w:p w:rsidR="00F00A26" w:rsidRDefault="002A0141">
            <w:pPr>
              <w:jc w:val="left"/>
            </w:pPr>
            <w:r>
              <w:rPr>
                <w:color w:val="000000" w:themeColor="text1"/>
                <w:sz w:val="24"/>
              </w:rPr>
              <w:t>过去三个月</w:t>
            </w:r>
          </w:p>
        </w:tc>
        <w:tc>
          <w:tcPr>
            <w:tcW w:w="1291" w:type="dxa"/>
            <w:vAlign w:val="center"/>
          </w:tcPr>
          <w:p w:rsidR="00F00A26" w:rsidRDefault="002A0141">
            <w:pPr>
              <w:jc w:val="right"/>
            </w:pPr>
            <w:r>
              <w:rPr>
                <w:color w:val="000000" w:themeColor="text1"/>
                <w:sz w:val="24"/>
              </w:rPr>
              <w:t>4.16%</w:t>
            </w:r>
          </w:p>
        </w:tc>
        <w:tc>
          <w:tcPr>
            <w:tcW w:w="1291" w:type="dxa"/>
            <w:vAlign w:val="center"/>
          </w:tcPr>
          <w:p w:rsidR="00F00A26" w:rsidRDefault="002A0141">
            <w:pPr>
              <w:jc w:val="right"/>
            </w:pPr>
            <w:r>
              <w:rPr>
                <w:color w:val="000000" w:themeColor="text1"/>
                <w:sz w:val="24"/>
              </w:rPr>
              <w:t>0.15%</w:t>
            </w:r>
          </w:p>
        </w:tc>
        <w:tc>
          <w:tcPr>
            <w:tcW w:w="1291" w:type="dxa"/>
            <w:vAlign w:val="center"/>
          </w:tcPr>
          <w:p w:rsidR="00F00A26" w:rsidRDefault="002A0141">
            <w:pPr>
              <w:jc w:val="right"/>
            </w:pPr>
            <w:r>
              <w:rPr>
                <w:color w:val="000000" w:themeColor="text1"/>
                <w:sz w:val="24"/>
              </w:rPr>
              <w:t>3.29%</w:t>
            </w:r>
          </w:p>
        </w:tc>
        <w:tc>
          <w:tcPr>
            <w:tcW w:w="1291" w:type="dxa"/>
            <w:vAlign w:val="center"/>
          </w:tcPr>
          <w:p w:rsidR="00F00A26" w:rsidRDefault="002A0141">
            <w:pPr>
              <w:jc w:val="right"/>
            </w:pPr>
            <w:r>
              <w:rPr>
                <w:color w:val="000000" w:themeColor="text1"/>
                <w:sz w:val="24"/>
              </w:rPr>
              <w:t>0.17%</w:t>
            </w:r>
          </w:p>
        </w:tc>
        <w:tc>
          <w:tcPr>
            <w:tcW w:w="1291" w:type="dxa"/>
            <w:vAlign w:val="center"/>
          </w:tcPr>
          <w:p w:rsidR="00F00A26" w:rsidRDefault="002A0141">
            <w:pPr>
              <w:jc w:val="right"/>
            </w:pPr>
            <w:r>
              <w:rPr>
                <w:color w:val="000000" w:themeColor="text1"/>
                <w:sz w:val="24"/>
              </w:rPr>
              <w:t>0.87%</w:t>
            </w:r>
          </w:p>
        </w:tc>
        <w:tc>
          <w:tcPr>
            <w:tcW w:w="1291" w:type="dxa"/>
            <w:vAlign w:val="center"/>
          </w:tcPr>
          <w:p w:rsidR="00F00A26" w:rsidRDefault="002A0141">
            <w:pPr>
              <w:jc w:val="right"/>
            </w:pPr>
            <w:r>
              <w:rPr>
                <w:color w:val="000000" w:themeColor="text1"/>
                <w:sz w:val="24"/>
              </w:rPr>
              <w:t>-0.02%</w:t>
            </w:r>
          </w:p>
        </w:tc>
      </w:tr>
    </w:tbl>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3.2.2</w:t>
      </w:r>
      <w:r w:rsidRPr="00A67563">
        <w:rPr>
          <w:b/>
          <w:color w:val="000000" w:themeColor="text1"/>
          <w:kern w:val="0"/>
          <w:sz w:val="24"/>
        </w:rPr>
        <w:t xml:space="preserve">　</w:t>
      </w:r>
      <w:r w:rsidR="009779FD" w:rsidRPr="00A67563">
        <w:rPr>
          <w:rStyle w:val="af8"/>
          <w:color w:val="000000" w:themeColor="text1"/>
          <w:sz w:val="24"/>
          <w:shd w:val="clear" w:color="auto" w:fill="FFFFFF"/>
        </w:rPr>
        <w:t>自基金合同生效以来</w:t>
      </w:r>
      <w:r w:rsidRPr="00A67563">
        <w:rPr>
          <w:b/>
          <w:color w:val="000000" w:themeColor="text1"/>
          <w:kern w:val="0"/>
          <w:sz w:val="24"/>
        </w:rPr>
        <w:t>基金累计</w:t>
      </w:r>
      <w:r w:rsidR="004339D9" w:rsidRPr="00A67563">
        <w:rPr>
          <w:b/>
          <w:color w:val="000000" w:themeColor="text1"/>
          <w:kern w:val="0"/>
          <w:sz w:val="24"/>
        </w:rPr>
        <w:t>份额</w:t>
      </w:r>
      <w:r w:rsidRPr="00A67563">
        <w:rPr>
          <w:b/>
          <w:color w:val="000000" w:themeColor="text1"/>
          <w:kern w:val="0"/>
          <w:sz w:val="24"/>
        </w:rPr>
        <w:t>净值增长率变动及其与同期业绩比较基准收益率变动的比较</w:t>
      </w:r>
    </w:p>
    <w:p w:rsidR="00A96FD9" w:rsidRPr="00A67563" w:rsidRDefault="00A96FD9" w:rsidP="00EC4BA3">
      <w:pPr>
        <w:spacing w:line="360" w:lineRule="auto"/>
        <w:jc w:val="center"/>
        <w:rPr>
          <w:color w:val="000000" w:themeColor="text1"/>
          <w:sz w:val="24"/>
        </w:rPr>
      </w:pPr>
      <w:r w:rsidRPr="00A67563">
        <w:rPr>
          <w:color w:val="000000" w:themeColor="text1"/>
          <w:sz w:val="24"/>
        </w:rPr>
        <w:t>易方达中短期美元债债券型证券投资基金（</w:t>
      </w:r>
      <w:r w:rsidRPr="00A67563">
        <w:rPr>
          <w:color w:val="000000" w:themeColor="text1"/>
          <w:sz w:val="24"/>
        </w:rPr>
        <w:t>QDII</w:t>
      </w:r>
      <w:r w:rsidRPr="00A67563">
        <w:rPr>
          <w:color w:val="000000" w:themeColor="text1"/>
          <w:sz w:val="24"/>
        </w:rPr>
        <w:t>）</w:t>
      </w:r>
    </w:p>
    <w:p w:rsidR="0008610C" w:rsidRDefault="0008610C" w:rsidP="0008610C">
      <w:pPr>
        <w:pStyle w:val="a5"/>
        <w:snapToGrid w:val="0"/>
        <w:spacing w:line="360" w:lineRule="auto"/>
        <w:ind w:firstLine="480"/>
        <w:jc w:val="center"/>
        <w:rPr>
          <w:rFonts w:ascii="Times New Roman" w:hAnsi="Times New Roman"/>
          <w:color w:val="000000"/>
          <w:sz w:val="24"/>
          <w:szCs w:val="24"/>
        </w:rPr>
      </w:pPr>
      <w:r>
        <w:rPr>
          <w:rFonts w:ascii="Times New Roman" w:hAnsi="Times New Roman" w:hint="eastAsia"/>
          <w:color w:val="000000"/>
          <w:sz w:val="24"/>
          <w:szCs w:val="24"/>
        </w:rPr>
        <w:t>累计净值增长率与业绩比较基准收益率的历史走势对比图</w:t>
      </w:r>
    </w:p>
    <w:p w:rsidR="005908C0" w:rsidRPr="00A67563" w:rsidRDefault="005908C0" w:rsidP="00EC4BA3">
      <w:pPr>
        <w:spacing w:line="360" w:lineRule="auto"/>
        <w:jc w:val="center"/>
        <w:rPr>
          <w:color w:val="000000" w:themeColor="text1"/>
          <w:sz w:val="24"/>
        </w:rPr>
      </w:pPr>
      <w:r w:rsidRPr="00A67563">
        <w:rPr>
          <w:color w:val="000000" w:themeColor="text1"/>
          <w:kern w:val="0"/>
          <w:sz w:val="24"/>
        </w:rPr>
        <w:t>（</w:t>
      </w:r>
      <w:r w:rsidR="00623556" w:rsidRPr="00A67563">
        <w:rPr>
          <w:color w:val="000000" w:themeColor="text1"/>
          <w:kern w:val="0"/>
          <w:sz w:val="24"/>
        </w:rPr>
        <w:t>2019</w:t>
      </w:r>
      <w:r w:rsidR="00623556" w:rsidRPr="00A67563">
        <w:rPr>
          <w:color w:val="000000" w:themeColor="text1"/>
          <w:kern w:val="0"/>
          <w:sz w:val="24"/>
        </w:rPr>
        <w:t>年</w:t>
      </w:r>
      <w:r w:rsidR="00623556" w:rsidRPr="00A67563">
        <w:rPr>
          <w:color w:val="000000" w:themeColor="text1"/>
          <w:kern w:val="0"/>
          <w:sz w:val="24"/>
        </w:rPr>
        <w:t>6</w:t>
      </w:r>
      <w:r w:rsidR="00623556" w:rsidRPr="00A67563">
        <w:rPr>
          <w:color w:val="000000" w:themeColor="text1"/>
          <w:kern w:val="0"/>
          <w:sz w:val="24"/>
        </w:rPr>
        <w:t>月</w:t>
      </w:r>
      <w:r w:rsidR="00623556" w:rsidRPr="00A67563">
        <w:rPr>
          <w:color w:val="000000" w:themeColor="text1"/>
          <w:kern w:val="0"/>
          <w:sz w:val="24"/>
        </w:rPr>
        <w:t>5</w:t>
      </w:r>
      <w:r w:rsidR="00623556" w:rsidRPr="00A67563">
        <w:rPr>
          <w:color w:val="000000" w:themeColor="text1"/>
          <w:kern w:val="0"/>
          <w:sz w:val="24"/>
        </w:rPr>
        <w:t>日</w:t>
      </w:r>
      <w:r w:rsidRPr="00A67563">
        <w:rPr>
          <w:color w:val="000000" w:themeColor="text1"/>
          <w:kern w:val="0"/>
          <w:sz w:val="24"/>
        </w:rPr>
        <w:t>至</w:t>
      </w:r>
      <w:r w:rsidRPr="00A67563">
        <w:rPr>
          <w:color w:val="000000" w:themeColor="text1"/>
          <w:kern w:val="0"/>
          <w:sz w:val="24"/>
        </w:rPr>
        <w:t>2019</w:t>
      </w:r>
      <w:r w:rsidRPr="00A67563">
        <w:rPr>
          <w:color w:val="000000" w:themeColor="text1"/>
          <w:kern w:val="0"/>
          <w:sz w:val="24"/>
        </w:rPr>
        <w:t>年</w:t>
      </w:r>
      <w:r w:rsidRPr="00A67563">
        <w:rPr>
          <w:color w:val="000000" w:themeColor="text1"/>
          <w:kern w:val="0"/>
          <w:sz w:val="24"/>
        </w:rPr>
        <w:t>9</w:t>
      </w:r>
      <w:r w:rsidRPr="00A67563">
        <w:rPr>
          <w:color w:val="000000" w:themeColor="text1"/>
          <w:kern w:val="0"/>
          <w:sz w:val="24"/>
        </w:rPr>
        <w:t>月</w:t>
      </w:r>
      <w:r w:rsidRPr="00A67563">
        <w:rPr>
          <w:color w:val="000000" w:themeColor="text1"/>
          <w:kern w:val="0"/>
          <w:sz w:val="24"/>
        </w:rPr>
        <w:t>30</w:t>
      </w:r>
      <w:r w:rsidRPr="00A67563">
        <w:rPr>
          <w:color w:val="000000" w:themeColor="text1"/>
          <w:kern w:val="0"/>
          <w:sz w:val="24"/>
        </w:rPr>
        <w:t>日）</w:t>
      </w:r>
    </w:p>
    <w:p w:rsidR="0065601A" w:rsidRPr="00A67563" w:rsidRDefault="0065601A" w:rsidP="0065601A">
      <w:pPr>
        <w:snapToGrid w:val="0"/>
        <w:spacing w:line="360" w:lineRule="auto"/>
        <w:rPr>
          <w:color w:val="000000" w:themeColor="text1"/>
          <w:sz w:val="24"/>
        </w:rPr>
      </w:pPr>
      <w:r w:rsidRPr="00A67563">
        <w:rPr>
          <w:color w:val="000000" w:themeColor="text1"/>
          <w:sz w:val="24"/>
        </w:rPr>
        <w:t>1</w:t>
      </w:r>
      <w:r w:rsidRPr="00A67563">
        <w:rPr>
          <w:color w:val="000000" w:themeColor="text1"/>
          <w:sz w:val="24"/>
        </w:rPr>
        <w:t>．易方达中短期美元债债券（</w:t>
      </w:r>
      <w:r w:rsidRPr="00A67563">
        <w:rPr>
          <w:color w:val="000000" w:themeColor="text1"/>
          <w:sz w:val="24"/>
        </w:rPr>
        <w:t>QDII</w:t>
      </w:r>
      <w:r w:rsidRPr="00A67563">
        <w:rPr>
          <w:color w:val="000000" w:themeColor="text1"/>
          <w:sz w:val="24"/>
        </w:rPr>
        <w:t>）</w:t>
      </w:r>
      <w:r w:rsidRPr="00A67563">
        <w:rPr>
          <w:color w:val="000000" w:themeColor="text1"/>
          <w:sz w:val="24"/>
        </w:rPr>
        <w:t>A</w:t>
      </w:r>
      <w:r w:rsidRPr="00A67563">
        <w:rPr>
          <w:color w:val="000000" w:themeColor="text1"/>
          <w:sz w:val="24"/>
        </w:rPr>
        <w:t>：</w:t>
      </w:r>
    </w:p>
    <w:p w:rsidR="0065601A" w:rsidRPr="00A67563" w:rsidRDefault="0065601A" w:rsidP="0065601A">
      <w:pPr>
        <w:pStyle w:val="20"/>
        <w:spacing w:line="288" w:lineRule="auto"/>
        <w:ind w:firstLineChars="0" w:firstLine="0"/>
        <w:jc w:val="center"/>
        <w:rPr>
          <w:rFonts w:ascii="Times New Roman" w:hAnsi="Times New Roman"/>
          <w:color w:val="000000" w:themeColor="text1"/>
        </w:rPr>
      </w:pPr>
      <w:r w:rsidRPr="00A67563">
        <w:rPr>
          <w:rFonts w:ascii="Times New Roman" w:hAnsi="Times New Roman"/>
          <w:noProof/>
          <w:color w:val="000000" w:themeColor="text1"/>
        </w:rPr>
        <w:drawing>
          <wp:inline distT="0" distB="0" distL="0" distR="0">
            <wp:extent cx="5591175" cy="3276600"/>
            <wp:effectExtent l="0" t="0" r="0" b="0"/>
            <wp:docPr id="2" name="图片 2" descr="D:\浏览器下载\走势图柱状图\走势图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浏览器下载\走势图柱状图\走势图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65601A" w:rsidRPr="00A67563" w:rsidRDefault="0065601A" w:rsidP="00775284">
      <w:pPr>
        <w:snapToGrid w:val="0"/>
        <w:spacing w:beforeLines="100" w:before="312" w:line="360" w:lineRule="auto"/>
        <w:rPr>
          <w:color w:val="000000" w:themeColor="text1"/>
          <w:sz w:val="24"/>
        </w:rPr>
      </w:pPr>
      <w:r w:rsidRPr="00A67563">
        <w:rPr>
          <w:color w:val="000000" w:themeColor="text1"/>
          <w:sz w:val="24"/>
        </w:rPr>
        <w:t>2</w:t>
      </w:r>
      <w:r w:rsidRPr="00A67563">
        <w:rPr>
          <w:color w:val="000000" w:themeColor="text1"/>
          <w:sz w:val="24"/>
        </w:rPr>
        <w:t>．易方达中短期美元债债券（</w:t>
      </w:r>
      <w:r w:rsidRPr="00A67563">
        <w:rPr>
          <w:color w:val="000000" w:themeColor="text1"/>
          <w:sz w:val="24"/>
        </w:rPr>
        <w:t>QDII</w:t>
      </w:r>
      <w:r w:rsidRPr="00A67563">
        <w:rPr>
          <w:color w:val="000000" w:themeColor="text1"/>
          <w:sz w:val="24"/>
        </w:rPr>
        <w:t>）</w:t>
      </w:r>
      <w:r w:rsidRPr="00A67563">
        <w:rPr>
          <w:color w:val="000000" w:themeColor="text1"/>
          <w:sz w:val="24"/>
        </w:rPr>
        <w:t>C</w:t>
      </w:r>
      <w:r w:rsidRPr="00A67563">
        <w:rPr>
          <w:color w:val="000000" w:themeColor="text1"/>
          <w:sz w:val="24"/>
        </w:rPr>
        <w:t>：</w:t>
      </w:r>
    </w:p>
    <w:p w:rsidR="0065601A" w:rsidRPr="00A67563" w:rsidRDefault="0065601A" w:rsidP="0065601A">
      <w:pPr>
        <w:pStyle w:val="20"/>
        <w:spacing w:line="288" w:lineRule="auto"/>
        <w:ind w:firstLineChars="0" w:firstLine="0"/>
        <w:jc w:val="center"/>
        <w:rPr>
          <w:rFonts w:ascii="Times New Roman" w:hAnsi="Times New Roman"/>
          <w:color w:val="000000" w:themeColor="text1"/>
        </w:rPr>
      </w:pPr>
      <w:r w:rsidRPr="00A67563">
        <w:rPr>
          <w:rFonts w:ascii="Times New Roman" w:hAnsi="Times New Roman"/>
          <w:noProof/>
          <w:color w:val="000000" w:themeColor="text1"/>
        </w:rPr>
        <w:drawing>
          <wp:inline distT="0" distB="0" distL="0" distR="0">
            <wp:extent cx="5591175" cy="3276600"/>
            <wp:effectExtent l="0" t="0" r="0" b="0"/>
            <wp:docPr id="3" name="图片 3" descr="D:\浏览器下载\走势图柱状图\走势图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浏览器下载\走势图柱状图\走势图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591175" cy="3276600"/>
                    </a:xfrm>
                    <a:prstGeom prst="rect">
                      <a:avLst/>
                    </a:prstGeom>
                    <a:noFill/>
                    <a:ln>
                      <a:noFill/>
                    </a:ln>
                  </pic:spPr>
                </pic:pic>
              </a:graphicData>
            </a:graphic>
          </wp:inline>
        </w:drawing>
      </w:r>
    </w:p>
    <w:p w:rsidR="00F00A26" w:rsidRDefault="002A0141">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本基金的业绩比较基准已经转换为以人民币计价。</w:t>
      </w:r>
    </w:p>
    <w:p w:rsidR="00F00A26" w:rsidRDefault="002A0141">
      <w:pPr>
        <w:autoSpaceDE w:val="0"/>
        <w:autoSpaceDN w:val="0"/>
        <w:adjustRightInd w:val="0"/>
        <w:spacing w:line="360" w:lineRule="auto"/>
        <w:ind w:firstLineChars="200" w:firstLine="480"/>
        <w:jc w:val="left"/>
        <w:rPr>
          <w:color w:val="000000" w:themeColor="text1"/>
          <w:sz w:val="24"/>
        </w:rPr>
      </w:pPr>
      <w:r>
        <w:rPr>
          <w:color w:val="000000" w:themeColor="text1"/>
          <w:sz w:val="24"/>
        </w:rPr>
        <w:t>2.</w:t>
      </w:r>
      <w:r>
        <w:rPr>
          <w:color w:val="000000" w:themeColor="text1"/>
          <w:sz w:val="24"/>
        </w:rPr>
        <w:t>本基金合同于</w:t>
      </w:r>
      <w:r>
        <w:rPr>
          <w:color w:val="000000" w:themeColor="text1"/>
          <w:sz w:val="24"/>
        </w:rPr>
        <w:t>2019</w:t>
      </w:r>
      <w:r>
        <w:rPr>
          <w:color w:val="000000" w:themeColor="text1"/>
          <w:sz w:val="24"/>
        </w:rPr>
        <w:t>年</w:t>
      </w:r>
      <w:r>
        <w:rPr>
          <w:color w:val="000000" w:themeColor="text1"/>
          <w:sz w:val="24"/>
        </w:rPr>
        <w:t>6</w:t>
      </w:r>
      <w:r>
        <w:rPr>
          <w:color w:val="000000" w:themeColor="text1"/>
          <w:sz w:val="24"/>
        </w:rPr>
        <w:t>月</w:t>
      </w:r>
      <w:r>
        <w:rPr>
          <w:color w:val="000000" w:themeColor="text1"/>
          <w:sz w:val="24"/>
        </w:rPr>
        <w:t>5</w:t>
      </w:r>
      <w:r>
        <w:rPr>
          <w:color w:val="000000" w:themeColor="text1"/>
          <w:sz w:val="24"/>
        </w:rPr>
        <w:t>日生效，截至报告期末本基金合同生效未满一年。</w:t>
      </w:r>
    </w:p>
    <w:p w:rsidR="00F00A26" w:rsidRDefault="002A0141">
      <w:pPr>
        <w:autoSpaceDE w:val="0"/>
        <w:autoSpaceDN w:val="0"/>
        <w:adjustRightInd w:val="0"/>
        <w:spacing w:line="360" w:lineRule="auto"/>
        <w:ind w:firstLineChars="200" w:firstLine="480"/>
        <w:jc w:val="left"/>
        <w:rPr>
          <w:color w:val="000000" w:themeColor="text1"/>
          <w:sz w:val="24"/>
        </w:rPr>
      </w:pPr>
      <w:r>
        <w:rPr>
          <w:color w:val="000000" w:themeColor="text1"/>
          <w:sz w:val="24"/>
        </w:rPr>
        <w:t>3.</w:t>
      </w:r>
      <w:r>
        <w:rPr>
          <w:color w:val="000000" w:themeColor="text1"/>
          <w:sz w:val="24"/>
        </w:rPr>
        <w:t>按基金合同和招募说明书的约定，自基金合同生效之日起六个月内使基金的投资组合比例符合本基金合同（第十二部分二、投资范围，三、投资策略和四、投资限制）的有关约定。本报告期本基金处于建仓期内。</w:t>
      </w:r>
    </w:p>
    <w:p w:rsidR="0065601A" w:rsidRPr="00A67563" w:rsidRDefault="0065601A"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4.</w:t>
      </w:r>
      <w:r w:rsidRPr="00A67563">
        <w:rPr>
          <w:color w:val="000000" w:themeColor="text1"/>
          <w:sz w:val="24"/>
        </w:rPr>
        <w:t>自基金合同生效至报告期末，</w:t>
      </w:r>
      <w:r w:rsidRPr="00A67563">
        <w:rPr>
          <w:color w:val="000000" w:themeColor="text1"/>
          <w:sz w:val="24"/>
        </w:rPr>
        <w:t>A</w:t>
      </w:r>
      <w:r w:rsidRPr="00A67563">
        <w:rPr>
          <w:color w:val="000000" w:themeColor="text1"/>
          <w:sz w:val="24"/>
        </w:rPr>
        <w:t>类基金份额净值增长率为</w:t>
      </w:r>
      <w:r w:rsidRPr="00A67563">
        <w:rPr>
          <w:color w:val="000000" w:themeColor="text1"/>
          <w:sz w:val="24"/>
        </w:rPr>
        <w:t>4.02%</w:t>
      </w:r>
      <w:r w:rsidRPr="00A67563">
        <w:rPr>
          <w:color w:val="000000" w:themeColor="text1"/>
          <w:sz w:val="24"/>
        </w:rPr>
        <w:t>，</w:t>
      </w:r>
      <w:r w:rsidRPr="00A67563">
        <w:rPr>
          <w:color w:val="000000" w:themeColor="text1"/>
          <w:sz w:val="24"/>
        </w:rPr>
        <w:t>C</w:t>
      </w:r>
      <w:r w:rsidRPr="00A67563">
        <w:rPr>
          <w:color w:val="000000" w:themeColor="text1"/>
          <w:sz w:val="24"/>
        </w:rPr>
        <w:t>类基金份额净值增长率为</w:t>
      </w:r>
      <w:r w:rsidRPr="00A67563">
        <w:rPr>
          <w:color w:val="000000" w:themeColor="text1"/>
          <w:sz w:val="24"/>
        </w:rPr>
        <w:t>3.95%</w:t>
      </w:r>
      <w:r w:rsidRPr="00A67563">
        <w:rPr>
          <w:color w:val="000000" w:themeColor="text1"/>
          <w:sz w:val="24"/>
        </w:rPr>
        <w:t>，同期业绩比较基准收益率为</w:t>
      </w:r>
      <w:r w:rsidRPr="00A67563">
        <w:rPr>
          <w:color w:val="000000" w:themeColor="text1"/>
          <w:sz w:val="24"/>
        </w:rPr>
        <w:t>3.64%</w:t>
      </w:r>
      <w:r w:rsidRPr="00A67563">
        <w:rPr>
          <w:color w:val="000000" w:themeColor="text1"/>
          <w:sz w:val="24"/>
        </w:rPr>
        <w:t>。</w:t>
      </w:r>
    </w:p>
    <w:p w:rsidR="00845292" w:rsidRPr="00A67563" w:rsidRDefault="00845292" w:rsidP="0065601A">
      <w:pPr>
        <w:spacing w:line="360" w:lineRule="auto"/>
        <w:ind w:firstLineChars="200" w:firstLine="480"/>
        <w:rPr>
          <w:color w:val="000000" w:themeColor="text1"/>
          <w:sz w:val="24"/>
        </w:rPr>
      </w:pPr>
    </w:p>
    <w:p w:rsidR="0076518F" w:rsidRPr="00A67563" w:rsidRDefault="0076518F" w:rsidP="00775284">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§4  </w:t>
      </w:r>
      <w:r w:rsidRPr="00A67563">
        <w:rPr>
          <w:color w:val="000000" w:themeColor="text1"/>
          <w:kern w:val="0"/>
          <w:sz w:val="24"/>
          <w:szCs w:val="24"/>
        </w:rPr>
        <w:t>管理人报告</w:t>
      </w:r>
    </w:p>
    <w:p w:rsidR="0040617F" w:rsidRPr="006506EF" w:rsidRDefault="0076518F" w:rsidP="0040617F">
      <w:pPr>
        <w:autoSpaceDE w:val="0"/>
        <w:autoSpaceDN w:val="0"/>
        <w:adjustRightInd w:val="0"/>
        <w:spacing w:line="360" w:lineRule="auto"/>
        <w:jc w:val="left"/>
        <w:rPr>
          <w:b/>
          <w:color w:val="000000"/>
          <w:kern w:val="0"/>
          <w:sz w:val="24"/>
        </w:rPr>
      </w:pPr>
      <w:r w:rsidRPr="00A67563">
        <w:rPr>
          <w:b/>
          <w:color w:val="000000" w:themeColor="text1"/>
          <w:kern w:val="0"/>
          <w:sz w:val="24"/>
        </w:rPr>
        <w:t xml:space="preserve">4.1 </w:t>
      </w:r>
      <w:r w:rsidRPr="00A67563">
        <w:rPr>
          <w:b/>
          <w:color w:val="000000" w:themeColor="text1"/>
          <w:kern w:val="0"/>
          <w:sz w:val="24"/>
        </w:rPr>
        <w:t>基金经理（或基金经理小组）简介</w:t>
      </w:r>
    </w:p>
    <w:tbl>
      <w:tblPr>
        <w:tblW w:w="893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51"/>
        <w:gridCol w:w="3260"/>
        <w:gridCol w:w="1276"/>
        <w:gridCol w:w="1276"/>
        <w:gridCol w:w="850"/>
        <w:gridCol w:w="1418"/>
      </w:tblGrid>
      <w:tr w:rsidR="0040617F" w:rsidRPr="006506EF" w:rsidTr="000B42A7">
        <w:trPr>
          <w:cantSplit/>
          <w:trHeight w:val="292"/>
        </w:trPr>
        <w:tc>
          <w:tcPr>
            <w:tcW w:w="851"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姓名</w:t>
            </w:r>
          </w:p>
        </w:tc>
        <w:tc>
          <w:tcPr>
            <w:tcW w:w="3260"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职务</w:t>
            </w:r>
          </w:p>
        </w:tc>
        <w:tc>
          <w:tcPr>
            <w:tcW w:w="2552" w:type="dxa"/>
            <w:gridSpan w:val="2"/>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任本基金的基金经理期限</w:t>
            </w:r>
          </w:p>
        </w:tc>
        <w:tc>
          <w:tcPr>
            <w:tcW w:w="850" w:type="dxa"/>
            <w:vMerge w:val="restart"/>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证券从业年限</w:t>
            </w:r>
          </w:p>
        </w:tc>
        <w:tc>
          <w:tcPr>
            <w:tcW w:w="1418" w:type="dxa"/>
            <w:vMerge w:val="restart"/>
            <w:vAlign w:val="center"/>
          </w:tcPr>
          <w:p w:rsidR="0040617F" w:rsidRPr="006506EF" w:rsidRDefault="0040617F" w:rsidP="000B42A7">
            <w:pPr>
              <w:widowControl/>
              <w:spacing w:before="29" w:line="360" w:lineRule="auto"/>
              <w:ind w:left="17"/>
              <w:jc w:val="center"/>
              <w:rPr>
                <w:color w:val="000000"/>
                <w:kern w:val="0"/>
                <w:sz w:val="24"/>
              </w:rPr>
            </w:pPr>
            <w:r w:rsidRPr="006506EF">
              <w:rPr>
                <w:color w:val="000000"/>
                <w:kern w:val="0"/>
                <w:sz w:val="24"/>
              </w:rPr>
              <w:t>说明</w:t>
            </w:r>
          </w:p>
        </w:tc>
      </w:tr>
      <w:tr w:rsidR="0040617F" w:rsidRPr="006506EF" w:rsidTr="000B42A7">
        <w:trPr>
          <w:cantSplit/>
        </w:trPr>
        <w:tc>
          <w:tcPr>
            <w:tcW w:w="851" w:type="dxa"/>
            <w:vMerge/>
            <w:vAlign w:val="center"/>
          </w:tcPr>
          <w:p w:rsidR="0040617F" w:rsidRPr="006506EF" w:rsidRDefault="0040617F" w:rsidP="000B42A7">
            <w:pPr>
              <w:widowControl/>
              <w:spacing w:line="360" w:lineRule="auto"/>
              <w:jc w:val="left"/>
              <w:rPr>
                <w:color w:val="000000"/>
                <w:kern w:val="0"/>
                <w:sz w:val="24"/>
              </w:rPr>
            </w:pPr>
          </w:p>
        </w:tc>
        <w:tc>
          <w:tcPr>
            <w:tcW w:w="3260" w:type="dxa"/>
            <w:vMerge/>
            <w:vAlign w:val="center"/>
          </w:tcPr>
          <w:p w:rsidR="0040617F" w:rsidRPr="006506EF" w:rsidRDefault="0040617F" w:rsidP="000B42A7">
            <w:pPr>
              <w:widowControl/>
              <w:spacing w:line="360" w:lineRule="auto"/>
              <w:jc w:val="left"/>
              <w:rPr>
                <w:color w:val="000000"/>
                <w:kern w:val="0"/>
                <w:sz w:val="24"/>
              </w:rPr>
            </w:pPr>
          </w:p>
        </w:tc>
        <w:tc>
          <w:tcPr>
            <w:tcW w:w="1276" w:type="dxa"/>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任职日期</w:t>
            </w:r>
          </w:p>
        </w:tc>
        <w:tc>
          <w:tcPr>
            <w:tcW w:w="1276" w:type="dxa"/>
            <w:vAlign w:val="center"/>
          </w:tcPr>
          <w:p w:rsidR="0040617F" w:rsidRPr="006506EF" w:rsidRDefault="0040617F" w:rsidP="000B42A7">
            <w:pPr>
              <w:autoSpaceDE w:val="0"/>
              <w:autoSpaceDN w:val="0"/>
              <w:adjustRightInd w:val="0"/>
              <w:spacing w:before="29" w:line="360" w:lineRule="auto"/>
              <w:ind w:left="17"/>
              <w:jc w:val="center"/>
              <w:rPr>
                <w:color w:val="000000"/>
                <w:kern w:val="0"/>
                <w:sz w:val="24"/>
              </w:rPr>
            </w:pPr>
            <w:r w:rsidRPr="006506EF">
              <w:rPr>
                <w:color w:val="000000"/>
                <w:kern w:val="0"/>
                <w:sz w:val="24"/>
              </w:rPr>
              <w:t>离任日期</w:t>
            </w:r>
          </w:p>
        </w:tc>
        <w:tc>
          <w:tcPr>
            <w:tcW w:w="850" w:type="dxa"/>
            <w:vMerge/>
            <w:vAlign w:val="center"/>
          </w:tcPr>
          <w:p w:rsidR="0040617F" w:rsidRPr="006506EF" w:rsidRDefault="0040617F" w:rsidP="000B42A7">
            <w:pPr>
              <w:widowControl/>
              <w:spacing w:line="360" w:lineRule="auto"/>
              <w:jc w:val="left"/>
              <w:rPr>
                <w:color w:val="000000"/>
                <w:kern w:val="0"/>
                <w:sz w:val="24"/>
              </w:rPr>
            </w:pPr>
          </w:p>
        </w:tc>
        <w:tc>
          <w:tcPr>
            <w:tcW w:w="1418" w:type="dxa"/>
            <w:vMerge/>
            <w:vAlign w:val="center"/>
          </w:tcPr>
          <w:p w:rsidR="0040617F" w:rsidRPr="006506EF" w:rsidRDefault="0040617F" w:rsidP="000B42A7">
            <w:pPr>
              <w:widowControl/>
              <w:spacing w:line="360" w:lineRule="auto"/>
              <w:jc w:val="left"/>
              <w:rPr>
                <w:color w:val="000000"/>
                <w:kern w:val="0"/>
                <w:sz w:val="24"/>
              </w:rPr>
            </w:pPr>
          </w:p>
        </w:tc>
      </w:tr>
      <w:tr w:rsidR="00F00A26">
        <w:tc>
          <w:tcPr>
            <w:tcW w:w="851" w:type="dxa"/>
            <w:vAlign w:val="center"/>
          </w:tcPr>
          <w:p w:rsidR="00F00A26" w:rsidRDefault="002A0141">
            <w:pPr>
              <w:jc w:val="center"/>
            </w:pPr>
            <w:r>
              <w:rPr>
                <w:color w:val="000000"/>
                <w:sz w:val="24"/>
              </w:rPr>
              <w:t>周怡</w:t>
            </w:r>
          </w:p>
        </w:tc>
        <w:tc>
          <w:tcPr>
            <w:tcW w:w="3260" w:type="dxa"/>
            <w:vAlign w:val="center"/>
          </w:tcPr>
          <w:p w:rsidR="00F00A26" w:rsidRDefault="002A0141">
            <w:pPr>
              <w:jc w:val="center"/>
            </w:pPr>
            <w:r>
              <w:rPr>
                <w:color w:val="000000"/>
                <w:sz w:val="24"/>
              </w:rPr>
              <w:t>本基金的基金经理、易方达资产管理（香港）有限公司国际投资部基金经理</w:t>
            </w:r>
          </w:p>
        </w:tc>
        <w:tc>
          <w:tcPr>
            <w:tcW w:w="1276" w:type="dxa"/>
            <w:vAlign w:val="center"/>
          </w:tcPr>
          <w:p w:rsidR="00F00A26" w:rsidRDefault="002A0141">
            <w:pPr>
              <w:jc w:val="center"/>
            </w:pPr>
            <w:r>
              <w:rPr>
                <w:color w:val="000000"/>
                <w:sz w:val="24"/>
              </w:rPr>
              <w:t>2019-06-05</w:t>
            </w:r>
          </w:p>
        </w:tc>
        <w:tc>
          <w:tcPr>
            <w:tcW w:w="1276" w:type="dxa"/>
            <w:vAlign w:val="center"/>
          </w:tcPr>
          <w:p w:rsidR="00F00A26" w:rsidRDefault="002A0141">
            <w:pPr>
              <w:jc w:val="center"/>
            </w:pPr>
            <w:r>
              <w:rPr>
                <w:color w:val="000000"/>
                <w:sz w:val="24"/>
              </w:rPr>
              <w:t>-</w:t>
            </w:r>
          </w:p>
        </w:tc>
        <w:tc>
          <w:tcPr>
            <w:tcW w:w="850" w:type="dxa"/>
            <w:vAlign w:val="center"/>
          </w:tcPr>
          <w:p w:rsidR="00F00A26" w:rsidRDefault="002A0141">
            <w:pPr>
              <w:jc w:val="center"/>
            </w:pPr>
            <w:r>
              <w:rPr>
                <w:color w:val="000000"/>
                <w:sz w:val="24"/>
              </w:rPr>
              <w:t>9</w:t>
            </w:r>
            <w:r>
              <w:rPr>
                <w:color w:val="000000"/>
                <w:sz w:val="24"/>
              </w:rPr>
              <w:t>年</w:t>
            </w:r>
          </w:p>
        </w:tc>
        <w:tc>
          <w:tcPr>
            <w:tcW w:w="1418" w:type="dxa"/>
            <w:vAlign w:val="center"/>
          </w:tcPr>
          <w:p w:rsidR="00F00A26" w:rsidRDefault="002A0141">
            <w:pPr>
              <w:jc w:val="left"/>
            </w:pPr>
            <w:r>
              <w:rPr>
                <w:color w:val="000000"/>
                <w:sz w:val="24"/>
              </w:rPr>
              <w:t>硕士研究生，曾任平安银行总行对公业务企划部管理培训生，招商银行总行金融市场部风险经理、资产管理部外币理财团队负责人、资产管理部投资经理，易方达资产管理（香港）有限公司国际投资部投资经理。</w:t>
            </w:r>
          </w:p>
        </w:tc>
      </w:tr>
      <w:tr w:rsidR="00F00A26">
        <w:tc>
          <w:tcPr>
            <w:tcW w:w="851" w:type="dxa"/>
            <w:vAlign w:val="center"/>
          </w:tcPr>
          <w:p w:rsidR="00F00A26" w:rsidRDefault="002A0141">
            <w:pPr>
              <w:jc w:val="center"/>
            </w:pPr>
            <w:r>
              <w:rPr>
                <w:color w:val="000000"/>
                <w:sz w:val="24"/>
              </w:rPr>
              <w:t>祁广东</w:t>
            </w:r>
          </w:p>
        </w:tc>
        <w:tc>
          <w:tcPr>
            <w:tcW w:w="3260" w:type="dxa"/>
            <w:vAlign w:val="center"/>
          </w:tcPr>
          <w:p w:rsidR="00F00A26" w:rsidRDefault="002A0141">
            <w:pPr>
              <w:jc w:val="center"/>
            </w:pPr>
            <w:r>
              <w:rPr>
                <w:color w:val="000000"/>
                <w:sz w:val="24"/>
              </w:rPr>
              <w:t>本基金的基金经理、易方达资产管理（香港）有限公司就证券提供意见负责人员（</w:t>
            </w:r>
            <w:r>
              <w:rPr>
                <w:color w:val="000000"/>
                <w:sz w:val="24"/>
              </w:rPr>
              <w:t>RO</w:t>
            </w:r>
            <w:r>
              <w:rPr>
                <w:color w:val="000000"/>
                <w:sz w:val="24"/>
              </w:rPr>
              <w:t>）、提供资产管理负责人员（</w:t>
            </w:r>
            <w:r>
              <w:rPr>
                <w:color w:val="000000"/>
                <w:sz w:val="24"/>
              </w:rPr>
              <w:t>RO</w:t>
            </w:r>
            <w:r>
              <w:rPr>
                <w:color w:val="000000"/>
                <w:sz w:val="24"/>
              </w:rPr>
              <w:t>）、固定收益投资决策委员会委员、固定收益部主管、基金经理</w:t>
            </w:r>
          </w:p>
        </w:tc>
        <w:tc>
          <w:tcPr>
            <w:tcW w:w="1276" w:type="dxa"/>
            <w:vAlign w:val="center"/>
          </w:tcPr>
          <w:p w:rsidR="00F00A26" w:rsidRDefault="002A0141">
            <w:pPr>
              <w:jc w:val="center"/>
            </w:pPr>
            <w:r>
              <w:rPr>
                <w:color w:val="000000"/>
                <w:sz w:val="24"/>
              </w:rPr>
              <w:t>2019-06-05</w:t>
            </w:r>
          </w:p>
        </w:tc>
        <w:tc>
          <w:tcPr>
            <w:tcW w:w="1276" w:type="dxa"/>
            <w:vAlign w:val="center"/>
          </w:tcPr>
          <w:p w:rsidR="00F00A26" w:rsidRDefault="002A0141">
            <w:pPr>
              <w:jc w:val="center"/>
            </w:pPr>
            <w:r>
              <w:rPr>
                <w:color w:val="000000"/>
                <w:sz w:val="24"/>
              </w:rPr>
              <w:t>-</w:t>
            </w:r>
          </w:p>
        </w:tc>
        <w:tc>
          <w:tcPr>
            <w:tcW w:w="850" w:type="dxa"/>
            <w:vAlign w:val="center"/>
          </w:tcPr>
          <w:p w:rsidR="00F00A26" w:rsidRDefault="002A0141">
            <w:pPr>
              <w:jc w:val="center"/>
            </w:pPr>
            <w:r>
              <w:rPr>
                <w:color w:val="000000"/>
                <w:sz w:val="24"/>
              </w:rPr>
              <w:t>10</w:t>
            </w:r>
            <w:r>
              <w:rPr>
                <w:color w:val="000000"/>
                <w:sz w:val="24"/>
              </w:rPr>
              <w:t>年</w:t>
            </w:r>
          </w:p>
        </w:tc>
        <w:tc>
          <w:tcPr>
            <w:tcW w:w="1418" w:type="dxa"/>
            <w:vAlign w:val="center"/>
          </w:tcPr>
          <w:p w:rsidR="00F00A26" w:rsidRDefault="002A0141">
            <w:pPr>
              <w:jc w:val="left"/>
            </w:pPr>
            <w:r>
              <w:rPr>
                <w:color w:val="000000"/>
                <w:sz w:val="24"/>
              </w:rPr>
              <w:t>硕士研究生，曾任申银万国证券固定收益总部助理分析师、交易员、助理投资经理，申银万国投资管理（亚洲）有限公司基金经理，</w:t>
            </w:r>
            <w:r>
              <w:rPr>
                <w:color w:val="000000"/>
                <w:sz w:val="24"/>
              </w:rPr>
              <w:t>易方达基金管理有限公司投资经理，易方达资产管理（香港）有限公司投资经理。</w:t>
            </w:r>
          </w:p>
        </w:tc>
      </w:tr>
    </w:tbl>
    <w:p w:rsidR="00F00A26" w:rsidRDefault="002A0141">
      <w:pPr>
        <w:autoSpaceDE w:val="0"/>
        <w:autoSpaceDN w:val="0"/>
        <w:adjustRightInd w:val="0"/>
        <w:spacing w:line="360" w:lineRule="auto"/>
        <w:ind w:firstLineChars="200" w:firstLine="480"/>
        <w:jc w:val="left"/>
        <w:rPr>
          <w:color w:val="000000" w:themeColor="text1"/>
          <w:sz w:val="24"/>
        </w:rPr>
      </w:pPr>
      <w:r>
        <w:rPr>
          <w:color w:val="000000"/>
          <w:sz w:val="24"/>
        </w:rPr>
        <w:t>注：</w:t>
      </w:r>
      <w:r>
        <w:rPr>
          <w:color w:val="000000"/>
          <w:sz w:val="24"/>
        </w:rPr>
        <w:t>1.</w:t>
      </w:r>
      <w:r>
        <w:rPr>
          <w:color w:val="000000"/>
          <w:sz w:val="24"/>
        </w:rPr>
        <w:t>对基金的首任基金经理，其</w:t>
      </w:r>
      <w:r>
        <w:rPr>
          <w:color w:val="000000"/>
          <w:sz w:val="24"/>
        </w:rPr>
        <w:t>“</w:t>
      </w:r>
      <w:r>
        <w:rPr>
          <w:color w:val="000000"/>
          <w:sz w:val="24"/>
        </w:rPr>
        <w:t>任职日期</w:t>
      </w:r>
      <w:r>
        <w:rPr>
          <w:color w:val="000000"/>
          <w:sz w:val="24"/>
        </w:rPr>
        <w:t>”</w:t>
      </w:r>
      <w:r>
        <w:rPr>
          <w:color w:val="000000"/>
          <w:sz w:val="24"/>
        </w:rPr>
        <w:t>为基金合同生效日，</w:t>
      </w:r>
      <w:r>
        <w:rPr>
          <w:color w:val="000000"/>
          <w:sz w:val="24"/>
        </w:rPr>
        <w:t>“</w:t>
      </w:r>
      <w:r>
        <w:rPr>
          <w:color w:val="000000"/>
          <w:sz w:val="24"/>
        </w:rPr>
        <w:t>离任日期</w:t>
      </w:r>
      <w:r>
        <w:rPr>
          <w:color w:val="000000"/>
          <w:sz w:val="24"/>
        </w:rPr>
        <w:t>”</w:t>
      </w:r>
      <w:r>
        <w:rPr>
          <w:color w:val="000000"/>
          <w:sz w:val="24"/>
        </w:rPr>
        <w:t>为根据公司决定确定的解聘日期；对此后的非首任基金经理，</w:t>
      </w:r>
      <w:r>
        <w:rPr>
          <w:color w:val="000000"/>
          <w:sz w:val="24"/>
        </w:rPr>
        <w:t>“</w:t>
      </w:r>
      <w:r>
        <w:rPr>
          <w:color w:val="000000"/>
          <w:sz w:val="24"/>
        </w:rPr>
        <w:t>任职日期</w:t>
      </w:r>
      <w:r>
        <w:rPr>
          <w:color w:val="000000"/>
          <w:sz w:val="24"/>
        </w:rPr>
        <w:t>”</w:t>
      </w:r>
      <w:r>
        <w:rPr>
          <w:color w:val="000000"/>
          <w:sz w:val="24"/>
        </w:rPr>
        <w:t>和</w:t>
      </w:r>
      <w:r>
        <w:rPr>
          <w:color w:val="000000"/>
          <w:sz w:val="24"/>
        </w:rPr>
        <w:t>“</w:t>
      </w:r>
      <w:r>
        <w:rPr>
          <w:color w:val="000000"/>
          <w:sz w:val="24"/>
        </w:rPr>
        <w:t>离任日期</w:t>
      </w:r>
      <w:r>
        <w:rPr>
          <w:color w:val="000000"/>
          <w:sz w:val="24"/>
        </w:rPr>
        <w:t>”</w:t>
      </w:r>
      <w:r>
        <w:rPr>
          <w:color w:val="000000"/>
          <w:sz w:val="24"/>
        </w:rPr>
        <w:t>分别指根据公司决定确定的聘任日期和解聘日期。</w:t>
      </w:r>
    </w:p>
    <w:p w:rsidR="00A47E47" w:rsidRPr="00A67563" w:rsidRDefault="0040617F" w:rsidP="00120EAF">
      <w:pPr>
        <w:autoSpaceDE w:val="0"/>
        <w:autoSpaceDN w:val="0"/>
        <w:adjustRightInd w:val="0"/>
        <w:spacing w:line="360" w:lineRule="auto"/>
        <w:ind w:firstLineChars="200" w:firstLine="480"/>
        <w:jc w:val="left"/>
        <w:rPr>
          <w:color w:val="000000" w:themeColor="text1"/>
          <w:sz w:val="24"/>
        </w:rPr>
      </w:pPr>
      <w:r w:rsidRPr="006506EF">
        <w:rPr>
          <w:color w:val="000000"/>
          <w:sz w:val="24"/>
        </w:rPr>
        <w:t>2.</w:t>
      </w:r>
      <w:r w:rsidRPr="006506EF">
        <w:rPr>
          <w:color w:val="000000"/>
          <w:sz w:val="24"/>
        </w:rPr>
        <w:t>证券从业的含义遵从《证券业从业人员资格管理办法》的相关规定。</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4.</w:t>
      </w:r>
      <w:r w:rsidR="00F077D2" w:rsidRPr="00A67563">
        <w:rPr>
          <w:b/>
          <w:color w:val="000000" w:themeColor="text1"/>
          <w:kern w:val="0"/>
          <w:sz w:val="24"/>
        </w:rPr>
        <w:t>2</w:t>
      </w:r>
      <w:r w:rsidR="00A32FDA" w:rsidRPr="00A67563">
        <w:rPr>
          <w:b/>
          <w:color w:val="000000" w:themeColor="text1"/>
          <w:kern w:val="0"/>
          <w:sz w:val="24"/>
        </w:rPr>
        <w:t xml:space="preserve"> </w:t>
      </w:r>
      <w:r w:rsidRPr="00A67563">
        <w:rPr>
          <w:b/>
          <w:color w:val="000000" w:themeColor="text1"/>
          <w:kern w:val="0"/>
          <w:sz w:val="24"/>
        </w:rPr>
        <w:t>境外投资顾问为本基金提供投资建议的主要成员简介</w:t>
      </w:r>
    </w:p>
    <w:p w:rsidR="00363E15" w:rsidRPr="00A67563" w:rsidRDefault="00363E15"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本基金没有聘请境外投资顾问。</w:t>
      </w:r>
    </w:p>
    <w:p w:rsidR="00FB47E0" w:rsidRPr="00A67563" w:rsidRDefault="00FB47E0" w:rsidP="008B6A4A">
      <w:pPr>
        <w:autoSpaceDE w:val="0"/>
        <w:autoSpaceDN w:val="0"/>
        <w:adjustRightInd w:val="0"/>
        <w:spacing w:line="360" w:lineRule="auto"/>
        <w:jc w:val="left"/>
        <w:rPr>
          <w:color w:val="000000" w:themeColor="text1"/>
          <w:kern w:val="0"/>
          <w:sz w:val="24"/>
        </w:rPr>
      </w:pPr>
    </w:p>
    <w:p w:rsidR="0008610C" w:rsidRDefault="0076518F" w:rsidP="0008610C">
      <w:pPr>
        <w:autoSpaceDE w:val="0"/>
        <w:autoSpaceDN w:val="0"/>
        <w:adjustRightInd w:val="0"/>
        <w:spacing w:line="360" w:lineRule="auto"/>
        <w:jc w:val="left"/>
        <w:rPr>
          <w:b/>
          <w:color w:val="000000"/>
          <w:kern w:val="0"/>
          <w:sz w:val="24"/>
        </w:rPr>
      </w:pPr>
      <w:r w:rsidRPr="00A67563">
        <w:rPr>
          <w:b/>
          <w:color w:val="000000" w:themeColor="text1"/>
          <w:kern w:val="0"/>
          <w:sz w:val="24"/>
        </w:rPr>
        <w:t>4.</w:t>
      </w:r>
      <w:r w:rsidR="00A32FDA" w:rsidRPr="00A67563">
        <w:rPr>
          <w:b/>
          <w:color w:val="000000" w:themeColor="text1"/>
          <w:kern w:val="0"/>
          <w:sz w:val="24"/>
        </w:rPr>
        <w:t>3</w:t>
      </w:r>
      <w:r w:rsidR="0008610C">
        <w:rPr>
          <w:rFonts w:hint="eastAsia"/>
          <w:b/>
          <w:color w:val="000000"/>
          <w:kern w:val="0"/>
          <w:sz w:val="24"/>
        </w:rPr>
        <w:t>报告期内本基金运作遵规守信情况说明</w:t>
      </w:r>
    </w:p>
    <w:p w:rsidR="00363E15" w:rsidRPr="00A67563" w:rsidRDefault="00363E15" w:rsidP="00636CF5">
      <w:pPr>
        <w:spacing w:line="360" w:lineRule="auto"/>
        <w:ind w:firstLineChars="200" w:firstLine="480"/>
        <w:rPr>
          <w:color w:val="000000" w:themeColor="text1"/>
          <w:sz w:val="24"/>
        </w:rPr>
      </w:pPr>
      <w:r w:rsidRPr="00A67563">
        <w:rPr>
          <w:color w:val="000000" w:themeColor="text1"/>
          <w:sz w:val="24"/>
        </w:rPr>
        <w:t>本报告期内，本基金管理人严格遵守《证券投资基金法》等有关法律法规及基金合同、基金招募说明书等有关基金法律文件的规定，以取信于市场、取信于社会投资公众为宗旨，本着诚实信用、勤勉尽责的原则管理和运用基金资产，在控制风险的前提下，为基金份额持有人谋求最大利益。在本报告期内，基金运作合法合规，无损害基金份额持有人利益的行为。</w:t>
      </w:r>
    </w:p>
    <w:p w:rsidR="0076518F" w:rsidRPr="00A67563" w:rsidRDefault="0076518F" w:rsidP="00A70E23">
      <w:pPr>
        <w:autoSpaceDE w:val="0"/>
        <w:autoSpaceDN w:val="0"/>
        <w:adjustRightInd w:val="0"/>
        <w:spacing w:line="360" w:lineRule="auto"/>
        <w:jc w:val="left"/>
        <w:rPr>
          <w:color w:val="000000" w:themeColor="text1"/>
          <w:kern w:val="0"/>
          <w:sz w:val="24"/>
        </w:rPr>
      </w:pPr>
    </w:p>
    <w:p w:rsidR="0076518F" w:rsidRPr="00A67563" w:rsidRDefault="0076518F" w:rsidP="00A70E2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4.</w:t>
      </w:r>
      <w:r w:rsidR="00A32FDA" w:rsidRPr="00A67563">
        <w:rPr>
          <w:b/>
          <w:color w:val="000000" w:themeColor="text1"/>
          <w:kern w:val="0"/>
          <w:sz w:val="24"/>
        </w:rPr>
        <w:t>4</w:t>
      </w:r>
      <w:r w:rsidRPr="00A67563">
        <w:rPr>
          <w:b/>
          <w:color w:val="000000" w:themeColor="text1"/>
          <w:kern w:val="0"/>
          <w:sz w:val="24"/>
        </w:rPr>
        <w:t xml:space="preserve"> </w:t>
      </w:r>
      <w:r w:rsidRPr="00A67563">
        <w:rPr>
          <w:b/>
          <w:color w:val="000000" w:themeColor="text1"/>
          <w:kern w:val="0"/>
          <w:sz w:val="24"/>
        </w:rPr>
        <w:t>公平交易专项说明</w:t>
      </w:r>
    </w:p>
    <w:p w:rsidR="00AB42E2" w:rsidRPr="00A67563" w:rsidRDefault="00AB42E2" w:rsidP="00A70E23">
      <w:pPr>
        <w:spacing w:line="360" w:lineRule="auto"/>
        <w:rPr>
          <w:color w:val="000000" w:themeColor="text1"/>
          <w:sz w:val="24"/>
        </w:rPr>
      </w:pPr>
      <w:r w:rsidRPr="00A67563">
        <w:rPr>
          <w:color w:val="000000" w:themeColor="text1"/>
          <w:sz w:val="24"/>
        </w:rPr>
        <w:t>4.</w:t>
      </w:r>
      <w:r w:rsidR="00A32FDA" w:rsidRPr="00A67563">
        <w:rPr>
          <w:color w:val="000000" w:themeColor="text1"/>
          <w:sz w:val="24"/>
        </w:rPr>
        <w:t>4.1</w:t>
      </w:r>
      <w:r w:rsidRPr="00A67563">
        <w:rPr>
          <w:color w:val="000000" w:themeColor="text1"/>
          <w:sz w:val="24"/>
        </w:rPr>
        <w:t>公平交易制度的执行情况</w:t>
      </w:r>
    </w:p>
    <w:p w:rsidR="00AB42E2" w:rsidRPr="00A67563" w:rsidRDefault="001F3C28" w:rsidP="00797DD2">
      <w:pPr>
        <w:spacing w:line="360" w:lineRule="auto"/>
        <w:ind w:firstLineChars="200" w:firstLine="480"/>
        <w:rPr>
          <w:color w:val="000000" w:themeColor="text1"/>
          <w:sz w:val="24"/>
        </w:rPr>
      </w:pPr>
      <w:r w:rsidRPr="00A67563">
        <w:rPr>
          <w:color w:val="000000" w:themeColor="text1"/>
          <w:sz w:val="24"/>
        </w:rPr>
        <w:t>本基金管理人努力通过建立有纪律、规范化的投资研究和决策流程来确保公平对待不同投资组合，切实防范利益输送。本基金管理人制定了相应的投资权限管理制度、投资备选库管理制度和集中交易制度等，通过投资交易系统中的公平交易模块，同时依据境外市场的交易特点规范交易委托方式，以尽可能确保公平对待各投资组合。本报告期内，公平交易制度总体执行情况良好。</w:t>
      </w:r>
    </w:p>
    <w:p w:rsidR="00AB42E2" w:rsidRPr="00A67563" w:rsidRDefault="00AB42E2" w:rsidP="00A70E23">
      <w:pPr>
        <w:spacing w:line="360" w:lineRule="auto"/>
        <w:rPr>
          <w:color w:val="000000" w:themeColor="text1"/>
          <w:sz w:val="24"/>
        </w:rPr>
      </w:pPr>
      <w:r w:rsidRPr="00A67563">
        <w:rPr>
          <w:color w:val="000000" w:themeColor="text1"/>
          <w:sz w:val="24"/>
        </w:rPr>
        <w:t>4.</w:t>
      </w:r>
      <w:r w:rsidR="00A32FDA" w:rsidRPr="00A67563">
        <w:rPr>
          <w:color w:val="000000" w:themeColor="text1"/>
          <w:sz w:val="24"/>
        </w:rPr>
        <w:t>4</w:t>
      </w:r>
      <w:r w:rsidRPr="00A67563">
        <w:rPr>
          <w:color w:val="000000" w:themeColor="text1"/>
          <w:sz w:val="24"/>
        </w:rPr>
        <w:t>.</w:t>
      </w:r>
      <w:r w:rsidR="00A32FDA" w:rsidRPr="00A67563">
        <w:rPr>
          <w:color w:val="000000" w:themeColor="text1"/>
          <w:sz w:val="24"/>
        </w:rPr>
        <w:t>2</w:t>
      </w:r>
      <w:r w:rsidRPr="00A67563">
        <w:rPr>
          <w:color w:val="000000" w:themeColor="text1"/>
          <w:sz w:val="24"/>
        </w:rPr>
        <w:t>异常交易行为的专项说明</w:t>
      </w:r>
    </w:p>
    <w:p w:rsidR="00F00A26" w:rsidRDefault="002A0141">
      <w:pPr>
        <w:spacing w:line="360" w:lineRule="auto"/>
        <w:ind w:firstLineChars="200" w:firstLine="480"/>
        <w:rPr>
          <w:color w:val="000000" w:themeColor="text1"/>
          <w:sz w:val="24"/>
        </w:rPr>
      </w:pPr>
      <w:r>
        <w:rPr>
          <w:color w:val="000000" w:themeColor="text1"/>
          <w:sz w:val="24"/>
        </w:rPr>
        <w:t>本报告期内，公司旗下所有投资组合参与的交易所公开竞价交易中，同日反向交易成交较少的单边交易量超过该证券当日成交量的</w:t>
      </w:r>
      <w:r>
        <w:rPr>
          <w:color w:val="000000" w:themeColor="text1"/>
          <w:sz w:val="24"/>
        </w:rPr>
        <w:t>5%</w:t>
      </w:r>
      <w:r>
        <w:rPr>
          <w:color w:val="000000" w:themeColor="text1"/>
          <w:sz w:val="24"/>
        </w:rPr>
        <w:t>的交易共</w:t>
      </w:r>
      <w:r>
        <w:rPr>
          <w:color w:val="000000" w:themeColor="text1"/>
          <w:sz w:val="24"/>
        </w:rPr>
        <w:t>26</w:t>
      </w:r>
      <w:r>
        <w:rPr>
          <w:color w:val="000000" w:themeColor="text1"/>
          <w:sz w:val="24"/>
        </w:rPr>
        <w:t>次，均为指数量化投资组合因投资策略需要和其他组合发生的反向交易。</w:t>
      </w:r>
    </w:p>
    <w:p w:rsidR="001F3C28" w:rsidRPr="00A67563" w:rsidRDefault="001F3C28" w:rsidP="00797DD2">
      <w:pPr>
        <w:spacing w:line="360" w:lineRule="auto"/>
        <w:ind w:firstLineChars="200" w:firstLine="480"/>
        <w:rPr>
          <w:color w:val="000000" w:themeColor="text1"/>
          <w:sz w:val="24"/>
        </w:rPr>
      </w:pPr>
      <w:r w:rsidRPr="00A67563">
        <w:rPr>
          <w:color w:val="000000" w:themeColor="text1"/>
          <w:sz w:val="24"/>
        </w:rPr>
        <w:t>本报告期内，未发现本基金有可能导致不公平交易和利益输送的异常交易。</w:t>
      </w:r>
    </w:p>
    <w:p w:rsidR="0076518F" w:rsidRPr="00A67563" w:rsidRDefault="0076518F" w:rsidP="00A70E23">
      <w:pPr>
        <w:autoSpaceDE w:val="0"/>
        <w:autoSpaceDN w:val="0"/>
        <w:adjustRightInd w:val="0"/>
        <w:spacing w:line="360" w:lineRule="auto"/>
        <w:jc w:val="left"/>
        <w:rPr>
          <w:color w:val="000000" w:themeColor="text1"/>
          <w:kern w:val="0"/>
          <w:sz w:val="24"/>
        </w:rPr>
      </w:pPr>
    </w:p>
    <w:p w:rsidR="0067094A" w:rsidRDefault="0076518F" w:rsidP="0067094A">
      <w:pPr>
        <w:autoSpaceDE w:val="0"/>
        <w:autoSpaceDN w:val="0"/>
        <w:adjustRightInd w:val="0"/>
        <w:spacing w:line="360" w:lineRule="auto"/>
        <w:jc w:val="left"/>
        <w:rPr>
          <w:sz w:val="24"/>
        </w:rPr>
      </w:pPr>
      <w:r w:rsidRPr="00A67563">
        <w:rPr>
          <w:b/>
          <w:color w:val="000000" w:themeColor="text1"/>
          <w:kern w:val="0"/>
          <w:sz w:val="24"/>
        </w:rPr>
        <w:t>4.</w:t>
      </w:r>
      <w:r w:rsidR="00A32FDA" w:rsidRPr="00A67563">
        <w:rPr>
          <w:b/>
          <w:color w:val="000000" w:themeColor="text1"/>
          <w:kern w:val="0"/>
          <w:sz w:val="24"/>
        </w:rPr>
        <w:t>5</w:t>
      </w:r>
      <w:r w:rsidRPr="00A67563">
        <w:rPr>
          <w:b/>
          <w:color w:val="000000" w:themeColor="text1"/>
          <w:kern w:val="0"/>
          <w:sz w:val="24"/>
        </w:rPr>
        <w:t xml:space="preserve"> </w:t>
      </w:r>
      <w:r w:rsidR="0067094A">
        <w:rPr>
          <w:rFonts w:hint="eastAsia"/>
          <w:b/>
          <w:color w:val="000000"/>
          <w:kern w:val="0"/>
          <w:sz w:val="24"/>
        </w:rPr>
        <w:t>报告期内基金的投资策略和业绩表现说明</w:t>
      </w:r>
    </w:p>
    <w:p w:rsidR="00F00A26" w:rsidRDefault="002A0141">
      <w:pPr>
        <w:spacing w:line="360" w:lineRule="auto"/>
        <w:ind w:firstLineChars="200" w:firstLine="480"/>
        <w:rPr>
          <w:color w:val="000000" w:themeColor="text1"/>
          <w:sz w:val="24"/>
        </w:rPr>
      </w:pPr>
      <w:r>
        <w:rPr>
          <w:color w:val="000000" w:themeColor="text1"/>
          <w:sz w:val="24"/>
        </w:rPr>
        <w:t>三季度美债市场受贸易战情绪主导大幅震荡，</w:t>
      </w:r>
      <w:r>
        <w:rPr>
          <w:color w:val="000000" w:themeColor="text1"/>
          <w:sz w:val="24"/>
        </w:rPr>
        <w:t>7</w:t>
      </w:r>
      <w:r>
        <w:rPr>
          <w:color w:val="000000" w:themeColor="text1"/>
          <w:sz w:val="24"/>
        </w:rPr>
        <w:t>月利率水平基本稳定，</w:t>
      </w:r>
      <w:r>
        <w:rPr>
          <w:color w:val="000000" w:themeColor="text1"/>
          <w:sz w:val="24"/>
        </w:rPr>
        <w:t>8</w:t>
      </w:r>
      <w:r>
        <w:rPr>
          <w:color w:val="000000" w:themeColor="text1"/>
          <w:sz w:val="24"/>
        </w:rPr>
        <w:t>月贸易摩擦导致美债曲线大幅下行近</w:t>
      </w:r>
      <w:r>
        <w:rPr>
          <w:color w:val="000000" w:themeColor="text1"/>
          <w:sz w:val="24"/>
        </w:rPr>
        <w:t>50</w:t>
      </w:r>
      <w:r>
        <w:rPr>
          <w:color w:val="000000" w:themeColor="text1"/>
          <w:sz w:val="24"/>
        </w:rPr>
        <w:t>基点，</w:t>
      </w:r>
      <w:r>
        <w:rPr>
          <w:color w:val="000000" w:themeColor="text1"/>
          <w:sz w:val="24"/>
        </w:rPr>
        <w:t>9</w:t>
      </w:r>
      <w:r>
        <w:rPr>
          <w:color w:val="000000" w:themeColor="text1"/>
          <w:sz w:val="24"/>
        </w:rPr>
        <w:t>月受贸易谈判重启激励，美债大幅上行</w:t>
      </w:r>
      <w:r>
        <w:rPr>
          <w:color w:val="000000" w:themeColor="text1"/>
          <w:sz w:val="24"/>
        </w:rPr>
        <w:t>40</w:t>
      </w:r>
      <w:r>
        <w:rPr>
          <w:color w:val="000000" w:themeColor="text1"/>
          <w:sz w:val="24"/>
        </w:rPr>
        <w:t>基点后，又因欧洲经济数据不佳下挫</w:t>
      </w:r>
      <w:r>
        <w:rPr>
          <w:color w:val="000000" w:themeColor="text1"/>
          <w:sz w:val="24"/>
        </w:rPr>
        <w:t>30</w:t>
      </w:r>
      <w:r>
        <w:rPr>
          <w:color w:val="000000" w:themeColor="text1"/>
          <w:sz w:val="24"/>
        </w:rPr>
        <w:t>基点，目前的利率水平体现了市场对经济前景与政治局势的悲观预期，当预期边际发生变化时，市场波动会增加。</w:t>
      </w:r>
    </w:p>
    <w:p w:rsidR="00F00A26" w:rsidRDefault="002A0141">
      <w:pPr>
        <w:spacing w:line="360" w:lineRule="auto"/>
        <w:ind w:firstLineChars="200" w:firstLine="480"/>
        <w:rPr>
          <w:color w:val="000000" w:themeColor="text1"/>
          <w:sz w:val="24"/>
        </w:rPr>
      </w:pPr>
      <w:r>
        <w:rPr>
          <w:color w:val="000000" w:themeColor="text1"/>
          <w:sz w:val="24"/>
        </w:rPr>
        <w:t>本基金在三季度提高了组合平均久期，在房地产板块与高等级城投债与高等级央企债券间进行波段操作，并进一步从发行主体、债券上进行了分散，降低单一主体市场波动对组合可能的影响。</w:t>
      </w:r>
    </w:p>
    <w:p w:rsidR="00FD7298" w:rsidRPr="00A67563" w:rsidRDefault="0067094A" w:rsidP="00F47E2F">
      <w:pPr>
        <w:spacing w:line="360" w:lineRule="auto"/>
        <w:ind w:firstLineChars="200" w:firstLine="480"/>
        <w:rPr>
          <w:color w:val="000000" w:themeColor="text1"/>
          <w:sz w:val="24"/>
        </w:rPr>
      </w:pPr>
      <w:r w:rsidRPr="00F47E2F">
        <w:rPr>
          <w:color w:val="000000" w:themeColor="text1"/>
          <w:sz w:val="24"/>
        </w:rPr>
        <w:t>截至报告期末，本基金</w:t>
      </w:r>
      <w:r w:rsidRPr="00F47E2F">
        <w:rPr>
          <w:color w:val="000000" w:themeColor="text1"/>
          <w:sz w:val="24"/>
        </w:rPr>
        <w:t>A</w:t>
      </w:r>
      <w:r w:rsidRPr="00F47E2F">
        <w:rPr>
          <w:color w:val="000000" w:themeColor="text1"/>
          <w:sz w:val="24"/>
        </w:rPr>
        <w:t>类基金份额净值为</w:t>
      </w:r>
      <w:r w:rsidRPr="00F47E2F">
        <w:rPr>
          <w:color w:val="000000" w:themeColor="text1"/>
          <w:sz w:val="24"/>
        </w:rPr>
        <w:t>1.0402</w:t>
      </w:r>
      <w:r w:rsidRPr="00F47E2F">
        <w:rPr>
          <w:color w:val="000000" w:themeColor="text1"/>
          <w:sz w:val="24"/>
        </w:rPr>
        <w:t>元，本报告期份额净值增长率为</w:t>
      </w:r>
      <w:r w:rsidRPr="00F47E2F">
        <w:rPr>
          <w:color w:val="000000" w:themeColor="text1"/>
          <w:sz w:val="24"/>
        </w:rPr>
        <w:t>4.23%</w:t>
      </w:r>
      <w:r w:rsidRPr="00F47E2F">
        <w:rPr>
          <w:color w:val="000000" w:themeColor="text1"/>
          <w:sz w:val="24"/>
        </w:rPr>
        <w:t>；</w:t>
      </w:r>
      <w:r w:rsidRPr="00F47E2F">
        <w:rPr>
          <w:color w:val="000000" w:themeColor="text1"/>
          <w:sz w:val="24"/>
        </w:rPr>
        <w:t>C</w:t>
      </w:r>
      <w:r w:rsidRPr="00F47E2F">
        <w:rPr>
          <w:color w:val="000000" w:themeColor="text1"/>
          <w:sz w:val="24"/>
        </w:rPr>
        <w:t>类基金份额净值为</w:t>
      </w:r>
      <w:r w:rsidRPr="00F47E2F">
        <w:rPr>
          <w:color w:val="000000" w:themeColor="text1"/>
          <w:sz w:val="24"/>
        </w:rPr>
        <w:t>1.0395</w:t>
      </w:r>
      <w:r w:rsidRPr="00F47E2F">
        <w:rPr>
          <w:color w:val="000000" w:themeColor="text1"/>
          <w:sz w:val="24"/>
        </w:rPr>
        <w:t>元，本报告期份额净值增长率为</w:t>
      </w:r>
      <w:r w:rsidRPr="00F47E2F">
        <w:rPr>
          <w:color w:val="000000" w:themeColor="text1"/>
          <w:sz w:val="24"/>
        </w:rPr>
        <w:t>4.16%</w:t>
      </w:r>
      <w:r w:rsidRPr="00F47E2F">
        <w:rPr>
          <w:color w:val="000000" w:themeColor="text1"/>
          <w:sz w:val="24"/>
        </w:rPr>
        <w:t>；同期业绩比较基准收益率为</w:t>
      </w:r>
      <w:r w:rsidRPr="00F47E2F">
        <w:rPr>
          <w:color w:val="000000" w:themeColor="text1"/>
          <w:sz w:val="24"/>
        </w:rPr>
        <w:t>3.29%</w:t>
      </w:r>
      <w:r w:rsidRPr="00F47E2F">
        <w:rPr>
          <w:color w:val="000000" w:themeColor="text1"/>
          <w:sz w:val="24"/>
        </w:rPr>
        <w:t>。</w:t>
      </w:r>
    </w:p>
    <w:p w:rsidR="00C736BB" w:rsidRPr="00A67563" w:rsidRDefault="00C736BB" w:rsidP="00A70E23">
      <w:pPr>
        <w:spacing w:line="360" w:lineRule="auto"/>
        <w:ind w:firstLineChars="200" w:firstLine="480"/>
        <w:rPr>
          <w:color w:val="000000" w:themeColor="text1"/>
          <w:sz w:val="24"/>
        </w:rPr>
      </w:pPr>
    </w:p>
    <w:p w:rsidR="0076518F" w:rsidRPr="00A67563" w:rsidRDefault="0076518F" w:rsidP="00775284">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§5  </w:t>
      </w:r>
      <w:r w:rsidRPr="00A67563">
        <w:rPr>
          <w:color w:val="000000" w:themeColor="text1"/>
          <w:kern w:val="0"/>
          <w:sz w:val="24"/>
          <w:szCs w:val="24"/>
        </w:rPr>
        <w:t>投资组合报告</w:t>
      </w:r>
    </w:p>
    <w:p w:rsidR="0076518F" w:rsidRPr="00A67563" w:rsidRDefault="0076518F"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 xml:space="preserve">5.1 </w:t>
      </w:r>
      <w:r w:rsidRPr="00A67563">
        <w:rPr>
          <w:b/>
          <w:color w:val="000000" w:themeColor="text1"/>
          <w:kern w:val="0"/>
          <w:sz w:val="24"/>
        </w:rPr>
        <w:t>报告期末基金资产组合情况</w:t>
      </w:r>
    </w:p>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253"/>
        <w:gridCol w:w="2835"/>
        <w:gridCol w:w="1559"/>
      </w:tblGrid>
      <w:tr w:rsidR="008277FF" w:rsidRPr="00A67563" w:rsidTr="00592EFF">
        <w:tc>
          <w:tcPr>
            <w:tcW w:w="851"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序号</w:t>
            </w:r>
          </w:p>
        </w:tc>
        <w:tc>
          <w:tcPr>
            <w:tcW w:w="4253"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项目</w:t>
            </w:r>
          </w:p>
        </w:tc>
        <w:tc>
          <w:tcPr>
            <w:tcW w:w="2835"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金额</w:t>
            </w:r>
            <w:r w:rsidRPr="00A67563">
              <w:rPr>
                <w:color w:val="000000" w:themeColor="text1"/>
                <w:sz w:val="24"/>
              </w:rPr>
              <w:t>(</w:t>
            </w:r>
            <w:r w:rsidR="002655D4" w:rsidRPr="00A67563">
              <w:rPr>
                <w:color w:val="000000" w:themeColor="text1"/>
                <w:sz w:val="24"/>
              </w:rPr>
              <w:t>人民币</w:t>
            </w:r>
            <w:r w:rsidRPr="00A67563">
              <w:rPr>
                <w:color w:val="000000" w:themeColor="text1"/>
                <w:sz w:val="24"/>
              </w:rPr>
              <w:t>元</w:t>
            </w:r>
            <w:r w:rsidRPr="00A67563">
              <w:rPr>
                <w:color w:val="000000" w:themeColor="text1"/>
                <w:sz w:val="24"/>
              </w:rPr>
              <w:t>)</w:t>
            </w:r>
          </w:p>
        </w:tc>
        <w:tc>
          <w:tcPr>
            <w:tcW w:w="1559"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占基金总资产的比例</w:t>
            </w:r>
            <w:r w:rsidRPr="00A67563">
              <w:rPr>
                <w:color w:val="000000" w:themeColor="text1"/>
                <w:sz w:val="24"/>
              </w:rPr>
              <w:t>(%)</w:t>
            </w:r>
          </w:p>
        </w:tc>
      </w:tr>
      <w:tr w:rsidR="008277FF" w:rsidRPr="00A67563" w:rsidTr="00877D98">
        <w:tc>
          <w:tcPr>
            <w:tcW w:w="851"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r w:rsidRPr="00A67563">
              <w:rPr>
                <w:color w:val="000000" w:themeColor="text1"/>
                <w:sz w:val="24"/>
              </w:rPr>
              <w:t>1</w:t>
            </w:r>
          </w:p>
        </w:tc>
        <w:tc>
          <w:tcPr>
            <w:tcW w:w="4253" w:type="dxa"/>
            <w:shd w:val="clear" w:color="auto" w:fill="auto"/>
            <w:vAlign w:val="center"/>
          </w:tcPr>
          <w:p w:rsidR="00363E15" w:rsidRPr="00A67563" w:rsidRDefault="00363E15" w:rsidP="00877D98">
            <w:pPr>
              <w:spacing w:before="29" w:line="360" w:lineRule="auto"/>
              <w:ind w:left="17"/>
              <w:rPr>
                <w:color w:val="000000" w:themeColor="text1"/>
                <w:sz w:val="24"/>
              </w:rPr>
            </w:pPr>
            <w:r w:rsidRPr="00A67563">
              <w:rPr>
                <w:color w:val="000000" w:themeColor="text1"/>
                <w:sz w:val="24"/>
              </w:rPr>
              <w:t>权益投资</w:t>
            </w:r>
          </w:p>
        </w:tc>
        <w:tc>
          <w:tcPr>
            <w:tcW w:w="2835" w:type="dxa"/>
            <w:shd w:val="clear" w:color="auto" w:fill="auto"/>
            <w:vAlign w:val="center"/>
          </w:tcPr>
          <w:p w:rsidR="00363E15" w:rsidRPr="00A67563" w:rsidRDefault="00363E15"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363E15" w:rsidRPr="00A67563" w:rsidRDefault="00363E15"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363E15" w:rsidRPr="00A67563" w:rsidRDefault="00363E15" w:rsidP="00B918B8">
            <w:pPr>
              <w:spacing w:before="29" w:line="360" w:lineRule="auto"/>
              <w:ind w:left="17"/>
              <w:jc w:val="center"/>
              <w:rPr>
                <w:color w:val="000000" w:themeColor="text1"/>
                <w:sz w:val="24"/>
              </w:rPr>
            </w:pPr>
          </w:p>
        </w:tc>
        <w:tc>
          <w:tcPr>
            <w:tcW w:w="4253" w:type="dxa"/>
            <w:shd w:val="clear" w:color="auto" w:fill="auto"/>
            <w:vAlign w:val="center"/>
          </w:tcPr>
          <w:p w:rsidR="00363E15" w:rsidRPr="00A67563" w:rsidRDefault="00363E15" w:rsidP="00877D98">
            <w:pPr>
              <w:spacing w:before="29" w:line="360" w:lineRule="auto"/>
              <w:ind w:left="17"/>
              <w:rPr>
                <w:color w:val="000000" w:themeColor="text1"/>
                <w:sz w:val="24"/>
              </w:rPr>
            </w:pPr>
            <w:r w:rsidRPr="00A67563">
              <w:rPr>
                <w:color w:val="000000" w:themeColor="text1"/>
                <w:sz w:val="24"/>
              </w:rPr>
              <w:t>其中：</w:t>
            </w:r>
            <w:r w:rsidR="00E462F4" w:rsidRPr="00A67563">
              <w:rPr>
                <w:color w:val="000000" w:themeColor="text1"/>
                <w:sz w:val="24"/>
              </w:rPr>
              <w:t>普通股</w:t>
            </w:r>
          </w:p>
        </w:tc>
        <w:tc>
          <w:tcPr>
            <w:tcW w:w="2835" w:type="dxa"/>
            <w:shd w:val="clear" w:color="auto" w:fill="auto"/>
            <w:vAlign w:val="center"/>
          </w:tcPr>
          <w:p w:rsidR="00363E15" w:rsidRPr="00A67563" w:rsidRDefault="00363E15"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363E15" w:rsidRPr="00A67563" w:rsidRDefault="00363E15"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spacing w:before="29" w:line="360" w:lineRule="auto"/>
              <w:ind w:left="17" w:firstLineChars="300" w:firstLine="720"/>
              <w:rPr>
                <w:color w:val="000000" w:themeColor="text1"/>
                <w:sz w:val="24"/>
              </w:rPr>
            </w:pPr>
            <w:r w:rsidRPr="00A67563">
              <w:rPr>
                <w:color w:val="000000" w:themeColor="text1"/>
                <w:sz w:val="24"/>
              </w:rPr>
              <w:t>存托凭证</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CE4499" w:rsidRPr="00A67563" w:rsidRDefault="00CE4499" w:rsidP="00877D98">
            <w:pPr>
              <w:spacing w:before="29" w:line="360" w:lineRule="auto"/>
              <w:ind w:left="17"/>
              <w:jc w:val="center"/>
              <w:rPr>
                <w:color w:val="000000" w:themeColor="text1"/>
                <w:sz w:val="24"/>
              </w:rPr>
            </w:pPr>
          </w:p>
        </w:tc>
        <w:tc>
          <w:tcPr>
            <w:tcW w:w="4253" w:type="dxa"/>
            <w:shd w:val="clear" w:color="auto" w:fill="auto"/>
            <w:vAlign w:val="center"/>
          </w:tcPr>
          <w:p w:rsidR="00CE4499" w:rsidRPr="00A67563" w:rsidRDefault="00CE4499" w:rsidP="00877D98">
            <w:pPr>
              <w:spacing w:before="29" w:line="360" w:lineRule="auto"/>
              <w:ind w:left="17" w:firstLineChars="300" w:firstLine="720"/>
              <w:rPr>
                <w:color w:val="000000" w:themeColor="text1"/>
                <w:sz w:val="24"/>
              </w:rPr>
            </w:pPr>
            <w:r w:rsidRPr="00A67563">
              <w:rPr>
                <w:color w:val="000000" w:themeColor="text1"/>
                <w:sz w:val="24"/>
              </w:rPr>
              <w:t>优先股</w:t>
            </w:r>
          </w:p>
        </w:tc>
        <w:tc>
          <w:tcPr>
            <w:tcW w:w="2835" w:type="dxa"/>
            <w:shd w:val="clear" w:color="auto" w:fill="auto"/>
            <w:vAlign w:val="center"/>
          </w:tcPr>
          <w:p w:rsidR="00CE4499" w:rsidRPr="00A67563" w:rsidRDefault="00CE449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CE4499" w:rsidRPr="00A67563" w:rsidRDefault="00CE449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CE4499" w:rsidRPr="00A67563" w:rsidRDefault="00CE4499" w:rsidP="00877D98">
            <w:pPr>
              <w:spacing w:before="29" w:line="360" w:lineRule="auto"/>
              <w:ind w:left="17"/>
              <w:jc w:val="center"/>
              <w:rPr>
                <w:color w:val="000000" w:themeColor="text1"/>
                <w:sz w:val="24"/>
              </w:rPr>
            </w:pPr>
          </w:p>
        </w:tc>
        <w:tc>
          <w:tcPr>
            <w:tcW w:w="4253" w:type="dxa"/>
            <w:shd w:val="clear" w:color="auto" w:fill="auto"/>
            <w:vAlign w:val="center"/>
          </w:tcPr>
          <w:p w:rsidR="00CE4499" w:rsidRPr="00A67563" w:rsidRDefault="00CE4499" w:rsidP="00877D98">
            <w:pPr>
              <w:spacing w:before="29" w:line="360" w:lineRule="auto"/>
              <w:ind w:left="17" w:firstLineChars="300" w:firstLine="720"/>
              <w:rPr>
                <w:color w:val="000000" w:themeColor="text1"/>
                <w:sz w:val="24"/>
              </w:rPr>
            </w:pPr>
            <w:r w:rsidRPr="00A67563">
              <w:rPr>
                <w:color w:val="000000" w:themeColor="text1"/>
                <w:sz w:val="24"/>
              </w:rPr>
              <w:t>房地产信托</w:t>
            </w:r>
          </w:p>
        </w:tc>
        <w:tc>
          <w:tcPr>
            <w:tcW w:w="2835" w:type="dxa"/>
            <w:shd w:val="clear" w:color="auto" w:fill="auto"/>
            <w:vAlign w:val="center"/>
          </w:tcPr>
          <w:p w:rsidR="00CE4499" w:rsidRPr="00A67563" w:rsidRDefault="00CE449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CE4499" w:rsidRPr="00A67563" w:rsidRDefault="00CE449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adjustRightInd w:val="0"/>
              <w:snapToGrid w:val="0"/>
              <w:spacing w:line="400" w:lineRule="exact"/>
              <w:jc w:val="center"/>
              <w:rPr>
                <w:color w:val="000000" w:themeColor="text1"/>
                <w:sz w:val="24"/>
              </w:rPr>
            </w:pPr>
            <w:r w:rsidRPr="00A67563">
              <w:rPr>
                <w:color w:val="000000" w:themeColor="text1"/>
                <w:sz w:val="24"/>
              </w:rPr>
              <w:t>2</w:t>
            </w:r>
          </w:p>
        </w:tc>
        <w:tc>
          <w:tcPr>
            <w:tcW w:w="4253" w:type="dxa"/>
            <w:shd w:val="clear" w:color="auto" w:fill="auto"/>
            <w:vAlign w:val="center"/>
          </w:tcPr>
          <w:p w:rsidR="00E462F4" w:rsidRPr="00A67563" w:rsidRDefault="00E462F4" w:rsidP="00877D98">
            <w:pPr>
              <w:adjustRightInd w:val="0"/>
              <w:snapToGrid w:val="0"/>
              <w:spacing w:line="400" w:lineRule="exact"/>
              <w:rPr>
                <w:color w:val="000000" w:themeColor="text1"/>
                <w:sz w:val="24"/>
              </w:rPr>
            </w:pPr>
            <w:r w:rsidRPr="00A67563">
              <w:rPr>
                <w:color w:val="000000" w:themeColor="text1"/>
                <w:sz w:val="24"/>
              </w:rPr>
              <w:t>基金投资</w:t>
            </w:r>
          </w:p>
        </w:tc>
        <w:tc>
          <w:tcPr>
            <w:tcW w:w="2835" w:type="dxa"/>
            <w:shd w:val="clear" w:color="auto" w:fill="auto"/>
            <w:vAlign w:val="center"/>
          </w:tcPr>
          <w:p w:rsidR="00E462F4" w:rsidRPr="00A67563" w:rsidRDefault="006C4E16"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C4E16"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r w:rsidRPr="00A67563">
              <w:rPr>
                <w:color w:val="000000" w:themeColor="text1"/>
                <w:sz w:val="24"/>
              </w:rPr>
              <w:t>3</w:t>
            </w: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固定收益投资</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609,406,869.92</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89.29</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其中：债券</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609,406,869.92</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89.29</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autoSpaceDE w:val="0"/>
              <w:autoSpaceDN w:val="0"/>
              <w:adjustRightInd w:val="0"/>
              <w:spacing w:before="29" w:line="360" w:lineRule="auto"/>
              <w:ind w:left="17" w:firstLineChars="300" w:firstLine="720"/>
              <w:rPr>
                <w:color w:val="000000" w:themeColor="text1"/>
                <w:sz w:val="24"/>
              </w:rPr>
            </w:pPr>
            <w:r w:rsidRPr="00A67563">
              <w:rPr>
                <w:color w:val="000000" w:themeColor="text1"/>
                <w:sz w:val="24"/>
              </w:rPr>
              <w:t>资产支持证券</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r w:rsidRPr="00A67563">
              <w:rPr>
                <w:color w:val="000000" w:themeColor="text1"/>
                <w:sz w:val="24"/>
              </w:rPr>
              <w:t>4</w:t>
            </w: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金融衍生品投资</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adjustRightInd w:val="0"/>
              <w:snapToGrid w:val="0"/>
              <w:spacing w:line="400" w:lineRule="exact"/>
              <w:rPr>
                <w:color w:val="000000" w:themeColor="text1"/>
                <w:sz w:val="24"/>
              </w:rPr>
            </w:pPr>
            <w:r w:rsidRPr="00A67563">
              <w:rPr>
                <w:color w:val="000000" w:themeColor="text1"/>
                <w:sz w:val="24"/>
              </w:rPr>
              <w:t>其中：远期</w:t>
            </w:r>
          </w:p>
        </w:tc>
        <w:tc>
          <w:tcPr>
            <w:tcW w:w="2835"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Del="00455464" w:rsidRDefault="00E462F4" w:rsidP="00877D98">
            <w:pPr>
              <w:adjustRightInd w:val="0"/>
              <w:snapToGrid w:val="0"/>
              <w:spacing w:line="400" w:lineRule="exact"/>
              <w:ind w:firstLineChars="300" w:firstLine="720"/>
              <w:rPr>
                <w:color w:val="000000" w:themeColor="text1"/>
                <w:sz w:val="24"/>
              </w:rPr>
            </w:pPr>
            <w:r w:rsidRPr="00A67563">
              <w:rPr>
                <w:color w:val="000000" w:themeColor="text1"/>
                <w:sz w:val="24"/>
              </w:rPr>
              <w:t>期货</w:t>
            </w:r>
          </w:p>
        </w:tc>
        <w:tc>
          <w:tcPr>
            <w:tcW w:w="2835"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B918B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adjustRightInd w:val="0"/>
              <w:snapToGrid w:val="0"/>
              <w:spacing w:line="400" w:lineRule="exact"/>
              <w:ind w:firstLineChars="300" w:firstLine="720"/>
              <w:rPr>
                <w:color w:val="000000" w:themeColor="text1"/>
                <w:sz w:val="24"/>
              </w:rPr>
            </w:pPr>
            <w:r w:rsidRPr="00A67563">
              <w:rPr>
                <w:color w:val="000000" w:themeColor="text1"/>
                <w:sz w:val="24"/>
              </w:rPr>
              <w:t>期权</w:t>
            </w:r>
          </w:p>
        </w:tc>
        <w:tc>
          <w:tcPr>
            <w:tcW w:w="2835"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64F49"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adjustRightInd w:val="0"/>
              <w:snapToGrid w:val="0"/>
              <w:spacing w:line="400" w:lineRule="exact"/>
              <w:ind w:firstLineChars="298" w:firstLine="715"/>
              <w:rPr>
                <w:color w:val="000000" w:themeColor="text1"/>
                <w:sz w:val="24"/>
              </w:rPr>
            </w:pPr>
            <w:r w:rsidRPr="00A67563">
              <w:rPr>
                <w:color w:val="000000" w:themeColor="text1"/>
                <w:sz w:val="24"/>
              </w:rPr>
              <w:t>权证</w:t>
            </w:r>
          </w:p>
        </w:tc>
        <w:tc>
          <w:tcPr>
            <w:tcW w:w="2835" w:type="dxa"/>
            <w:shd w:val="clear" w:color="auto" w:fill="auto"/>
            <w:vAlign w:val="center"/>
          </w:tcPr>
          <w:p w:rsidR="00E462F4" w:rsidRPr="00A67563" w:rsidRDefault="00664F49" w:rsidP="00877D98">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664F49" w:rsidP="00877D98">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r w:rsidRPr="00A67563">
              <w:rPr>
                <w:color w:val="000000" w:themeColor="text1"/>
                <w:sz w:val="24"/>
              </w:rPr>
              <w:t>5</w:t>
            </w: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买入返售金融资产</w:t>
            </w:r>
          </w:p>
        </w:tc>
        <w:tc>
          <w:tcPr>
            <w:tcW w:w="2835" w:type="dxa"/>
            <w:shd w:val="clear" w:color="auto" w:fill="auto"/>
            <w:vAlign w:val="center"/>
          </w:tcPr>
          <w:p w:rsidR="00E462F4" w:rsidRPr="00A67563" w:rsidRDefault="00E462F4" w:rsidP="00877D98">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877D98">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其中：买断式回购的买入返售金融资产</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adjustRightInd w:val="0"/>
              <w:snapToGrid w:val="0"/>
              <w:spacing w:line="400" w:lineRule="exact"/>
              <w:jc w:val="center"/>
              <w:rPr>
                <w:color w:val="000000" w:themeColor="text1"/>
                <w:sz w:val="24"/>
              </w:rPr>
            </w:pPr>
            <w:r w:rsidRPr="00A67563">
              <w:rPr>
                <w:color w:val="000000" w:themeColor="text1"/>
                <w:sz w:val="24"/>
              </w:rPr>
              <w:t>6</w:t>
            </w:r>
          </w:p>
        </w:tc>
        <w:tc>
          <w:tcPr>
            <w:tcW w:w="4253" w:type="dxa"/>
            <w:shd w:val="clear" w:color="auto" w:fill="auto"/>
            <w:vAlign w:val="center"/>
          </w:tcPr>
          <w:p w:rsidR="00E462F4" w:rsidRPr="00A67563" w:rsidRDefault="00E462F4" w:rsidP="00877D98">
            <w:pPr>
              <w:adjustRightInd w:val="0"/>
              <w:snapToGrid w:val="0"/>
              <w:spacing w:line="400" w:lineRule="exact"/>
              <w:rPr>
                <w:color w:val="000000" w:themeColor="text1"/>
                <w:sz w:val="24"/>
              </w:rPr>
            </w:pPr>
            <w:r w:rsidRPr="00A67563">
              <w:rPr>
                <w:color w:val="000000" w:themeColor="text1"/>
                <w:sz w:val="24"/>
              </w:rPr>
              <w:t>货币市场工具</w:t>
            </w:r>
          </w:p>
        </w:tc>
        <w:tc>
          <w:tcPr>
            <w:tcW w:w="2835" w:type="dxa"/>
            <w:shd w:val="clear" w:color="auto" w:fill="auto"/>
            <w:vAlign w:val="center"/>
          </w:tcPr>
          <w:p w:rsidR="00E462F4" w:rsidRPr="00A67563" w:rsidRDefault="00CE7FC6" w:rsidP="00BF1DD5">
            <w:pPr>
              <w:spacing w:before="29" w:line="360" w:lineRule="auto"/>
              <w:ind w:left="17"/>
              <w:jc w:val="right"/>
              <w:rPr>
                <w:color w:val="000000" w:themeColor="text1"/>
                <w:sz w:val="24"/>
              </w:rPr>
            </w:pPr>
            <w:r w:rsidRPr="00A67563">
              <w:rPr>
                <w:color w:val="000000" w:themeColor="text1"/>
                <w:sz w:val="24"/>
              </w:rPr>
              <w:t>-</w:t>
            </w:r>
          </w:p>
        </w:tc>
        <w:tc>
          <w:tcPr>
            <w:tcW w:w="1559" w:type="dxa"/>
            <w:shd w:val="clear" w:color="auto" w:fill="auto"/>
            <w:vAlign w:val="center"/>
          </w:tcPr>
          <w:p w:rsidR="00E462F4" w:rsidRPr="00A67563" w:rsidRDefault="00CE7FC6" w:rsidP="00BF1DD5">
            <w:pPr>
              <w:spacing w:before="29" w:line="360" w:lineRule="auto"/>
              <w:ind w:left="17"/>
              <w:jc w:val="right"/>
              <w:rPr>
                <w:color w:val="000000" w:themeColor="text1"/>
                <w:sz w:val="24"/>
              </w:rPr>
            </w:pPr>
            <w:r w:rsidRPr="00A67563">
              <w:rPr>
                <w:color w:val="000000" w:themeColor="text1"/>
                <w:sz w:val="24"/>
              </w:rPr>
              <w:t>-</w:t>
            </w:r>
          </w:p>
        </w:tc>
      </w:tr>
      <w:tr w:rsidR="008277FF" w:rsidRPr="00A67563" w:rsidTr="00877D98">
        <w:tc>
          <w:tcPr>
            <w:tcW w:w="851" w:type="dxa"/>
            <w:shd w:val="clear" w:color="auto" w:fill="auto"/>
            <w:vAlign w:val="center"/>
          </w:tcPr>
          <w:p w:rsidR="00E462F4" w:rsidRPr="00A67563" w:rsidRDefault="00E462F4" w:rsidP="00877D98">
            <w:pPr>
              <w:spacing w:before="29" w:line="360" w:lineRule="auto"/>
              <w:ind w:left="17"/>
              <w:jc w:val="center"/>
              <w:rPr>
                <w:color w:val="000000" w:themeColor="text1"/>
                <w:sz w:val="24"/>
              </w:rPr>
            </w:pPr>
            <w:r w:rsidRPr="00A67563">
              <w:rPr>
                <w:color w:val="000000" w:themeColor="text1"/>
                <w:sz w:val="24"/>
              </w:rPr>
              <w:t>7</w:t>
            </w:r>
          </w:p>
        </w:tc>
        <w:tc>
          <w:tcPr>
            <w:tcW w:w="4253" w:type="dxa"/>
            <w:shd w:val="clear" w:color="auto" w:fill="auto"/>
            <w:vAlign w:val="center"/>
          </w:tcPr>
          <w:p w:rsidR="00E462F4" w:rsidRPr="00A67563" w:rsidRDefault="00E462F4" w:rsidP="00877D98">
            <w:pPr>
              <w:spacing w:before="29" w:line="360" w:lineRule="auto"/>
              <w:ind w:left="17"/>
              <w:rPr>
                <w:color w:val="000000" w:themeColor="text1"/>
                <w:sz w:val="24"/>
              </w:rPr>
            </w:pPr>
            <w:r w:rsidRPr="00A67563">
              <w:rPr>
                <w:color w:val="000000" w:themeColor="text1"/>
                <w:sz w:val="24"/>
              </w:rPr>
              <w:t>银行存款和结算备付金合计</w:t>
            </w:r>
          </w:p>
        </w:tc>
        <w:tc>
          <w:tcPr>
            <w:tcW w:w="2835"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48,356,300.36</w:t>
            </w:r>
          </w:p>
        </w:tc>
        <w:tc>
          <w:tcPr>
            <w:tcW w:w="1559" w:type="dxa"/>
            <w:shd w:val="clear" w:color="auto" w:fill="auto"/>
            <w:vAlign w:val="center"/>
          </w:tcPr>
          <w:p w:rsidR="00E462F4" w:rsidRPr="00A67563" w:rsidRDefault="00E462F4" w:rsidP="00BF1DD5">
            <w:pPr>
              <w:spacing w:before="29" w:line="360" w:lineRule="auto"/>
              <w:ind w:left="17"/>
              <w:jc w:val="right"/>
              <w:rPr>
                <w:color w:val="000000" w:themeColor="text1"/>
                <w:sz w:val="24"/>
              </w:rPr>
            </w:pPr>
            <w:r w:rsidRPr="00A67563">
              <w:rPr>
                <w:color w:val="000000" w:themeColor="text1"/>
                <w:sz w:val="24"/>
              </w:rPr>
              <w:t>7.09</w:t>
            </w:r>
          </w:p>
        </w:tc>
      </w:tr>
      <w:tr w:rsidR="008277FF" w:rsidRPr="00A67563" w:rsidTr="00797DD2">
        <w:tc>
          <w:tcPr>
            <w:tcW w:w="851" w:type="dxa"/>
            <w:shd w:val="clear" w:color="auto" w:fill="auto"/>
            <w:vAlign w:val="center"/>
          </w:tcPr>
          <w:p w:rsidR="00E462F4" w:rsidRPr="00A67563" w:rsidRDefault="00E462F4" w:rsidP="00466B17">
            <w:pPr>
              <w:spacing w:before="29" w:line="360" w:lineRule="auto"/>
              <w:ind w:left="17"/>
              <w:jc w:val="center"/>
              <w:rPr>
                <w:color w:val="000000" w:themeColor="text1"/>
                <w:sz w:val="24"/>
              </w:rPr>
            </w:pPr>
            <w:r w:rsidRPr="00A67563">
              <w:rPr>
                <w:color w:val="000000" w:themeColor="text1"/>
                <w:sz w:val="24"/>
              </w:rPr>
              <w:t>8</w:t>
            </w:r>
          </w:p>
        </w:tc>
        <w:tc>
          <w:tcPr>
            <w:tcW w:w="4253" w:type="dxa"/>
            <w:shd w:val="clear" w:color="auto" w:fill="auto"/>
            <w:vAlign w:val="center"/>
          </w:tcPr>
          <w:p w:rsidR="00E462F4" w:rsidRPr="00A67563" w:rsidRDefault="001457F4" w:rsidP="00797DD2">
            <w:pPr>
              <w:rPr>
                <w:color w:val="000000" w:themeColor="text1"/>
                <w:sz w:val="24"/>
              </w:rPr>
            </w:pPr>
            <w:r>
              <w:rPr>
                <w:color w:val="000000" w:themeColor="text1"/>
                <w:sz w:val="24"/>
              </w:rPr>
              <w:t>其他</w:t>
            </w:r>
            <w:r w:rsidR="00E462F4" w:rsidRPr="00A67563">
              <w:rPr>
                <w:color w:val="000000" w:themeColor="text1"/>
                <w:sz w:val="24"/>
              </w:rPr>
              <w:t>资产</w:t>
            </w:r>
          </w:p>
        </w:tc>
        <w:tc>
          <w:tcPr>
            <w:tcW w:w="2835" w:type="dxa"/>
            <w:shd w:val="clear" w:color="auto" w:fill="auto"/>
            <w:vAlign w:val="center"/>
          </w:tcPr>
          <w:p w:rsidR="00E462F4" w:rsidRPr="00A67563" w:rsidRDefault="00E462F4" w:rsidP="00BF1DD5">
            <w:pPr>
              <w:jc w:val="right"/>
              <w:rPr>
                <w:color w:val="000000" w:themeColor="text1"/>
                <w:sz w:val="24"/>
              </w:rPr>
            </w:pPr>
            <w:r w:rsidRPr="00A67563">
              <w:rPr>
                <w:color w:val="000000" w:themeColor="text1"/>
                <w:sz w:val="24"/>
              </w:rPr>
              <w:t>24,738,960.37</w:t>
            </w:r>
          </w:p>
        </w:tc>
        <w:tc>
          <w:tcPr>
            <w:tcW w:w="1559" w:type="dxa"/>
            <w:shd w:val="clear" w:color="auto" w:fill="auto"/>
            <w:vAlign w:val="center"/>
          </w:tcPr>
          <w:p w:rsidR="00E462F4" w:rsidRPr="00A67563" w:rsidRDefault="00E462F4" w:rsidP="00BF1DD5">
            <w:pPr>
              <w:jc w:val="right"/>
              <w:rPr>
                <w:color w:val="000000" w:themeColor="text1"/>
                <w:sz w:val="24"/>
              </w:rPr>
            </w:pPr>
            <w:r w:rsidRPr="00A67563">
              <w:rPr>
                <w:color w:val="000000" w:themeColor="text1"/>
                <w:sz w:val="24"/>
              </w:rPr>
              <w:t>3.62</w:t>
            </w:r>
          </w:p>
        </w:tc>
      </w:tr>
      <w:tr w:rsidR="008277FF" w:rsidRPr="00A67563" w:rsidTr="00797DD2">
        <w:tc>
          <w:tcPr>
            <w:tcW w:w="851" w:type="dxa"/>
            <w:shd w:val="clear" w:color="auto" w:fill="auto"/>
            <w:vAlign w:val="center"/>
          </w:tcPr>
          <w:p w:rsidR="00E462F4" w:rsidRPr="00A67563" w:rsidRDefault="00E462F4" w:rsidP="00466B17">
            <w:pPr>
              <w:spacing w:before="29" w:line="360" w:lineRule="auto"/>
              <w:ind w:left="17"/>
              <w:jc w:val="center"/>
              <w:rPr>
                <w:color w:val="000000" w:themeColor="text1"/>
                <w:sz w:val="24"/>
              </w:rPr>
            </w:pPr>
            <w:r w:rsidRPr="00A67563">
              <w:rPr>
                <w:color w:val="000000" w:themeColor="text1"/>
                <w:sz w:val="24"/>
              </w:rPr>
              <w:t>9</w:t>
            </w:r>
          </w:p>
        </w:tc>
        <w:tc>
          <w:tcPr>
            <w:tcW w:w="4253" w:type="dxa"/>
            <w:shd w:val="clear" w:color="auto" w:fill="auto"/>
            <w:vAlign w:val="center"/>
          </w:tcPr>
          <w:p w:rsidR="00E462F4" w:rsidRPr="00A67563" w:rsidRDefault="00E462F4" w:rsidP="00797DD2">
            <w:pPr>
              <w:rPr>
                <w:color w:val="000000" w:themeColor="text1"/>
                <w:sz w:val="24"/>
              </w:rPr>
            </w:pPr>
            <w:r w:rsidRPr="00A67563">
              <w:rPr>
                <w:color w:val="000000" w:themeColor="text1"/>
                <w:sz w:val="24"/>
              </w:rPr>
              <w:t>合计</w:t>
            </w:r>
          </w:p>
        </w:tc>
        <w:tc>
          <w:tcPr>
            <w:tcW w:w="2835" w:type="dxa"/>
            <w:shd w:val="clear" w:color="auto" w:fill="auto"/>
            <w:vAlign w:val="center"/>
          </w:tcPr>
          <w:p w:rsidR="00E462F4" w:rsidRPr="00A67563" w:rsidRDefault="00E462F4" w:rsidP="00BF1DD5">
            <w:pPr>
              <w:jc w:val="right"/>
              <w:rPr>
                <w:color w:val="000000" w:themeColor="text1"/>
                <w:sz w:val="24"/>
              </w:rPr>
            </w:pPr>
            <w:r w:rsidRPr="00A67563">
              <w:rPr>
                <w:color w:val="000000" w:themeColor="text1"/>
                <w:sz w:val="24"/>
              </w:rPr>
              <w:t>682,502,130.65</w:t>
            </w:r>
          </w:p>
        </w:tc>
        <w:tc>
          <w:tcPr>
            <w:tcW w:w="1559" w:type="dxa"/>
            <w:shd w:val="clear" w:color="auto" w:fill="auto"/>
            <w:vAlign w:val="center"/>
          </w:tcPr>
          <w:p w:rsidR="00E462F4" w:rsidRPr="00A67563" w:rsidRDefault="00E462F4" w:rsidP="00BF1DD5">
            <w:pPr>
              <w:jc w:val="right"/>
              <w:rPr>
                <w:color w:val="000000" w:themeColor="text1"/>
                <w:sz w:val="24"/>
              </w:rPr>
            </w:pPr>
            <w:r w:rsidRPr="00A67563">
              <w:rPr>
                <w:color w:val="000000" w:themeColor="text1"/>
                <w:sz w:val="24"/>
              </w:rPr>
              <w:t>100.00</w:t>
            </w:r>
          </w:p>
        </w:tc>
      </w:tr>
    </w:tbl>
    <w:p w:rsidR="00F512C0" w:rsidRPr="00A67563" w:rsidRDefault="00F512C0" w:rsidP="00363E15">
      <w:pPr>
        <w:autoSpaceDE w:val="0"/>
        <w:autoSpaceDN w:val="0"/>
        <w:adjustRightInd w:val="0"/>
        <w:spacing w:line="360" w:lineRule="auto"/>
        <w:jc w:val="left"/>
        <w:rPr>
          <w:color w:val="000000" w:themeColor="text1"/>
          <w:sz w:val="24"/>
        </w:rPr>
      </w:pPr>
    </w:p>
    <w:p w:rsidR="0076518F" w:rsidRPr="00A67563" w:rsidRDefault="00A82C02"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2</w:t>
      </w:r>
      <w:r w:rsidRPr="00A67563">
        <w:rPr>
          <w:b/>
          <w:color w:val="000000" w:themeColor="text1"/>
          <w:kern w:val="0"/>
          <w:sz w:val="24"/>
        </w:rPr>
        <w:t xml:space="preserve"> </w:t>
      </w:r>
      <w:r w:rsidR="0076518F" w:rsidRPr="00A67563">
        <w:rPr>
          <w:b/>
          <w:color w:val="000000" w:themeColor="text1"/>
          <w:kern w:val="0"/>
          <w:sz w:val="24"/>
        </w:rPr>
        <w:t>报告期末在各个国家（地区）证券市场的股票及存托凭证投资分布</w:t>
      </w:r>
    </w:p>
    <w:p w:rsidR="00363E15" w:rsidRPr="00A67563" w:rsidRDefault="00363E15"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本基金本报告期末未持有权益投资。</w:t>
      </w:r>
    </w:p>
    <w:p w:rsidR="0076518F" w:rsidRPr="00A67563" w:rsidRDefault="0076518F" w:rsidP="008B6A4A">
      <w:pPr>
        <w:autoSpaceDE w:val="0"/>
        <w:autoSpaceDN w:val="0"/>
        <w:adjustRightInd w:val="0"/>
        <w:spacing w:line="360" w:lineRule="auto"/>
        <w:jc w:val="left"/>
        <w:rPr>
          <w:color w:val="000000" w:themeColor="text1"/>
          <w:kern w:val="0"/>
          <w:sz w:val="24"/>
        </w:rPr>
      </w:pPr>
    </w:p>
    <w:p w:rsidR="00C37E98"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3</w:t>
      </w:r>
      <w:r w:rsidR="0076518F" w:rsidRPr="00A67563">
        <w:rPr>
          <w:b/>
          <w:color w:val="000000" w:themeColor="text1"/>
          <w:kern w:val="0"/>
          <w:sz w:val="24"/>
        </w:rPr>
        <w:t xml:space="preserve"> </w:t>
      </w:r>
      <w:r w:rsidR="0076518F" w:rsidRPr="00A67563">
        <w:rPr>
          <w:b/>
          <w:color w:val="000000" w:themeColor="text1"/>
          <w:kern w:val="0"/>
          <w:sz w:val="24"/>
        </w:rPr>
        <w:t>报告期末按行业分类的股票及存托凭证投资组合</w:t>
      </w:r>
    </w:p>
    <w:p w:rsidR="005B6AC7" w:rsidRPr="00A67563" w:rsidRDefault="000A521D"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本基金本报告期末未持有权益投资。</w:t>
      </w:r>
    </w:p>
    <w:p w:rsidR="000A521D" w:rsidRPr="00A67563" w:rsidRDefault="000A521D" w:rsidP="008B6A4A">
      <w:pPr>
        <w:autoSpaceDE w:val="0"/>
        <w:autoSpaceDN w:val="0"/>
        <w:adjustRightInd w:val="0"/>
        <w:spacing w:line="360" w:lineRule="auto"/>
        <w:jc w:val="left"/>
        <w:rPr>
          <w:color w:val="000000" w:themeColor="text1"/>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4</w:t>
      </w:r>
      <w:r w:rsidR="0076518F" w:rsidRPr="00A67563">
        <w:rPr>
          <w:b/>
          <w:color w:val="000000" w:themeColor="text1"/>
          <w:kern w:val="0"/>
          <w:sz w:val="24"/>
        </w:rPr>
        <w:t xml:space="preserve"> </w:t>
      </w:r>
      <w:r w:rsidR="0076518F" w:rsidRPr="00A67563">
        <w:rPr>
          <w:b/>
          <w:color w:val="000000" w:themeColor="text1"/>
          <w:kern w:val="0"/>
          <w:sz w:val="24"/>
        </w:rPr>
        <w:t>报告期末按公允价值占基金资产净值比例大小排序的前十名股票及存托凭证投资明细</w:t>
      </w:r>
    </w:p>
    <w:p w:rsidR="00B62914" w:rsidRPr="00A67563" w:rsidRDefault="00E73C41"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本基金本报告期末未持有权益投资。</w:t>
      </w:r>
    </w:p>
    <w:p w:rsidR="00521EDE" w:rsidRPr="00A67563" w:rsidRDefault="00521EDE" w:rsidP="00890172">
      <w:pPr>
        <w:autoSpaceDE w:val="0"/>
        <w:autoSpaceDN w:val="0"/>
        <w:adjustRightInd w:val="0"/>
        <w:spacing w:before="29" w:line="360" w:lineRule="auto"/>
        <w:ind w:left="15"/>
        <w:jc w:val="left"/>
        <w:rPr>
          <w:color w:val="000000" w:themeColor="text1"/>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5</w:t>
      </w:r>
      <w:r w:rsidR="0076518F" w:rsidRPr="00A67563">
        <w:rPr>
          <w:b/>
          <w:color w:val="000000" w:themeColor="text1"/>
          <w:kern w:val="0"/>
          <w:sz w:val="24"/>
        </w:rPr>
        <w:t xml:space="preserve"> </w:t>
      </w:r>
      <w:r w:rsidR="0076518F" w:rsidRPr="00A67563">
        <w:rPr>
          <w:b/>
          <w:color w:val="000000" w:themeColor="text1"/>
          <w:kern w:val="0"/>
          <w:sz w:val="24"/>
        </w:rPr>
        <w:t>报告期末按债券信用等级分类的债券投资组合</w:t>
      </w:r>
    </w:p>
    <w:tbl>
      <w:tblPr>
        <w:tblStyle w:val="af7"/>
        <w:tblW w:w="0" w:type="auto"/>
        <w:tblInd w:w="15" w:type="dxa"/>
        <w:tblLook w:val="04A0" w:firstRow="1" w:lastRow="0" w:firstColumn="1" w:lastColumn="0" w:noHBand="0" w:noVBand="1"/>
      </w:tblPr>
      <w:tblGrid>
        <w:gridCol w:w="2837"/>
        <w:gridCol w:w="2838"/>
        <w:gridCol w:w="2838"/>
      </w:tblGrid>
      <w:tr w:rsidR="008277FF" w:rsidRPr="00A67563" w:rsidTr="00797DD2">
        <w:tc>
          <w:tcPr>
            <w:tcW w:w="2837" w:type="dxa"/>
            <w:vAlign w:val="center"/>
          </w:tcPr>
          <w:p w:rsidR="00E73C41" w:rsidRPr="00A67563" w:rsidRDefault="00E73C41"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债券信用等级</w:t>
            </w:r>
          </w:p>
        </w:tc>
        <w:tc>
          <w:tcPr>
            <w:tcW w:w="2838" w:type="dxa"/>
            <w:vAlign w:val="center"/>
          </w:tcPr>
          <w:p w:rsidR="00E73C41" w:rsidRPr="00A67563" w:rsidRDefault="00E73C41"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公允价值</w:t>
            </w:r>
            <w:r w:rsidRPr="00A67563">
              <w:rPr>
                <w:color w:val="000000" w:themeColor="text1"/>
                <w:kern w:val="0"/>
                <w:sz w:val="24"/>
              </w:rPr>
              <w:t>(</w:t>
            </w:r>
            <w:r w:rsidRPr="00A67563">
              <w:rPr>
                <w:color w:val="000000" w:themeColor="text1"/>
                <w:kern w:val="0"/>
                <w:sz w:val="24"/>
              </w:rPr>
              <w:t>人民币元</w:t>
            </w:r>
            <w:r w:rsidRPr="00A67563">
              <w:rPr>
                <w:color w:val="000000" w:themeColor="text1"/>
                <w:kern w:val="0"/>
                <w:sz w:val="24"/>
              </w:rPr>
              <w:t>)</w:t>
            </w:r>
          </w:p>
        </w:tc>
        <w:tc>
          <w:tcPr>
            <w:tcW w:w="2838" w:type="dxa"/>
            <w:vAlign w:val="center"/>
          </w:tcPr>
          <w:p w:rsidR="00E73C41" w:rsidRPr="00A67563" w:rsidRDefault="00E73C41"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kern w:val="0"/>
                <w:sz w:val="24"/>
              </w:rPr>
              <w:t>占基金资产净值比例（％）</w:t>
            </w:r>
          </w:p>
        </w:tc>
      </w:tr>
      <w:tr w:rsidR="00F00A26">
        <w:tc>
          <w:tcPr>
            <w:tcW w:w="0" w:type="auto"/>
            <w:vAlign w:val="center"/>
          </w:tcPr>
          <w:p w:rsidR="00F00A26" w:rsidRDefault="002A0141">
            <w:pPr>
              <w:jc w:val="left"/>
            </w:pPr>
            <w:r>
              <w:rPr>
                <w:color w:val="000000" w:themeColor="text1"/>
                <w:sz w:val="24"/>
              </w:rPr>
              <w:t>AAA+</w:t>
            </w:r>
            <w:r>
              <w:rPr>
                <w:color w:val="000000" w:themeColor="text1"/>
                <w:sz w:val="24"/>
              </w:rPr>
              <w:t>至</w:t>
            </w:r>
            <w:r>
              <w:rPr>
                <w:color w:val="000000" w:themeColor="text1"/>
                <w:sz w:val="24"/>
              </w:rPr>
              <w:t>AAA-</w:t>
            </w:r>
          </w:p>
        </w:tc>
        <w:tc>
          <w:tcPr>
            <w:tcW w:w="0" w:type="auto"/>
            <w:vAlign w:val="center"/>
          </w:tcPr>
          <w:p w:rsidR="00F00A26" w:rsidRDefault="002A0141">
            <w:pPr>
              <w:jc w:val="right"/>
            </w:pPr>
            <w:r>
              <w:rPr>
                <w:color w:val="000000" w:themeColor="text1"/>
                <w:sz w:val="24"/>
              </w:rPr>
              <w:t>0.00</w:t>
            </w:r>
          </w:p>
        </w:tc>
        <w:tc>
          <w:tcPr>
            <w:tcW w:w="0" w:type="auto"/>
            <w:vAlign w:val="center"/>
          </w:tcPr>
          <w:p w:rsidR="00F00A26" w:rsidRDefault="002A0141">
            <w:pPr>
              <w:jc w:val="right"/>
            </w:pPr>
            <w:r>
              <w:rPr>
                <w:color w:val="000000" w:themeColor="text1"/>
                <w:sz w:val="24"/>
              </w:rPr>
              <w:t>0.00</w:t>
            </w:r>
          </w:p>
        </w:tc>
      </w:tr>
      <w:tr w:rsidR="00F00A26">
        <w:tc>
          <w:tcPr>
            <w:tcW w:w="0" w:type="auto"/>
            <w:vAlign w:val="center"/>
          </w:tcPr>
          <w:p w:rsidR="00F00A26" w:rsidRDefault="002A0141">
            <w:pPr>
              <w:jc w:val="left"/>
            </w:pPr>
            <w:r>
              <w:rPr>
                <w:color w:val="000000" w:themeColor="text1"/>
                <w:sz w:val="24"/>
              </w:rPr>
              <w:t>AA+</w:t>
            </w:r>
            <w:r>
              <w:rPr>
                <w:color w:val="000000" w:themeColor="text1"/>
                <w:sz w:val="24"/>
              </w:rPr>
              <w:t>至</w:t>
            </w:r>
            <w:r>
              <w:rPr>
                <w:color w:val="000000" w:themeColor="text1"/>
                <w:sz w:val="24"/>
              </w:rPr>
              <w:t>AA-</w:t>
            </w:r>
          </w:p>
        </w:tc>
        <w:tc>
          <w:tcPr>
            <w:tcW w:w="0" w:type="auto"/>
            <w:vAlign w:val="center"/>
          </w:tcPr>
          <w:p w:rsidR="00F00A26" w:rsidRDefault="002A0141">
            <w:pPr>
              <w:jc w:val="right"/>
            </w:pPr>
            <w:r>
              <w:rPr>
                <w:color w:val="000000" w:themeColor="text1"/>
                <w:sz w:val="24"/>
              </w:rPr>
              <w:t>0.00</w:t>
            </w:r>
          </w:p>
        </w:tc>
        <w:tc>
          <w:tcPr>
            <w:tcW w:w="0" w:type="auto"/>
            <w:vAlign w:val="center"/>
          </w:tcPr>
          <w:p w:rsidR="00F00A26" w:rsidRDefault="002A0141">
            <w:pPr>
              <w:jc w:val="right"/>
            </w:pPr>
            <w:r>
              <w:rPr>
                <w:color w:val="000000" w:themeColor="text1"/>
                <w:sz w:val="24"/>
              </w:rPr>
              <w:t>0.00</w:t>
            </w:r>
          </w:p>
        </w:tc>
      </w:tr>
      <w:tr w:rsidR="00F00A26">
        <w:tc>
          <w:tcPr>
            <w:tcW w:w="0" w:type="auto"/>
            <w:vAlign w:val="center"/>
          </w:tcPr>
          <w:p w:rsidR="00F00A26" w:rsidRDefault="002A0141">
            <w:pPr>
              <w:jc w:val="left"/>
            </w:pPr>
            <w:r>
              <w:rPr>
                <w:color w:val="000000" w:themeColor="text1"/>
                <w:sz w:val="24"/>
              </w:rPr>
              <w:t>A+</w:t>
            </w:r>
            <w:r>
              <w:rPr>
                <w:color w:val="000000" w:themeColor="text1"/>
                <w:sz w:val="24"/>
              </w:rPr>
              <w:t>至</w:t>
            </w:r>
            <w:r>
              <w:rPr>
                <w:color w:val="000000" w:themeColor="text1"/>
                <w:sz w:val="24"/>
              </w:rPr>
              <w:t>A-</w:t>
            </w:r>
          </w:p>
        </w:tc>
        <w:tc>
          <w:tcPr>
            <w:tcW w:w="0" w:type="auto"/>
            <w:vAlign w:val="center"/>
          </w:tcPr>
          <w:p w:rsidR="00F00A26" w:rsidRDefault="002A0141">
            <w:pPr>
              <w:jc w:val="right"/>
            </w:pPr>
            <w:r>
              <w:rPr>
                <w:color w:val="000000" w:themeColor="text1"/>
                <w:sz w:val="24"/>
              </w:rPr>
              <w:t>61,337,794.28</w:t>
            </w:r>
          </w:p>
        </w:tc>
        <w:tc>
          <w:tcPr>
            <w:tcW w:w="0" w:type="auto"/>
            <w:vAlign w:val="center"/>
          </w:tcPr>
          <w:p w:rsidR="00F00A26" w:rsidRDefault="002A0141">
            <w:pPr>
              <w:jc w:val="right"/>
            </w:pPr>
            <w:r>
              <w:rPr>
                <w:color w:val="000000" w:themeColor="text1"/>
                <w:sz w:val="24"/>
              </w:rPr>
              <w:t>9.35</w:t>
            </w:r>
          </w:p>
        </w:tc>
      </w:tr>
      <w:tr w:rsidR="00F00A26">
        <w:tc>
          <w:tcPr>
            <w:tcW w:w="0" w:type="auto"/>
            <w:vAlign w:val="center"/>
          </w:tcPr>
          <w:p w:rsidR="00F00A26" w:rsidRDefault="002A0141">
            <w:pPr>
              <w:jc w:val="left"/>
            </w:pPr>
            <w:r>
              <w:rPr>
                <w:color w:val="000000" w:themeColor="text1"/>
                <w:sz w:val="24"/>
              </w:rPr>
              <w:t>BBB+</w:t>
            </w:r>
            <w:r>
              <w:rPr>
                <w:color w:val="000000" w:themeColor="text1"/>
                <w:sz w:val="24"/>
              </w:rPr>
              <w:t>至</w:t>
            </w:r>
            <w:r>
              <w:rPr>
                <w:color w:val="000000" w:themeColor="text1"/>
                <w:sz w:val="24"/>
              </w:rPr>
              <w:t>BBB-</w:t>
            </w:r>
          </w:p>
        </w:tc>
        <w:tc>
          <w:tcPr>
            <w:tcW w:w="0" w:type="auto"/>
            <w:vAlign w:val="center"/>
          </w:tcPr>
          <w:p w:rsidR="00F00A26" w:rsidRDefault="002A0141">
            <w:pPr>
              <w:jc w:val="right"/>
            </w:pPr>
            <w:r>
              <w:rPr>
                <w:color w:val="000000" w:themeColor="text1"/>
                <w:sz w:val="24"/>
              </w:rPr>
              <w:t>440,883,650.25</w:t>
            </w:r>
          </w:p>
        </w:tc>
        <w:tc>
          <w:tcPr>
            <w:tcW w:w="0" w:type="auto"/>
            <w:vAlign w:val="center"/>
          </w:tcPr>
          <w:p w:rsidR="00F00A26" w:rsidRDefault="002A0141">
            <w:pPr>
              <w:jc w:val="right"/>
            </w:pPr>
            <w:r>
              <w:rPr>
                <w:color w:val="000000" w:themeColor="text1"/>
                <w:sz w:val="24"/>
              </w:rPr>
              <w:t>67.18</w:t>
            </w:r>
          </w:p>
        </w:tc>
      </w:tr>
      <w:tr w:rsidR="00F00A26">
        <w:tc>
          <w:tcPr>
            <w:tcW w:w="0" w:type="auto"/>
            <w:vAlign w:val="center"/>
          </w:tcPr>
          <w:p w:rsidR="00F00A26" w:rsidRDefault="002A0141">
            <w:pPr>
              <w:jc w:val="left"/>
            </w:pPr>
            <w:r>
              <w:rPr>
                <w:color w:val="000000" w:themeColor="text1"/>
                <w:sz w:val="24"/>
              </w:rPr>
              <w:t>BB+</w:t>
            </w:r>
            <w:r>
              <w:rPr>
                <w:color w:val="000000" w:themeColor="text1"/>
                <w:sz w:val="24"/>
              </w:rPr>
              <w:t>至</w:t>
            </w:r>
            <w:r>
              <w:rPr>
                <w:color w:val="000000" w:themeColor="text1"/>
                <w:sz w:val="24"/>
              </w:rPr>
              <w:t>BB-</w:t>
            </w:r>
          </w:p>
        </w:tc>
        <w:tc>
          <w:tcPr>
            <w:tcW w:w="0" w:type="auto"/>
            <w:vAlign w:val="center"/>
          </w:tcPr>
          <w:p w:rsidR="00F00A26" w:rsidRDefault="002A0141">
            <w:pPr>
              <w:jc w:val="right"/>
            </w:pPr>
            <w:r>
              <w:rPr>
                <w:color w:val="000000" w:themeColor="text1"/>
                <w:sz w:val="24"/>
              </w:rPr>
              <w:t>86,324,165.65</w:t>
            </w:r>
          </w:p>
        </w:tc>
        <w:tc>
          <w:tcPr>
            <w:tcW w:w="0" w:type="auto"/>
            <w:vAlign w:val="center"/>
          </w:tcPr>
          <w:p w:rsidR="00F00A26" w:rsidRDefault="002A0141">
            <w:pPr>
              <w:jc w:val="right"/>
            </w:pPr>
            <w:r>
              <w:rPr>
                <w:color w:val="000000" w:themeColor="text1"/>
                <w:sz w:val="24"/>
              </w:rPr>
              <w:t>13.15</w:t>
            </w:r>
          </w:p>
        </w:tc>
      </w:tr>
      <w:tr w:rsidR="00F00A26">
        <w:tc>
          <w:tcPr>
            <w:tcW w:w="0" w:type="auto"/>
            <w:vAlign w:val="center"/>
          </w:tcPr>
          <w:p w:rsidR="00F00A26" w:rsidRDefault="002A0141">
            <w:pPr>
              <w:jc w:val="left"/>
            </w:pPr>
            <w:r>
              <w:rPr>
                <w:color w:val="000000" w:themeColor="text1"/>
                <w:sz w:val="24"/>
              </w:rPr>
              <w:t>B+</w:t>
            </w:r>
            <w:r>
              <w:rPr>
                <w:color w:val="000000" w:themeColor="text1"/>
                <w:sz w:val="24"/>
              </w:rPr>
              <w:t>至</w:t>
            </w:r>
            <w:r>
              <w:rPr>
                <w:color w:val="000000" w:themeColor="text1"/>
                <w:sz w:val="24"/>
              </w:rPr>
              <w:t>B-</w:t>
            </w:r>
          </w:p>
        </w:tc>
        <w:tc>
          <w:tcPr>
            <w:tcW w:w="0" w:type="auto"/>
            <w:vAlign w:val="center"/>
          </w:tcPr>
          <w:p w:rsidR="00F00A26" w:rsidRDefault="002A0141">
            <w:pPr>
              <w:jc w:val="right"/>
            </w:pPr>
            <w:r>
              <w:rPr>
                <w:color w:val="000000" w:themeColor="text1"/>
                <w:sz w:val="24"/>
              </w:rPr>
              <w:t>15,721,138.53</w:t>
            </w:r>
          </w:p>
        </w:tc>
        <w:tc>
          <w:tcPr>
            <w:tcW w:w="0" w:type="auto"/>
            <w:vAlign w:val="center"/>
          </w:tcPr>
          <w:p w:rsidR="00F00A26" w:rsidRDefault="002A0141">
            <w:pPr>
              <w:jc w:val="right"/>
            </w:pPr>
            <w:r>
              <w:rPr>
                <w:color w:val="000000" w:themeColor="text1"/>
                <w:sz w:val="24"/>
              </w:rPr>
              <w:t>2.40</w:t>
            </w:r>
          </w:p>
        </w:tc>
      </w:tr>
      <w:tr w:rsidR="00F00A26">
        <w:tc>
          <w:tcPr>
            <w:tcW w:w="0" w:type="auto"/>
            <w:vAlign w:val="center"/>
          </w:tcPr>
          <w:p w:rsidR="00F00A26" w:rsidRDefault="002A0141">
            <w:pPr>
              <w:jc w:val="left"/>
            </w:pPr>
            <w:r>
              <w:rPr>
                <w:color w:val="000000" w:themeColor="text1"/>
                <w:sz w:val="24"/>
              </w:rPr>
              <w:t>CCC+</w:t>
            </w:r>
            <w:r>
              <w:rPr>
                <w:color w:val="000000" w:themeColor="text1"/>
                <w:sz w:val="24"/>
              </w:rPr>
              <w:t>至</w:t>
            </w:r>
            <w:r>
              <w:rPr>
                <w:color w:val="000000" w:themeColor="text1"/>
                <w:sz w:val="24"/>
              </w:rPr>
              <w:t>CCC</w:t>
            </w:r>
          </w:p>
        </w:tc>
        <w:tc>
          <w:tcPr>
            <w:tcW w:w="0" w:type="auto"/>
            <w:vAlign w:val="center"/>
          </w:tcPr>
          <w:p w:rsidR="00F00A26" w:rsidRDefault="002A0141">
            <w:pPr>
              <w:jc w:val="right"/>
            </w:pPr>
            <w:r>
              <w:rPr>
                <w:color w:val="000000" w:themeColor="text1"/>
                <w:sz w:val="24"/>
              </w:rPr>
              <w:t>0.00</w:t>
            </w:r>
          </w:p>
        </w:tc>
        <w:tc>
          <w:tcPr>
            <w:tcW w:w="0" w:type="auto"/>
            <w:vAlign w:val="center"/>
          </w:tcPr>
          <w:p w:rsidR="00F00A26" w:rsidRDefault="002A0141">
            <w:pPr>
              <w:jc w:val="right"/>
            </w:pPr>
            <w:r>
              <w:rPr>
                <w:color w:val="000000" w:themeColor="text1"/>
                <w:sz w:val="24"/>
              </w:rPr>
              <w:t>0.00</w:t>
            </w:r>
          </w:p>
        </w:tc>
      </w:tr>
      <w:tr w:rsidR="00F00A26">
        <w:tc>
          <w:tcPr>
            <w:tcW w:w="0" w:type="auto"/>
            <w:vAlign w:val="center"/>
          </w:tcPr>
          <w:p w:rsidR="00F00A26" w:rsidRDefault="002A0141">
            <w:pPr>
              <w:jc w:val="left"/>
            </w:pPr>
            <w:r>
              <w:rPr>
                <w:color w:val="000000" w:themeColor="text1"/>
                <w:sz w:val="24"/>
              </w:rPr>
              <w:t>未评级</w:t>
            </w:r>
          </w:p>
        </w:tc>
        <w:tc>
          <w:tcPr>
            <w:tcW w:w="0" w:type="auto"/>
            <w:vAlign w:val="center"/>
          </w:tcPr>
          <w:p w:rsidR="00F00A26" w:rsidRDefault="002A0141">
            <w:pPr>
              <w:jc w:val="right"/>
            </w:pPr>
            <w:r>
              <w:rPr>
                <w:color w:val="000000" w:themeColor="text1"/>
                <w:sz w:val="24"/>
              </w:rPr>
              <w:t>11,125,192.51</w:t>
            </w:r>
          </w:p>
        </w:tc>
        <w:tc>
          <w:tcPr>
            <w:tcW w:w="0" w:type="auto"/>
            <w:vAlign w:val="center"/>
          </w:tcPr>
          <w:p w:rsidR="00F00A26" w:rsidRDefault="002A0141">
            <w:pPr>
              <w:jc w:val="right"/>
            </w:pPr>
            <w:r>
              <w:rPr>
                <w:color w:val="000000" w:themeColor="text1"/>
                <w:sz w:val="24"/>
              </w:rPr>
              <w:t>1.70</w:t>
            </w:r>
          </w:p>
        </w:tc>
      </w:tr>
    </w:tbl>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注：本债券投资组合主要采用标准普尔、惠誉、穆迪提供的债券信用评级信息，债券投资以全价列示。</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6</w:t>
      </w:r>
      <w:r w:rsidRPr="00A67563">
        <w:rPr>
          <w:b/>
          <w:color w:val="000000" w:themeColor="text1"/>
          <w:kern w:val="0"/>
          <w:sz w:val="24"/>
        </w:rPr>
        <w:t xml:space="preserve"> </w:t>
      </w:r>
      <w:r w:rsidR="0076518F" w:rsidRPr="00A67563">
        <w:rPr>
          <w:b/>
          <w:color w:val="000000" w:themeColor="text1"/>
          <w:kern w:val="0"/>
          <w:sz w:val="24"/>
        </w:rPr>
        <w:t>报告期末按公允价值占基金资产净值比例大小排</w:t>
      </w:r>
      <w:r w:rsidR="00B26CF4">
        <w:rPr>
          <w:rFonts w:hint="eastAsia"/>
          <w:b/>
          <w:color w:val="000000" w:themeColor="text1"/>
          <w:kern w:val="0"/>
          <w:sz w:val="24"/>
        </w:rPr>
        <w:t>序</w:t>
      </w:r>
      <w:r w:rsidR="0076518F" w:rsidRPr="00A67563">
        <w:rPr>
          <w:b/>
          <w:color w:val="000000" w:themeColor="text1"/>
          <w:kern w:val="0"/>
          <w:sz w:val="24"/>
        </w:rPr>
        <w:t>的前五名债券投资明细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1310"/>
        <w:gridCol w:w="1282"/>
        <w:gridCol w:w="1426"/>
        <w:gridCol w:w="1646"/>
        <w:gridCol w:w="1612"/>
      </w:tblGrid>
      <w:tr w:rsidR="008277FF" w:rsidRPr="00A67563" w:rsidTr="00B918B8">
        <w:tc>
          <w:tcPr>
            <w:tcW w:w="1252" w:type="dxa"/>
            <w:shd w:val="clear" w:color="auto" w:fill="auto"/>
            <w:vAlign w:val="center"/>
          </w:tcPr>
          <w:p w:rsidR="00521EDE" w:rsidRPr="00A67563" w:rsidRDefault="00521EDE" w:rsidP="00B918B8">
            <w:pPr>
              <w:spacing w:before="29" w:line="360" w:lineRule="auto"/>
              <w:ind w:left="17"/>
              <w:jc w:val="center"/>
              <w:rPr>
                <w:color w:val="000000" w:themeColor="text1"/>
                <w:sz w:val="24"/>
              </w:rPr>
            </w:pPr>
            <w:r w:rsidRPr="00A67563">
              <w:rPr>
                <w:color w:val="000000" w:themeColor="text1"/>
                <w:sz w:val="24"/>
              </w:rPr>
              <w:t>序号</w:t>
            </w:r>
          </w:p>
        </w:tc>
        <w:tc>
          <w:tcPr>
            <w:tcW w:w="1310" w:type="dxa"/>
            <w:shd w:val="clear" w:color="auto" w:fill="auto"/>
            <w:vAlign w:val="center"/>
          </w:tcPr>
          <w:p w:rsidR="00521EDE" w:rsidRPr="00A67563" w:rsidRDefault="00521EDE" w:rsidP="00B918B8">
            <w:pPr>
              <w:spacing w:before="29" w:line="360" w:lineRule="auto"/>
              <w:ind w:left="17"/>
              <w:jc w:val="center"/>
              <w:rPr>
                <w:color w:val="000000" w:themeColor="text1"/>
                <w:sz w:val="24"/>
              </w:rPr>
            </w:pPr>
            <w:r w:rsidRPr="00A67563">
              <w:rPr>
                <w:color w:val="000000" w:themeColor="text1"/>
                <w:sz w:val="24"/>
              </w:rPr>
              <w:t>债券代码</w:t>
            </w:r>
          </w:p>
        </w:tc>
        <w:tc>
          <w:tcPr>
            <w:tcW w:w="1282" w:type="dxa"/>
            <w:shd w:val="clear" w:color="auto" w:fill="auto"/>
            <w:vAlign w:val="center"/>
          </w:tcPr>
          <w:p w:rsidR="00521EDE" w:rsidRPr="00A67563" w:rsidRDefault="00521EDE" w:rsidP="00B918B8">
            <w:pPr>
              <w:spacing w:before="29" w:line="360" w:lineRule="auto"/>
              <w:ind w:left="17"/>
              <w:jc w:val="center"/>
              <w:rPr>
                <w:color w:val="000000" w:themeColor="text1"/>
                <w:sz w:val="24"/>
              </w:rPr>
            </w:pPr>
            <w:r w:rsidRPr="00A67563">
              <w:rPr>
                <w:color w:val="000000" w:themeColor="text1"/>
                <w:sz w:val="24"/>
              </w:rPr>
              <w:t>债券名称</w:t>
            </w:r>
          </w:p>
        </w:tc>
        <w:tc>
          <w:tcPr>
            <w:tcW w:w="1426" w:type="dxa"/>
            <w:shd w:val="clear" w:color="auto" w:fill="auto"/>
            <w:vAlign w:val="center"/>
          </w:tcPr>
          <w:p w:rsidR="00521EDE" w:rsidRPr="00A67563" w:rsidRDefault="00521EDE" w:rsidP="00B918B8">
            <w:pPr>
              <w:spacing w:before="29" w:line="360" w:lineRule="auto"/>
              <w:ind w:left="17"/>
              <w:jc w:val="center"/>
              <w:rPr>
                <w:color w:val="000000" w:themeColor="text1"/>
                <w:sz w:val="24"/>
              </w:rPr>
            </w:pPr>
            <w:r w:rsidRPr="00A67563">
              <w:rPr>
                <w:color w:val="000000" w:themeColor="text1"/>
                <w:sz w:val="24"/>
              </w:rPr>
              <w:t>数量</w:t>
            </w:r>
            <w:r w:rsidRPr="00A67563">
              <w:rPr>
                <w:color w:val="000000" w:themeColor="text1"/>
                <w:sz w:val="24"/>
              </w:rPr>
              <w:t>(</w:t>
            </w:r>
            <w:r w:rsidRPr="00A67563">
              <w:rPr>
                <w:color w:val="000000" w:themeColor="text1"/>
                <w:sz w:val="24"/>
              </w:rPr>
              <w:t>张</w:t>
            </w:r>
            <w:r w:rsidRPr="00A67563">
              <w:rPr>
                <w:color w:val="000000" w:themeColor="text1"/>
                <w:sz w:val="24"/>
              </w:rPr>
              <w:t>)</w:t>
            </w:r>
          </w:p>
        </w:tc>
        <w:tc>
          <w:tcPr>
            <w:tcW w:w="1646" w:type="dxa"/>
            <w:shd w:val="clear" w:color="auto" w:fill="auto"/>
            <w:vAlign w:val="center"/>
          </w:tcPr>
          <w:p w:rsidR="00521EDE" w:rsidRPr="00A67563" w:rsidRDefault="00521EDE" w:rsidP="00B918B8">
            <w:pPr>
              <w:spacing w:before="29" w:line="360" w:lineRule="auto"/>
              <w:ind w:left="17"/>
              <w:jc w:val="center"/>
              <w:rPr>
                <w:color w:val="000000" w:themeColor="text1"/>
                <w:sz w:val="24"/>
              </w:rPr>
            </w:pPr>
            <w:r w:rsidRPr="00A67563">
              <w:rPr>
                <w:color w:val="000000" w:themeColor="text1"/>
                <w:sz w:val="24"/>
              </w:rPr>
              <w:t>公允价值</w:t>
            </w:r>
            <w:r w:rsidRPr="00A67563">
              <w:rPr>
                <w:color w:val="000000" w:themeColor="text1"/>
                <w:sz w:val="24"/>
              </w:rPr>
              <w:t>(</w:t>
            </w:r>
            <w:r w:rsidR="006E0BCB">
              <w:rPr>
                <w:color w:val="000000" w:themeColor="text1"/>
                <w:sz w:val="24"/>
              </w:rPr>
              <w:t>人民币</w:t>
            </w:r>
            <w:r w:rsidRPr="00A67563">
              <w:rPr>
                <w:color w:val="000000" w:themeColor="text1"/>
                <w:sz w:val="24"/>
              </w:rPr>
              <w:t>元</w:t>
            </w:r>
            <w:r w:rsidRPr="00A67563">
              <w:rPr>
                <w:color w:val="000000" w:themeColor="text1"/>
                <w:sz w:val="24"/>
              </w:rPr>
              <w:t>)</w:t>
            </w:r>
          </w:p>
        </w:tc>
        <w:tc>
          <w:tcPr>
            <w:tcW w:w="1612" w:type="dxa"/>
            <w:shd w:val="clear" w:color="auto" w:fill="auto"/>
            <w:vAlign w:val="center"/>
          </w:tcPr>
          <w:p w:rsidR="00521EDE" w:rsidRPr="00A67563" w:rsidRDefault="00521EDE" w:rsidP="00B918B8">
            <w:pPr>
              <w:spacing w:before="29" w:line="360" w:lineRule="auto"/>
              <w:ind w:left="17"/>
              <w:jc w:val="center"/>
              <w:rPr>
                <w:color w:val="000000" w:themeColor="text1"/>
                <w:sz w:val="24"/>
              </w:rPr>
            </w:pPr>
            <w:r w:rsidRPr="00A67563">
              <w:rPr>
                <w:color w:val="000000" w:themeColor="text1"/>
                <w:sz w:val="24"/>
              </w:rPr>
              <w:t>占基金资产净值比例</w:t>
            </w:r>
            <w:r w:rsidRPr="00A67563">
              <w:rPr>
                <w:color w:val="000000" w:themeColor="text1"/>
                <w:sz w:val="24"/>
              </w:rPr>
              <w:t>(</w:t>
            </w:r>
            <w:r w:rsidRPr="00A67563">
              <w:rPr>
                <w:color w:val="000000" w:themeColor="text1"/>
                <w:sz w:val="24"/>
              </w:rPr>
              <w:t>％</w:t>
            </w:r>
            <w:r w:rsidRPr="00A67563">
              <w:rPr>
                <w:color w:val="000000" w:themeColor="text1"/>
                <w:sz w:val="24"/>
              </w:rPr>
              <w:t>)</w:t>
            </w:r>
          </w:p>
        </w:tc>
      </w:tr>
      <w:tr w:rsidR="00F00A26">
        <w:tc>
          <w:tcPr>
            <w:tcW w:w="1252" w:type="dxa"/>
            <w:vAlign w:val="center"/>
          </w:tcPr>
          <w:p w:rsidR="00F00A26" w:rsidRDefault="002A0141">
            <w:pPr>
              <w:jc w:val="center"/>
            </w:pPr>
            <w:r>
              <w:rPr>
                <w:color w:val="000000" w:themeColor="text1"/>
                <w:sz w:val="24"/>
              </w:rPr>
              <w:t>1</w:t>
            </w:r>
          </w:p>
        </w:tc>
        <w:tc>
          <w:tcPr>
            <w:tcW w:w="1310" w:type="dxa"/>
            <w:vAlign w:val="center"/>
          </w:tcPr>
          <w:p w:rsidR="00F00A26" w:rsidRDefault="002A0141">
            <w:pPr>
              <w:jc w:val="center"/>
            </w:pPr>
            <w:r>
              <w:rPr>
                <w:color w:val="000000" w:themeColor="text1"/>
                <w:sz w:val="24"/>
              </w:rPr>
              <w:t>XS2019888531</w:t>
            </w:r>
          </w:p>
        </w:tc>
        <w:tc>
          <w:tcPr>
            <w:tcW w:w="1282" w:type="dxa"/>
            <w:vAlign w:val="center"/>
          </w:tcPr>
          <w:p w:rsidR="00F00A26" w:rsidRDefault="002A0141">
            <w:pPr>
              <w:jc w:val="center"/>
            </w:pPr>
            <w:r>
              <w:rPr>
                <w:color w:val="000000" w:themeColor="text1"/>
                <w:sz w:val="24"/>
              </w:rPr>
              <w:t>GSHIAV 3 7/8 07/05/22</w:t>
            </w:r>
          </w:p>
        </w:tc>
        <w:tc>
          <w:tcPr>
            <w:tcW w:w="1426" w:type="dxa"/>
            <w:vAlign w:val="center"/>
          </w:tcPr>
          <w:p w:rsidR="00F00A26" w:rsidRDefault="002A0141">
            <w:pPr>
              <w:jc w:val="right"/>
            </w:pPr>
            <w:r>
              <w:rPr>
                <w:color w:val="000000" w:themeColor="text1"/>
                <w:sz w:val="24"/>
              </w:rPr>
              <w:t>22,633,280</w:t>
            </w:r>
          </w:p>
        </w:tc>
        <w:tc>
          <w:tcPr>
            <w:tcW w:w="1646" w:type="dxa"/>
            <w:vAlign w:val="center"/>
          </w:tcPr>
          <w:p w:rsidR="00F00A26" w:rsidRDefault="002A0141">
            <w:pPr>
              <w:jc w:val="right"/>
            </w:pPr>
            <w:r>
              <w:rPr>
                <w:color w:val="000000" w:themeColor="text1"/>
                <w:sz w:val="24"/>
              </w:rPr>
              <w:t>22,746,672.73</w:t>
            </w:r>
          </w:p>
        </w:tc>
        <w:tc>
          <w:tcPr>
            <w:tcW w:w="1612" w:type="dxa"/>
            <w:vAlign w:val="center"/>
          </w:tcPr>
          <w:p w:rsidR="00F00A26" w:rsidRDefault="002A0141">
            <w:pPr>
              <w:jc w:val="right"/>
            </w:pPr>
            <w:r>
              <w:rPr>
                <w:color w:val="000000" w:themeColor="text1"/>
                <w:sz w:val="24"/>
              </w:rPr>
              <w:t>3.47</w:t>
            </w:r>
          </w:p>
        </w:tc>
      </w:tr>
      <w:tr w:rsidR="00F00A26">
        <w:tc>
          <w:tcPr>
            <w:tcW w:w="1252" w:type="dxa"/>
            <w:vAlign w:val="center"/>
          </w:tcPr>
          <w:p w:rsidR="00F00A26" w:rsidRDefault="002A0141">
            <w:pPr>
              <w:jc w:val="center"/>
            </w:pPr>
            <w:r>
              <w:rPr>
                <w:color w:val="000000" w:themeColor="text1"/>
                <w:sz w:val="24"/>
              </w:rPr>
              <w:t>2</w:t>
            </w:r>
          </w:p>
        </w:tc>
        <w:tc>
          <w:tcPr>
            <w:tcW w:w="1310" w:type="dxa"/>
            <w:vAlign w:val="center"/>
          </w:tcPr>
          <w:p w:rsidR="00F00A26" w:rsidRDefault="002A0141">
            <w:pPr>
              <w:jc w:val="center"/>
            </w:pPr>
            <w:r>
              <w:rPr>
                <w:color w:val="000000" w:themeColor="text1"/>
                <w:sz w:val="24"/>
              </w:rPr>
              <w:t>XS1555076162</w:t>
            </w:r>
          </w:p>
        </w:tc>
        <w:tc>
          <w:tcPr>
            <w:tcW w:w="1282" w:type="dxa"/>
            <w:vAlign w:val="center"/>
          </w:tcPr>
          <w:p w:rsidR="00F00A26" w:rsidRDefault="002A0141">
            <w:pPr>
              <w:jc w:val="center"/>
            </w:pPr>
            <w:r>
              <w:rPr>
                <w:color w:val="000000" w:themeColor="text1"/>
                <w:sz w:val="24"/>
              </w:rPr>
              <w:t>HRINTH 4 1/2 PERP</w:t>
            </w:r>
          </w:p>
        </w:tc>
        <w:tc>
          <w:tcPr>
            <w:tcW w:w="1426" w:type="dxa"/>
            <w:vAlign w:val="center"/>
          </w:tcPr>
          <w:p w:rsidR="00F00A26" w:rsidRDefault="002A0141">
            <w:pPr>
              <w:jc w:val="right"/>
            </w:pPr>
            <w:r>
              <w:rPr>
                <w:color w:val="000000" w:themeColor="text1"/>
                <w:sz w:val="24"/>
              </w:rPr>
              <w:t>21,218,700</w:t>
            </w:r>
          </w:p>
        </w:tc>
        <w:tc>
          <w:tcPr>
            <w:tcW w:w="1646" w:type="dxa"/>
            <w:vAlign w:val="center"/>
          </w:tcPr>
          <w:p w:rsidR="00F00A26" w:rsidRDefault="002A0141">
            <w:pPr>
              <w:jc w:val="right"/>
            </w:pPr>
            <w:r>
              <w:rPr>
                <w:color w:val="000000" w:themeColor="text1"/>
                <w:sz w:val="24"/>
              </w:rPr>
              <w:t>21,489,450.61</w:t>
            </w:r>
          </w:p>
        </w:tc>
        <w:tc>
          <w:tcPr>
            <w:tcW w:w="1612" w:type="dxa"/>
            <w:vAlign w:val="center"/>
          </w:tcPr>
          <w:p w:rsidR="00F00A26" w:rsidRDefault="002A0141">
            <w:pPr>
              <w:jc w:val="right"/>
            </w:pPr>
            <w:r>
              <w:rPr>
                <w:color w:val="000000" w:themeColor="text1"/>
                <w:sz w:val="24"/>
              </w:rPr>
              <w:t>3.27</w:t>
            </w:r>
          </w:p>
        </w:tc>
      </w:tr>
      <w:tr w:rsidR="00F00A26">
        <w:tc>
          <w:tcPr>
            <w:tcW w:w="1252" w:type="dxa"/>
            <w:vAlign w:val="center"/>
          </w:tcPr>
          <w:p w:rsidR="00F00A26" w:rsidRDefault="002A0141">
            <w:pPr>
              <w:jc w:val="center"/>
            </w:pPr>
            <w:r>
              <w:rPr>
                <w:color w:val="000000" w:themeColor="text1"/>
                <w:sz w:val="24"/>
              </w:rPr>
              <w:t>3</w:t>
            </w:r>
          </w:p>
        </w:tc>
        <w:tc>
          <w:tcPr>
            <w:tcW w:w="1310" w:type="dxa"/>
            <w:vAlign w:val="center"/>
          </w:tcPr>
          <w:p w:rsidR="00F00A26" w:rsidRDefault="002A0141">
            <w:pPr>
              <w:jc w:val="center"/>
            </w:pPr>
            <w:r>
              <w:rPr>
                <w:color w:val="000000" w:themeColor="text1"/>
                <w:sz w:val="24"/>
              </w:rPr>
              <w:t>XS1733860362</w:t>
            </w:r>
          </w:p>
        </w:tc>
        <w:tc>
          <w:tcPr>
            <w:tcW w:w="1282" w:type="dxa"/>
            <w:vAlign w:val="center"/>
          </w:tcPr>
          <w:p w:rsidR="00F00A26" w:rsidRDefault="002A0141">
            <w:pPr>
              <w:jc w:val="center"/>
            </w:pPr>
            <w:r>
              <w:rPr>
                <w:color w:val="000000" w:themeColor="text1"/>
                <w:sz w:val="24"/>
              </w:rPr>
              <w:t>YZHINV 4 3/8 12/19/20</w:t>
            </w:r>
          </w:p>
        </w:tc>
        <w:tc>
          <w:tcPr>
            <w:tcW w:w="1426" w:type="dxa"/>
            <w:vAlign w:val="center"/>
          </w:tcPr>
          <w:p w:rsidR="00F00A26" w:rsidRDefault="002A0141">
            <w:pPr>
              <w:jc w:val="right"/>
            </w:pPr>
            <w:r>
              <w:rPr>
                <w:color w:val="000000" w:themeColor="text1"/>
                <w:sz w:val="24"/>
              </w:rPr>
              <w:t>21,218,700</w:t>
            </w:r>
          </w:p>
        </w:tc>
        <w:tc>
          <w:tcPr>
            <w:tcW w:w="1646" w:type="dxa"/>
            <w:vAlign w:val="center"/>
          </w:tcPr>
          <w:p w:rsidR="00F00A26" w:rsidRDefault="002A0141">
            <w:pPr>
              <w:jc w:val="right"/>
            </w:pPr>
            <w:r>
              <w:rPr>
                <w:color w:val="000000" w:themeColor="text1"/>
                <w:sz w:val="24"/>
              </w:rPr>
              <w:t>21,348,346.26</w:t>
            </w:r>
          </w:p>
        </w:tc>
        <w:tc>
          <w:tcPr>
            <w:tcW w:w="1612" w:type="dxa"/>
            <w:vAlign w:val="center"/>
          </w:tcPr>
          <w:p w:rsidR="00F00A26" w:rsidRDefault="002A0141">
            <w:pPr>
              <w:jc w:val="right"/>
            </w:pPr>
            <w:r>
              <w:rPr>
                <w:color w:val="000000" w:themeColor="text1"/>
                <w:sz w:val="24"/>
              </w:rPr>
              <w:t>3.25</w:t>
            </w:r>
          </w:p>
        </w:tc>
      </w:tr>
      <w:tr w:rsidR="00F00A26">
        <w:tc>
          <w:tcPr>
            <w:tcW w:w="1252" w:type="dxa"/>
            <w:vAlign w:val="center"/>
          </w:tcPr>
          <w:p w:rsidR="00F00A26" w:rsidRDefault="002A0141">
            <w:pPr>
              <w:jc w:val="center"/>
            </w:pPr>
            <w:r>
              <w:rPr>
                <w:color w:val="000000" w:themeColor="text1"/>
                <w:sz w:val="24"/>
              </w:rPr>
              <w:t>4</w:t>
            </w:r>
          </w:p>
        </w:tc>
        <w:tc>
          <w:tcPr>
            <w:tcW w:w="1310" w:type="dxa"/>
            <w:vAlign w:val="center"/>
          </w:tcPr>
          <w:p w:rsidR="00F00A26" w:rsidRDefault="002A0141">
            <w:pPr>
              <w:jc w:val="center"/>
            </w:pPr>
            <w:r>
              <w:rPr>
                <w:color w:val="000000" w:themeColor="text1"/>
                <w:sz w:val="24"/>
              </w:rPr>
              <w:t>XS1596795275</w:t>
            </w:r>
          </w:p>
        </w:tc>
        <w:tc>
          <w:tcPr>
            <w:tcW w:w="1282" w:type="dxa"/>
            <w:vAlign w:val="center"/>
          </w:tcPr>
          <w:p w:rsidR="00F00A26" w:rsidRDefault="002A0141">
            <w:pPr>
              <w:jc w:val="center"/>
            </w:pPr>
            <w:r>
              <w:rPr>
                <w:color w:val="000000" w:themeColor="text1"/>
                <w:sz w:val="24"/>
              </w:rPr>
              <w:t xml:space="preserve">HRINTH 0 </w:t>
            </w:r>
            <w:r>
              <w:rPr>
                <w:color w:val="000000" w:themeColor="text1"/>
                <w:sz w:val="24"/>
              </w:rPr>
              <w:t>04/27/20</w:t>
            </w:r>
          </w:p>
        </w:tc>
        <w:tc>
          <w:tcPr>
            <w:tcW w:w="1426" w:type="dxa"/>
            <w:vAlign w:val="center"/>
          </w:tcPr>
          <w:p w:rsidR="00F00A26" w:rsidRDefault="002A0141">
            <w:pPr>
              <w:jc w:val="right"/>
            </w:pPr>
            <w:r>
              <w:rPr>
                <w:color w:val="000000" w:themeColor="text1"/>
                <w:sz w:val="24"/>
              </w:rPr>
              <w:t>21,218,700</w:t>
            </w:r>
          </w:p>
        </w:tc>
        <w:tc>
          <w:tcPr>
            <w:tcW w:w="1646" w:type="dxa"/>
            <w:vAlign w:val="center"/>
          </w:tcPr>
          <w:p w:rsidR="00F00A26" w:rsidRDefault="002A0141">
            <w:pPr>
              <w:jc w:val="right"/>
            </w:pPr>
            <w:r>
              <w:rPr>
                <w:color w:val="000000" w:themeColor="text1"/>
                <w:sz w:val="24"/>
              </w:rPr>
              <w:t>21,265,593.33</w:t>
            </w:r>
          </w:p>
        </w:tc>
        <w:tc>
          <w:tcPr>
            <w:tcW w:w="1612" w:type="dxa"/>
            <w:vAlign w:val="center"/>
          </w:tcPr>
          <w:p w:rsidR="00F00A26" w:rsidRDefault="002A0141">
            <w:pPr>
              <w:jc w:val="right"/>
            </w:pPr>
            <w:r>
              <w:rPr>
                <w:color w:val="000000" w:themeColor="text1"/>
                <w:sz w:val="24"/>
              </w:rPr>
              <w:t>3.24</w:t>
            </w:r>
          </w:p>
        </w:tc>
      </w:tr>
      <w:tr w:rsidR="00F00A26">
        <w:tc>
          <w:tcPr>
            <w:tcW w:w="1252" w:type="dxa"/>
            <w:vAlign w:val="center"/>
          </w:tcPr>
          <w:p w:rsidR="00F00A26" w:rsidRDefault="002A0141">
            <w:pPr>
              <w:jc w:val="center"/>
            </w:pPr>
            <w:r>
              <w:rPr>
                <w:color w:val="000000" w:themeColor="text1"/>
                <w:sz w:val="24"/>
              </w:rPr>
              <w:t>5</w:t>
            </w:r>
          </w:p>
        </w:tc>
        <w:tc>
          <w:tcPr>
            <w:tcW w:w="1310" w:type="dxa"/>
            <w:vAlign w:val="center"/>
          </w:tcPr>
          <w:p w:rsidR="00F00A26" w:rsidRDefault="002A0141">
            <w:pPr>
              <w:jc w:val="center"/>
            </w:pPr>
            <w:r>
              <w:rPr>
                <w:color w:val="000000" w:themeColor="text1"/>
                <w:sz w:val="24"/>
              </w:rPr>
              <w:t>XS2051351893</w:t>
            </w:r>
          </w:p>
        </w:tc>
        <w:tc>
          <w:tcPr>
            <w:tcW w:w="1282" w:type="dxa"/>
            <w:vAlign w:val="center"/>
          </w:tcPr>
          <w:p w:rsidR="00F00A26" w:rsidRDefault="002A0141">
            <w:pPr>
              <w:jc w:val="center"/>
            </w:pPr>
            <w:r>
              <w:rPr>
                <w:color w:val="000000" w:themeColor="text1"/>
                <w:sz w:val="24"/>
              </w:rPr>
              <w:t>ZZREAL 3.95 10/09/22</w:t>
            </w:r>
          </w:p>
        </w:tc>
        <w:tc>
          <w:tcPr>
            <w:tcW w:w="1426" w:type="dxa"/>
            <w:vAlign w:val="center"/>
          </w:tcPr>
          <w:p w:rsidR="00F00A26" w:rsidRDefault="002A0141">
            <w:pPr>
              <w:jc w:val="right"/>
            </w:pPr>
            <w:r>
              <w:rPr>
                <w:color w:val="000000" w:themeColor="text1"/>
                <w:sz w:val="24"/>
              </w:rPr>
              <w:t>21,218,700</w:t>
            </w:r>
          </w:p>
        </w:tc>
        <w:tc>
          <w:tcPr>
            <w:tcW w:w="1646" w:type="dxa"/>
            <w:vAlign w:val="center"/>
          </w:tcPr>
          <w:p w:rsidR="00F00A26" w:rsidRDefault="002A0141">
            <w:pPr>
              <w:jc w:val="right"/>
            </w:pPr>
            <w:r>
              <w:rPr>
                <w:color w:val="000000" w:themeColor="text1"/>
                <w:sz w:val="24"/>
              </w:rPr>
              <w:t>21,264,744.58</w:t>
            </w:r>
          </w:p>
        </w:tc>
        <w:tc>
          <w:tcPr>
            <w:tcW w:w="1612" w:type="dxa"/>
            <w:vAlign w:val="center"/>
          </w:tcPr>
          <w:p w:rsidR="00F00A26" w:rsidRDefault="002A0141">
            <w:pPr>
              <w:jc w:val="right"/>
            </w:pPr>
            <w:r>
              <w:rPr>
                <w:color w:val="000000" w:themeColor="text1"/>
                <w:sz w:val="24"/>
              </w:rPr>
              <w:t>3.24</w:t>
            </w:r>
          </w:p>
        </w:tc>
      </w:tr>
    </w:tbl>
    <w:p w:rsidR="00F00A26" w:rsidRDefault="002A0141">
      <w:pPr>
        <w:autoSpaceDE w:val="0"/>
        <w:autoSpaceDN w:val="0"/>
        <w:adjustRightInd w:val="0"/>
        <w:spacing w:line="360" w:lineRule="auto"/>
        <w:ind w:firstLineChars="200" w:firstLine="480"/>
        <w:jc w:val="left"/>
        <w:rPr>
          <w:color w:val="000000" w:themeColor="text1"/>
          <w:sz w:val="24"/>
        </w:rPr>
      </w:pPr>
      <w:r>
        <w:rPr>
          <w:color w:val="000000" w:themeColor="text1"/>
          <w:sz w:val="24"/>
        </w:rPr>
        <w:t>注：</w:t>
      </w:r>
      <w:r>
        <w:rPr>
          <w:color w:val="000000" w:themeColor="text1"/>
          <w:sz w:val="24"/>
        </w:rPr>
        <w:t>1.</w:t>
      </w:r>
      <w:r>
        <w:rPr>
          <w:color w:val="000000" w:themeColor="text1"/>
          <w:sz w:val="24"/>
        </w:rPr>
        <w:t>债券代码为</w:t>
      </w:r>
      <w:r>
        <w:rPr>
          <w:color w:val="000000" w:themeColor="text1"/>
          <w:sz w:val="24"/>
        </w:rPr>
        <w:t>ISIN</w:t>
      </w:r>
      <w:r>
        <w:rPr>
          <w:color w:val="000000" w:themeColor="text1"/>
          <w:sz w:val="24"/>
        </w:rPr>
        <w:t>码。</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2.</w:t>
      </w:r>
      <w:r w:rsidRPr="00A67563">
        <w:rPr>
          <w:color w:val="000000" w:themeColor="text1"/>
          <w:sz w:val="24"/>
        </w:rPr>
        <w:t>数量列示债券面值，外币按照期末估值汇率折为人民币，四舍五入保留整数。</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2A0FA2" w:rsidRPr="00A67563">
        <w:rPr>
          <w:b/>
          <w:color w:val="000000" w:themeColor="text1"/>
          <w:kern w:val="0"/>
          <w:sz w:val="24"/>
        </w:rPr>
        <w:t>7</w:t>
      </w:r>
      <w:r w:rsidRPr="00A67563">
        <w:rPr>
          <w:b/>
          <w:color w:val="000000" w:themeColor="text1"/>
          <w:kern w:val="0"/>
          <w:sz w:val="24"/>
        </w:rPr>
        <w:t xml:space="preserve"> </w:t>
      </w:r>
      <w:r w:rsidR="0076518F" w:rsidRPr="00A67563">
        <w:rPr>
          <w:b/>
          <w:color w:val="000000" w:themeColor="text1"/>
          <w:kern w:val="0"/>
          <w:sz w:val="24"/>
        </w:rPr>
        <w:t>报告期末按公允价值占基金资产净值比例大小排</w:t>
      </w:r>
      <w:r w:rsidR="00B26CF4">
        <w:rPr>
          <w:rFonts w:hint="eastAsia"/>
          <w:b/>
          <w:color w:val="000000" w:themeColor="text1"/>
          <w:kern w:val="0"/>
          <w:sz w:val="24"/>
        </w:rPr>
        <w:t>序</w:t>
      </w:r>
      <w:r w:rsidR="0076518F" w:rsidRPr="00A67563">
        <w:rPr>
          <w:b/>
          <w:color w:val="000000" w:themeColor="text1"/>
          <w:kern w:val="0"/>
          <w:sz w:val="24"/>
        </w:rPr>
        <w:t>的前十名资产支持证券投资明细</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本基金本报告期末未持有资产支持证券。</w:t>
      </w:r>
    </w:p>
    <w:p w:rsidR="005B6AC7" w:rsidRPr="00A67563" w:rsidRDefault="005B6AC7" w:rsidP="00521EDE">
      <w:pPr>
        <w:autoSpaceDE w:val="0"/>
        <w:autoSpaceDN w:val="0"/>
        <w:adjustRightInd w:val="0"/>
        <w:spacing w:before="29" w:line="360" w:lineRule="auto"/>
        <w:ind w:left="15"/>
        <w:jc w:val="left"/>
        <w:rPr>
          <w:b/>
          <w:color w:val="000000" w:themeColor="text1"/>
          <w:kern w:val="0"/>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5.8</w:t>
      </w:r>
      <w:r w:rsidR="0076518F" w:rsidRPr="00A67563">
        <w:rPr>
          <w:b/>
          <w:color w:val="000000" w:themeColor="text1"/>
          <w:kern w:val="0"/>
          <w:sz w:val="24"/>
        </w:rPr>
        <w:t xml:space="preserve"> </w:t>
      </w:r>
      <w:r w:rsidR="0076518F" w:rsidRPr="00A67563">
        <w:rPr>
          <w:b/>
          <w:color w:val="000000" w:themeColor="text1"/>
          <w:kern w:val="0"/>
          <w:sz w:val="24"/>
        </w:rPr>
        <w:t>报告期末按公允价值占基金资产净值比例大小排</w:t>
      </w:r>
      <w:r w:rsidR="00B26CF4">
        <w:rPr>
          <w:rFonts w:hint="eastAsia"/>
          <w:b/>
          <w:color w:val="000000" w:themeColor="text1"/>
          <w:kern w:val="0"/>
          <w:sz w:val="24"/>
        </w:rPr>
        <w:t>序</w:t>
      </w:r>
      <w:r w:rsidR="0076518F" w:rsidRPr="00A67563">
        <w:rPr>
          <w:b/>
          <w:color w:val="000000" w:themeColor="text1"/>
          <w:kern w:val="0"/>
          <w:sz w:val="24"/>
        </w:rPr>
        <w:t>的前五名金融衍生品投资明细</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本基金本报告期末未持有金融衍生品。</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B22A61"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5.9</w:t>
      </w:r>
      <w:r w:rsidR="0076518F" w:rsidRPr="00A67563">
        <w:rPr>
          <w:b/>
          <w:color w:val="000000" w:themeColor="text1"/>
          <w:kern w:val="0"/>
          <w:sz w:val="24"/>
        </w:rPr>
        <w:t>报告期末按公允价值占基金资产净值比例大小排序的前十名基金投资明细</w:t>
      </w:r>
    </w:p>
    <w:p w:rsidR="00521EDE" w:rsidRPr="00A67563" w:rsidRDefault="00521EDE"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本基金本报告期末未持有基金。</w:t>
      </w:r>
    </w:p>
    <w:p w:rsidR="0076518F" w:rsidRPr="00A67563" w:rsidRDefault="0076518F" w:rsidP="008B6A4A">
      <w:pPr>
        <w:autoSpaceDE w:val="0"/>
        <w:autoSpaceDN w:val="0"/>
        <w:adjustRightInd w:val="0"/>
        <w:spacing w:line="360" w:lineRule="auto"/>
        <w:jc w:val="left"/>
        <w:rPr>
          <w:color w:val="000000" w:themeColor="text1"/>
          <w:kern w:val="0"/>
          <w:sz w:val="24"/>
        </w:rPr>
      </w:pPr>
    </w:p>
    <w:p w:rsidR="0076518F" w:rsidRPr="00A67563" w:rsidRDefault="00B55EA7" w:rsidP="0049659A">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w:t>
      </w:r>
      <w:r w:rsidR="0076518F" w:rsidRPr="00A67563">
        <w:rPr>
          <w:b/>
          <w:color w:val="000000" w:themeColor="text1"/>
          <w:kern w:val="0"/>
          <w:sz w:val="24"/>
        </w:rPr>
        <w:t>.</w:t>
      </w:r>
      <w:r w:rsidRPr="00A67563">
        <w:rPr>
          <w:b/>
          <w:color w:val="000000" w:themeColor="text1"/>
          <w:kern w:val="0"/>
          <w:sz w:val="24"/>
        </w:rPr>
        <w:t>10</w:t>
      </w:r>
      <w:r w:rsidR="0076518F" w:rsidRPr="00A67563">
        <w:rPr>
          <w:b/>
          <w:color w:val="000000" w:themeColor="text1"/>
          <w:kern w:val="0"/>
          <w:sz w:val="24"/>
        </w:rPr>
        <w:t xml:space="preserve"> </w:t>
      </w:r>
      <w:r w:rsidR="0076518F" w:rsidRPr="00A67563">
        <w:rPr>
          <w:b/>
          <w:color w:val="000000" w:themeColor="text1"/>
          <w:kern w:val="0"/>
          <w:sz w:val="24"/>
        </w:rPr>
        <w:t>投资组合报告附注</w:t>
      </w:r>
    </w:p>
    <w:p w:rsidR="00B55EA7" w:rsidRPr="00A67563" w:rsidRDefault="00B55EA7" w:rsidP="000E3F11">
      <w:pPr>
        <w:widowControl/>
        <w:spacing w:line="360" w:lineRule="auto"/>
        <w:ind w:left="120" w:hangingChars="50" w:hanging="120"/>
        <w:rPr>
          <w:color w:val="000000" w:themeColor="text1"/>
          <w:sz w:val="24"/>
        </w:rPr>
      </w:pPr>
      <w:r w:rsidRPr="00A67563">
        <w:rPr>
          <w:color w:val="000000" w:themeColor="text1"/>
          <w:sz w:val="24"/>
        </w:rPr>
        <w:t>5.10.1</w:t>
      </w:r>
      <w:r w:rsidRPr="00A67563">
        <w:rPr>
          <w:color w:val="000000" w:themeColor="text1"/>
          <w:sz w:val="24"/>
        </w:rPr>
        <w:t>本基金投资的前十名证券的发行主体本期没有出现被监管部门立案调查，或在报告编制日前一年内受到公开谴责、处罚的情形。</w:t>
      </w:r>
    </w:p>
    <w:p w:rsidR="00B55EA7" w:rsidRPr="00A67563" w:rsidRDefault="00B55EA7" w:rsidP="00B55EA7">
      <w:pPr>
        <w:widowControl/>
        <w:spacing w:line="360" w:lineRule="auto"/>
        <w:rPr>
          <w:color w:val="000000" w:themeColor="text1"/>
          <w:sz w:val="24"/>
        </w:rPr>
      </w:pPr>
      <w:r w:rsidRPr="00A67563">
        <w:rPr>
          <w:color w:val="000000" w:themeColor="text1"/>
          <w:sz w:val="24"/>
        </w:rPr>
        <w:t>5.10.2</w:t>
      </w:r>
      <w:r w:rsidRPr="00A67563">
        <w:rPr>
          <w:color w:val="000000" w:themeColor="text1"/>
          <w:sz w:val="24"/>
        </w:rPr>
        <w:t>本基金投资的前十名股票没有超出基金合同规定的备选股票库。</w:t>
      </w:r>
    </w:p>
    <w:p w:rsidR="0076518F" w:rsidRPr="00A67563" w:rsidRDefault="008C71EB" w:rsidP="0049659A">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5.1</w:t>
      </w:r>
      <w:r w:rsidR="002A0FA2" w:rsidRPr="00A67563">
        <w:rPr>
          <w:b/>
          <w:color w:val="000000" w:themeColor="text1"/>
          <w:kern w:val="0"/>
          <w:sz w:val="24"/>
        </w:rPr>
        <w:t>0</w:t>
      </w:r>
      <w:r w:rsidR="0076518F" w:rsidRPr="00A67563">
        <w:rPr>
          <w:b/>
          <w:color w:val="000000" w:themeColor="text1"/>
          <w:kern w:val="0"/>
          <w:sz w:val="24"/>
        </w:rPr>
        <w:t>.3</w:t>
      </w:r>
      <w:r w:rsidR="0076518F" w:rsidRPr="00A67563">
        <w:rPr>
          <w:b/>
          <w:color w:val="000000" w:themeColor="text1"/>
          <w:kern w:val="0"/>
          <w:sz w:val="24"/>
        </w:rPr>
        <w:t>其他</w:t>
      </w:r>
      <w:r w:rsidR="00B26CF4">
        <w:rPr>
          <w:rFonts w:hint="eastAsia"/>
          <w:b/>
          <w:color w:val="000000" w:themeColor="text1"/>
          <w:kern w:val="0"/>
          <w:sz w:val="24"/>
        </w:rPr>
        <w:t>各项</w:t>
      </w:r>
      <w:r w:rsidR="0076518F" w:rsidRPr="00A67563">
        <w:rPr>
          <w:b/>
          <w:color w:val="000000" w:themeColor="text1"/>
          <w:kern w:val="0"/>
          <w:sz w:val="24"/>
        </w:rPr>
        <w:t>资产构成</w:t>
      </w:r>
    </w:p>
    <w:tbl>
      <w:tblPr>
        <w:tblStyle w:val="af7"/>
        <w:tblW w:w="0" w:type="auto"/>
        <w:tblInd w:w="15" w:type="dxa"/>
        <w:tblLayout w:type="fixed"/>
        <w:tblLook w:val="04A0" w:firstRow="1" w:lastRow="0" w:firstColumn="1" w:lastColumn="0" w:noHBand="0" w:noVBand="1"/>
      </w:tblPr>
      <w:tblGrid>
        <w:gridCol w:w="802"/>
        <w:gridCol w:w="2903"/>
        <w:gridCol w:w="4808"/>
      </w:tblGrid>
      <w:tr w:rsidR="008277FF" w:rsidRPr="00A67563" w:rsidTr="004C05F3">
        <w:tc>
          <w:tcPr>
            <w:tcW w:w="802" w:type="dxa"/>
            <w:vAlign w:val="center"/>
          </w:tcPr>
          <w:p w:rsidR="002C2678" w:rsidRPr="00A67563" w:rsidRDefault="002C2678" w:rsidP="00797DD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序号</w:t>
            </w:r>
          </w:p>
        </w:tc>
        <w:tc>
          <w:tcPr>
            <w:tcW w:w="2903" w:type="dxa"/>
            <w:vAlign w:val="center"/>
          </w:tcPr>
          <w:p w:rsidR="002C2678" w:rsidRPr="00A67563" w:rsidRDefault="002C2678" w:rsidP="00797DD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名称</w:t>
            </w:r>
          </w:p>
        </w:tc>
        <w:tc>
          <w:tcPr>
            <w:tcW w:w="4808" w:type="dxa"/>
            <w:vAlign w:val="center"/>
          </w:tcPr>
          <w:p w:rsidR="002C2678" w:rsidRPr="00A67563" w:rsidRDefault="002C2678" w:rsidP="00797DD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金额</w:t>
            </w:r>
            <w:r w:rsidRPr="00A67563">
              <w:rPr>
                <w:color w:val="000000" w:themeColor="text1"/>
                <w:kern w:val="0"/>
                <w:sz w:val="24"/>
              </w:rPr>
              <w:t>(</w:t>
            </w:r>
            <w:r w:rsidR="00C42431" w:rsidRPr="00A67563">
              <w:rPr>
                <w:color w:val="000000" w:themeColor="text1"/>
                <w:kern w:val="0"/>
                <w:sz w:val="24"/>
              </w:rPr>
              <w:t>人民币</w:t>
            </w:r>
            <w:r w:rsidRPr="00A67563">
              <w:rPr>
                <w:color w:val="000000" w:themeColor="text1"/>
                <w:kern w:val="0"/>
                <w:sz w:val="24"/>
              </w:rPr>
              <w:t>元</w:t>
            </w:r>
            <w:r w:rsidRPr="00A67563">
              <w:rPr>
                <w:color w:val="000000" w:themeColor="text1"/>
                <w:kern w:val="0"/>
                <w:sz w:val="24"/>
              </w:rPr>
              <w:t>)</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kern w:val="0"/>
                <w:sz w:val="24"/>
              </w:rPr>
            </w:pPr>
            <w:r w:rsidRPr="00A67563">
              <w:rPr>
                <w:color w:val="000000" w:themeColor="text1"/>
                <w:sz w:val="24"/>
              </w:rPr>
              <w:t>1</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存出保证金</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2</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应收证券清算款</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3</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应收股利</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4</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应收利息</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5,987,455.37</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5</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应收申购款</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18,751,505.00</w:t>
            </w:r>
          </w:p>
        </w:tc>
      </w:tr>
      <w:tr w:rsidR="008277FF" w:rsidRPr="00A67563" w:rsidTr="009E3391">
        <w:tc>
          <w:tcPr>
            <w:tcW w:w="802" w:type="dxa"/>
            <w:vAlign w:val="center"/>
          </w:tcPr>
          <w:p w:rsidR="002C2678" w:rsidRPr="00A67563" w:rsidRDefault="002C2678"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6</w:t>
            </w:r>
          </w:p>
        </w:tc>
        <w:tc>
          <w:tcPr>
            <w:tcW w:w="2903" w:type="dxa"/>
            <w:vAlign w:val="center"/>
          </w:tcPr>
          <w:p w:rsidR="002C2678" w:rsidRPr="00A67563" w:rsidRDefault="002C2678"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其他应收款</w:t>
            </w:r>
          </w:p>
        </w:tc>
        <w:tc>
          <w:tcPr>
            <w:tcW w:w="4808" w:type="dxa"/>
            <w:vAlign w:val="center"/>
          </w:tcPr>
          <w:p w:rsidR="002C2678" w:rsidRPr="00A67563" w:rsidRDefault="002C2678"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w:t>
            </w:r>
          </w:p>
        </w:tc>
      </w:tr>
      <w:tr w:rsidR="008277FF" w:rsidRPr="00A67563" w:rsidTr="009E3391">
        <w:tc>
          <w:tcPr>
            <w:tcW w:w="802" w:type="dxa"/>
            <w:vAlign w:val="center"/>
          </w:tcPr>
          <w:p w:rsidR="00F951CF" w:rsidRPr="00A67563" w:rsidRDefault="00F951CF"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7</w:t>
            </w:r>
          </w:p>
        </w:tc>
        <w:tc>
          <w:tcPr>
            <w:tcW w:w="2903" w:type="dxa"/>
            <w:vAlign w:val="center"/>
          </w:tcPr>
          <w:p w:rsidR="00F951CF" w:rsidRPr="00A67563" w:rsidRDefault="00F951CF" w:rsidP="009E3391">
            <w:pPr>
              <w:autoSpaceDE w:val="0"/>
              <w:autoSpaceDN w:val="0"/>
              <w:adjustRightInd w:val="0"/>
              <w:spacing w:before="29" w:line="360" w:lineRule="auto"/>
              <w:ind w:left="15"/>
              <w:rPr>
                <w:color w:val="000000" w:themeColor="text1"/>
                <w:sz w:val="24"/>
              </w:rPr>
            </w:pPr>
            <w:r w:rsidRPr="00A67563">
              <w:rPr>
                <w:color w:val="000000" w:themeColor="text1"/>
                <w:sz w:val="24"/>
              </w:rPr>
              <w:t>待摊费用</w:t>
            </w:r>
          </w:p>
        </w:tc>
        <w:tc>
          <w:tcPr>
            <w:tcW w:w="4808" w:type="dxa"/>
            <w:vAlign w:val="center"/>
          </w:tcPr>
          <w:p w:rsidR="00F951CF" w:rsidRPr="00A67563" w:rsidRDefault="00F951CF" w:rsidP="00797DD2">
            <w:pPr>
              <w:autoSpaceDE w:val="0"/>
              <w:autoSpaceDN w:val="0"/>
              <w:adjustRightInd w:val="0"/>
              <w:spacing w:before="29" w:line="360" w:lineRule="auto"/>
              <w:ind w:left="15"/>
              <w:jc w:val="right"/>
              <w:rPr>
                <w:color w:val="000000" w:themeColor="text1"/>
                <w:sz w:val="24"/>
              </w:rPr>
            </w:pPr>
            <w:r w:rsidRPr="00A67563">
              <w:rPr>
                <w:color w:val="000000" w:themeColor="text1"/>
                <w:sz w:val="24"/>
              </w:rPr>
              <w:t>-</w:t>
            </w:r>
          </w:p>
        </w:tc>
      </w:tr>
      <w:tr w:rsidR="008277FF" w:rsidRPr="00A67563" w:rsidTr="009E3391">
        <w:tc>
          <w:tcPr>
            <w:tcW w:w="802" w:type="dxa"/>
            <w:vAlign w:val="center"/>
          </w:tcPr>
          <w:p w:rsidR="00F951CF" w:rsidRPr="00A67563" w:rsidRDefault="00F951CF"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8</w:t>
            </w:r>
          </w:p>
        </w:tc>
        <w:tc>
          <w:tcPr>
            <w:tcW w:w="2903" w:type="dxa"/>
            <w:vAlign w:val="center"/>
          </w:tcPr>
          <w:p w:rsidR="00F951CF" w:rsidRPr="00A67563" w:rsidRDefault="00F951CF"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其他</w:t>
            </w:r>
          </w:p>
        </w:tc>
        <w:tc>
          <w:tcPr>
            <w:tcW w:w="4808" w:type="dxa"/>
            <w:vAlign w:val="center"/>
          </w:tcPr>
          <w:p w:rsidR="00F951CF" w:rsidRPr="00A67563" w:rsidRDefault="00F951CF"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w:t>
            </w:r>
          </w:p>
        </w:tc>
      </w:tr>
      <w:tr w:rsidR="008277FF" w:rsidRPr="00A67563" w:rsidTr="009E3391">
        <w:tc>
          <w:tcPr>
            <w:tcW w:w="802" w:type="dxa"/>
            <w:vAlign w:val="center"/>
          </w:tcPr>
          <w:p w:rsidR="00F951CF" w:rsidRPr="00A67563" w:rsidRDefault="00F951CF" w:rsidP="00797DD2">
            <w:pPr>
              <w:autoSpaceDE w:val="0"/>
              <w:autoSpaceDN w:val="0"/>
              <w:adjustRightInd w:val="0"/>
              <w:spacing w:before="29" w:line="360" w:lineRule="auto"/>
              <w:ind w:left="15"/>
              <w:jc w:val="center"/>
              <w:rPr>
                <w:color w:val="000000" w:themeColor="text1"/>
                <w:sz w:val="24"/>
              </w:rPr>
            </w:pPr>
            <w:r w:rsidRPr="00A67563">
              <w:rPr>
                <w:color w:val="000000" w:themeColor="text1"/>
                <w:sz w:val="24"/>
              </w:rPr>
              <w:t>9</w:t>
            </w:r>
          </w:p>
        </w:tc>
        <w:tc>
          <w:tcPr>
            <w:tcW w:w="2903" w:type="dxa"/>
            <w:vAlign w:val="center"/>
          </w:tcPr>
          <w:p w:rsidR="00F951CF" w:rsidRPr="00A67563" w:rsidRDefault="00F951CF" w:rsidP="009E3391">
            <w:pPr>
              <w:autoSpaceDE w:val="0"/>
              <w:autoSpaceDN w:val="0"/>
              <w:adjustRightInd w:val="0"/>
              <w:spacing w:before="29" w:line="360" w:lineRule="auto"/>
              <w:ind w:left="15"/>
              <w:rPr>
                <w:color w:val="000000" w:themeColor="text1"/>
                <w:kern w:val="0"/>
                <w:sz w:val="24"/>
              </w:rPr>
            </w:pPr>
            <w:r w:rsidRPr="00A67563">
              <w:rPr>
                <w:color w:val="000000" w:themeColor="text1"/>
                <w:kern w:val="0"/>
                <w:sz w:val="24"/>
              </w:rPr>
              <w:t>合计</w:t>
            </w:r>
          </w:p>
        </w:tc>
        <w:tc>
          <w:tcPr>
            <w:tcW w:w="4808" w:type="dxa"/>
            <w:vAlign w:val="center"/>
          </w:tcPr>
          <w:p w:rsidR="00F951CF" w:rsidRPr="00A67563" w:rsidRDefault="00F951CF" w:rsidP="00797DD2">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24,738,960.37</w:t>
            </w:r>
          </w:p>
        </w:tc>
      </w:tr>
    </w:tbl>
    <w:p w:rsidR="00A22D4B" w:rsidRPr="00A67563" w:rsidRDefault="00A22D4B" w:rsidP="00EC4BA3">
      <w:pPr>
        <w:autoSpaceDE w:val="0"/>
        <w:autoSpaceDN w:val="0"/>
        <w:adjustRightInd w:val="0"/>
        <w:spacing w:line="360" w:lineRule="auto"/>
        <w:jc w:val="left"/>
        <w:rPr>
          <w:b/>
          <w:color w:val="000000" w:themeColor="text1"/>
          <w:kern w:val="0"/>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5.1</w:t>
      </w:r>
      <w:r w:rsidR="002A0FA2" w:rsidRPr="00A67563">
        <w:rPr>
          <w:b/>
          <w:color w:val="000000" w:themeColor="text1"/>
          <w:kern w:val="0"/>
          <w:sz w:val="24"/>
        </w:rPr>
        <w:t>0</w:t>
      </w:r>
      <w:r w:rsidR="0076518F" w:rsidRPr="00A67563">
        <w:rPr>
          <w:b/>
          <w:color w:val="000000" w:themeColor="text1"/>
          <w:kern w:val="0"/>
          <w:sz w:val="24"/>
        </w:rPr>
        <w:t>.4</w:t>
      </w:r>
      <w:r w:rsidR="0076518F" w:rsidRPr="00A67563">
        <w:rPr>
          <w:b/>
          <w:color w:val="000000" w:themeColor="text1"/>
          <w:kern w:val="0"/>
          <w:sz w:val="24"/>
        </w:rPr>
        <w:t>报告期末持有的处于转股期的可转换债券明细</w:t>
      </w:r>
    </w:p>
    <w:p w:rsidR="000A55BD" w:rsidRPr="00A67563" w:rsidRDefault="000A55BD"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本基金本报告期末未持有处于转股期的可转换债券。</w:t>
      </w:r>
    </w:p>
    <w:p w:rsidR="009E3391" w:rsidRPr="00A67563" w:rsidRDefault="009E3391" w:rsidP="002236BC">
      <w:pPr>
        <w:autoSpaceDE w:val="0"/>
        <w:autoSpaceDN w:val="0"/>
        <w:adjustRightInd w:val="0"/>
        <w:spacing w:line="360" w:lineRule="auto"/>
        <w:jc w:val="left"/>
        <w:rPr>
          <w:color w:val="000000" w:themeColor="text1"/>
          <w:sz w:val="24"/>
        </w:rPr>
      </w:pPr>
    </w:p>
    <w:p w:rsidR="0076518F" w:rsidRPr="00A67563" w:rsidRDefault="008C71EB" w:rsidP="00EC4BA3">
      <w:pPr>
        <w:autoSpaceDE w:val="0"/>
        <w:autoSpaceDN w:val="0"/>
        <w:adjustRightInd w:val="0"/>
        <w:spacing w:line="360" w:lineRule="auto"/>
        <w:jc w:val="left"/>
        <w:rPr>
          <w:b/>
          <w:color w:val="000000" w:themeColor="text1"/>
          <w:kern w:val="0"/>
          <w:sz w:val="24"/>
        </w:rPr>
      </w:pPr>
      <w:r w:rsidRPr="00A67563">
        <w:rPr>
          <w:b/>
          <w:color w:val="000000" w:themeColor="text1"/>
          <w:kern w:val="0"/>
          <w:sz w:val="24"/>
        </w:rPr>
        <w:t>5.1</w:t>
      </w:r>
      <w:r w:rsidR="002A0FA2" w:rsidRPr="00A67563">
        <w:rPr>
          <w:b/>
          <w:color w:val="000000" w:themeColor="text1"/>
          <w:kern w:val="0"/>
          <w:sz w:val="24"/>
        </w:rPr>
        <w:t>0</w:t>
      </w:r>
      <w:r w:rsidR="0076518F" w:rsidRPr="00A67563">
        <w:rPr>
          <w:b/>
          <w:color w:val="000000" w:themeColor="text1"/>
          <w:kern w:val="0"/>
          <w:sz w:val="24"/>
        </w:rPr>
        <w:t xml:space="preserve">.5 </w:t>
      </w:r>
      <w:r w:rsidR="0076518F" w:rsidRPr="00A67563">
        <w:rPr>
          <w:b/>
          <w:color w:val="000000" w:themeColor="text1"/>
          <w:kern w:val="0"/>
          <w:sz w:val="24"/>
        </w:rPr>
        <w:t>报告期末前十名股票中存在流通受限情况的说明</w:t>
      </w:r>
    </w:p>
    <w:p w:rsidR="000A55BD" w:rsidRPr="00A67563" w:rsidRDefault="000A55BD" w:rsidP="002D6955">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本基金本报告期末未持有股票。</w:t>
      </w:r>
    </w:p>
    <w:p w:rsidR="0076518F" w:rsidRPr="00A67563" w:rsidRDefault="0076518F" w:rsidP="00775284">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 xml:space="preserve">§6  </w:t>
      </w:r>
      <w:r w:rsidRPr="00A67563">
        <w:rPr>
          <w:color w:val="000000" w:themeColor="text1"/>
          <w:kern w:val="0"/>
          <w:sz w:val="24"/>
          <w:szCs w:val="24"/>
        </w:rPr>
        <w:t>开放式基金份额变动</w:t>
      </w:r>
    </w:p>
    <w:p w:rsidR="0076518F" w:rsidRPr="00A67563" w:rsidRDefault="0076518F" w:rsidP="008B6A4A">
      <w:pPr>
        <w:autoSpaceDE w:val="0"/>
        <w:autoSpaceDN w:val="0"/>
        <w:adjustRightInd w:val="0"/>
        <w:spacing w:before="29" w:line="360" w:lineRule="auto"/>
        <w:ind w:left="15"/>
        <w:jc w:val="right"/>
        <w:rPr>
          <w:color w:val="000000" w:themeColor="text1"/>
          <w:kern w:val="0"/>
          <w:sz w:val="24"/>
        </w:rPr>
      </w:pPr>
      <w:r w:rsidRPr="00A67563">
        <w:rPr>
          <w:color w:val="000000" w:themeColor="text1"/>
          <w:kern w:val="0"/>
          <w:sz w:val="24"/>
        </w:rPr>
        <w:t>单位：份</w:t>
      </w:r>
    </w:p>
    <w:tbl>
      <w:tblPr>
        <w:tblW w:w="8634" w:type="dxa"/>
        <w:jc w:val="center"/>
        <w:tblLayout w:type="fixed"/>
        <w:tblLook w:val="0000" w:firstRow="0" w:lastRow="0" w:firstColumn="0" w:lastColumn="0" w:noHBand="0" w:noVBand="0"/>
      </w:tblPr>
      <w:tblGrid>
        <w:gridCol w:w="3900"/>
        <w:gridCol w:w="2367"/>
        <w:gridCol w:w="2367"/>
      </w:tblGrid>
      <w:tr w:rsidR="0022505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center"/>
              <w:rPr>
                <w:color w:val="000000" w:themeColor="text1"/>
                <w:kern w:val="0"/>
                <w:sz w:val="24"/>
              </w:rPr>
            </w:pPr>
            <w:r w:rsidRPr="00A67563">
              <w:rPr>
                <w:color w:val="000000" w:themeColor="text1"/>
                <w:kern w:val="0"/>
                <w:sz w:val="24"/>
              </w:rPr>
              <w:t>项目</w:t>
            </w:r>
          </w:p>
        </w:tc>
        <w:tc>
          <w:tcPr>
            <w:tcW w:w="2367"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易方达中短期美元债债券（</w:t>
            </w:r>
            <w:r w:rsidRPr="00A67563">
              <w:rPr>
                <w:color w:val="000000" w:themeColor="text1"/>
                <w:sz w:val="24"/>
              </w:rPr>
              <w:t>QDII</w:t>
            </w:r>
            <w:r w:rsidRPr="00A67563">
              <w:rPr>
                <w:color w:val="000000" w:themeColor="text1"/>
                <w:sz w:val="24"/>
              </w:rPr>
              <w:t>）</w:t>
            </w:r>
            <w:r w:rsidRPr="00A67563">
              <w:rPr>
                <w:color w:val="000000" w:themeColor="text1"/>
                <w:sz w:val="24"/>
              </w:rPr>
              <w:t>A</w:t>
            </w:r>
          </w:p>
        </w:tc>
        <w:tc>
          <w:tcPr>
            <w:tcW w:w="2367" w:type="dxa"/>
            <w:tcBorders>
              <w:top w:val="single" w:sz="8" w:space="0" w:color="000000"/>
              <w:left w:val="single" w:sz="8" w:space="0" w:color="000000"/>
              <w:bottom w:val="single" w:sz="8" w:space="0" w:color="000000"/>
              <w:right w:val="single" w:sz="8" w:space="0" w:color="000000"/>
            </w:tcBorders>
            <w:vAlign w:val="center"/>
          </w:tcPr>
          <w:p w:rsidR="00225051" w:rsidRPr="00A67563" w:rsidRDefault="0022505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易方达中短期美元债债券（</w:t>
            </w:r>
            <w:r w:rsidRPr="00A67563">
              <w:rPr>
                <w:color w:val="000000" w:themeColor="text1"/>
                <w:sz w:val="24"/>
              </w:rPr>
              <w:t>QDII</w:t>
            </w:r>
            <w:r w:rsidRPr="00A67563">
              <w:rPr>
                <w:color w:val="000000" w:themeColor="text1"/>
                <w:sz w:val="24"/>
              </w:rPr>
              <w:t>）</w:t>
            </w:r>
            <w:r w:rsidRPr="00A67563">
              <w:rPr>
                <w:color w:val="000000" w:themeColor="text1"/>
                <w:sz w:val="24"/>
              </w:rPr>
              <w:t>C</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本报告期期初基金份额总额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293,448,453.93</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223,231,564.71</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报告期基金总申购份额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130,169,264.73</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126,819,498.86</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减：报告期基金总赎回份额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34,103,919.97</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108,451,891.24</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报告期基金拆分变动份额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w:t>
            </w:r>
          </w:p>
        </w:tc>
      </w:tr>
      <w:tr w:rsidR="00550511" w:rsidRPr="00A67563" w:rsidTr="004B327C">
        <w:trPr>
          <w:jc w:val="center"/>
        </w:trPr>
        <w:tc>
          <w:tcPr>
            <w:tcW w:w="3900"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left"/>
              <w:rPr>
                <w:color w:val="000000" w:themeColor="text1"/>
                <w:kern w:val="0"/>
                <w:sz w:val="24"/>
              </w:rPr>
            </w:pPr>
            <w:r w:rsidRPr="00A67563">
              <w:rPr>
                <w:color w:val="000000" w:themeColor="text1"/>
                <w:kern w:val="0"/>
                <w:sz w:val="24"/>
              </w:rPr>
              <w:t>本报告期期末基金份额总额</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389,513,798.69</w:t>
            </w:r>
          </w:p>
        </w:tc>
        <w:tc>
          <w:tcPr>
            <w:tcW w:w="2367" w:type="dxa"/>
            <w:tcBorders>
              <w:top w:val="single" w:sz="8" w:space="0" w:color="000000"/>
              <w:left w:val="single" w:sz="8" w:space="0" w:color="000000"/>
              <w:bottom w:val="single" w:sz="8" w:space="0" w:color="000000"/>
              <w:right w:val="single" w:sz="8" w:space="0" w:color="000000"/>
            </w:tcBorders>
            <w:vAlign w:val="center"/>
          </w:tcPr>
          <w:p w:rsidR="00550511" w:rsidRPr="00A67563" w:rsidRDefault="00550511" w:rsidP="00845292">
            <w:pPr>
              <w:autoSpaceDE w:val="0"/>
              <w:autoSpaceDN w:val="0"/>
              <w:adjustRightInd w:val="0"/>
              <w:spacing w:before="29" w:line="360" w:lineRule="auto"/>
              <w:ind w:left="17"/>
              <w:jc w:val="right"/>
              <w:rPr>
                <w:color w:val="000000" w:themeColor="text1"/>
                <w:sz w:val="24"/>
              </w:rPr>
            </w:pPr>
            <w:r w:rsidRPr="00A67563">
              <w:rPr>
                <w:color w:val="000000" w:themeColor="text1"/>
                <w:sz w:val="24"/>
              </w:rPr>
              <w:t>241,599,172.33</w:t>
            </w:r>
          </w:p>
        </w:tc>
      </w:tr>
    </w:tbl>
    <w:p w:rsidR="00322A5E" w:rsidRPr="00A67563" w:rsidRDefault="00322A5E" w:rsidP="002D6955">
      <w:pPr>
        <w:autoSpaceDE w:val="0"/>
        <w:autoSpaceDN w:val="0"/>
        <w:adjustRightInd w:val="0"/>
        <w:spacing w:line="360" w:lineRule="auto"/>
        <w:jc w:val="left"/>
        <w:rPr>
          <w:color w:val="000000" w:themeColor="text1"/>
          <w:sz w:val="24"/>
        </w:rPr>
      </w:pPr>
      <w:r w:rsidRPr="00A67563">
        <w:rPr>
          <w:color w:val="000000" w:themeColor="text1"/>
          <w:sz w:val="24"/>
        </w:rPr>
        <w:t>注：易方达中短期美元债债券型证券投资基金（</w:t>
      </w:r>
      <w:r w:rsidRPr="00A67563">
        <w:rPr>
          <w:color w:val="000000" w:themeColor="text1"/>
          <w:sz w:val="24"/>
        </w:rPr>
        <w:t>QDII</w:t>
      </w:r>
      <w:r w:rsidRPr="00A67563">
        <w:rPr>
          <w:color w:val="000000" w:themeColor="text1"/>
          <w:sz w:val="24"/>
        </w:rPr>
        <w:t>）</w:t>
      </w:r>
      <w:r w:rsidRPr="00A67563">
        <w:rPr>
          <w:color w:val="000000" w:themeColor="text1"/>
          <w:sz w:val="24"/>
        </w:rPr>
        <w:t>A</w:t>
      </w:r>
      <w:r w:rsidRPr="00A67563">
        <w:rPr>
          <w:color w:val="000000" w:themeColor="text1"/>
          <w:sz w:val="24"/>
        </w:rPr>
        <w:t>份额变动含</w:t>
      </w:r>
      <w:r w:rsidRPr="00A67563">
        <w:rPr>
          <w:color w:val="000000" w:themeColor="text1"/>
          <w:sz w:val="24"/>
        </w:rPr>
        <w:t>A</w:t>
      </w:r>
      <w:r w:rsidRPr="00A67563">
        <w:rPr>
          <w:color w:val="000000" w:themeColor="text1"/>
          <w:sz w:val="24"/>
        </w:rPr>
        <w:t>类人民币份额及</w:t>
      </w:r>
      <w:r w:rsidRPr="00A67563">
        <w:rPr>
          <w:color w:val="000000" w:themeColor="text1"/>
          <w:sz w:val="24"/>
        </w:rPr>
        <w:t>A</w:t>
      </w:r>
      <w:r w:rsidRPr="00A67563">
        <w:rPr>
          <w:color w:val="000000" w:themeColor="text1"/>
          <w:sz w:val="24"/>
        </w:rPr>
        <w:t>类美元份额；易方达中短期美元债债券型证券投资基金（</w:t>
      </w:r>
      <w:r w:rsidRPr="00A67563">
        <w:rPr>
          <w:color w:val="000000" w:themeColor="text1"/>
          <w:sz w:val="24"/>
        </w:rPr>
        <w:t>QDII</w:t>
      </w:r>
      <w:r w:rsidRPr="00A67563">
        <w:rPr>
          <w:color w:val="000000" w:themeColor="text1"/>
          <w:sz w:val="24"/>
        </w:rPr>
        <w:t>）</w:t>
      </w:r>
      <w:r w:rsidRPr="00A67563">
        <w:rPr>
          <w:color w:val="000000" w:themeColor="text1"/>
          <w:sz w:val="24"/>
        </w:rPr>
        <w:t>C</w:t>
      </w:r>
      <w:r w:rsidRPr="00A67563">
        <w:rPr>
          <w:color w:val="000000" w:themeColor="text1"/>
          <w:sz w:val="24"/>
        </w:rPr>
        <w:t>份额变动含</w:t>
      </w:r>
      <w:r w:rsidRPr="00A67563">
        <w:rPr>
          <w:color w:val="000000" w:themeColor="text1"/>
          <w:sz w:val="24"/>
        </w:rPr>
        <w:t>C</w:t>
      </w:r>
      <w:r w:rsidRPr="00A67563">
        <w:rPr>
          <w:color w:val="000000" w:themeColor="text1"/>
          <w:sz w:val="24"/>
        </w:rPr>
        <w:t>类人民币份额及</w:t>
      </w:r>
      <w:r w:rsidRPr="00A67563">
        <w:rPr>
          <w:color w:val="000000" w:themeColor="text1"/>
          <w:sz w:val="24"/>
        </w:rPr>
        <w:t>C</w:t>
      </w:r>
      <w:r w:rsidRPr="00A67563">
        <w:rPr>
          <w:color w:val="000000" w:themeColor="text1"/>
          <w:sz w:val="24"/>
        </w:rPr>
        <w:t>类美元份额。</w:t>
      </w:r>
    </w:p>
    <w:p w:rsidR="00BB5F3D" w:rsidRPr="00A67563" w:rsidRDefault="00BB5F3D" w:rsidP="00775284">
      <w:pPr>
        <w:pStyle w:val="1"/>
        <w:tabs>
          <w:tab w:val="center" w:pos="4156"/>
          <w:tab w:val="right" w:pos="8312"/>
        </w:tabs>
        <w:spacing w:beforeLines="100" w:before="312" w:afterLines="100" w:after="312" w:line="360" w:lineRule="auto"/>
        <w:jc w:val="center"/>
        <w:rPr>
          <w:color w:val="000000" w:themeColor="text1"/>
          <w:sz w:val="24"/>
        </w:rPr>
      </w:pPr>
      <w:r w:rsidRPr="00A67563">
        <w:rPr>
          <w:color w:val="000000" w:themeColor="text1"/>
          <w:kern w:val="0"/>
          <w:sz w:val="24"/>
          <w:szCs w:val="24"/>
        </w:rPr>
        <w:t xml:space="preserve">§7  </w:t>
      </w:r>
      <w:r w:rsidRPr="00A67563">
        <w:rPr>
          <w:color w:val="000000" w:themeColor="text1"/>
          <w:sz w:val="24"/>
          <w:szCs w:val="24"/>
        </w:rPr>
        <w:t>基金管理人运用固有资金投资本基金</w:t>
      </w:r>
      <w:r w:rsidR="00775284">
        <w:rPr>
          <w:rFonts w:hint="eastAsia"/>
          <w:color w:val="000000"/>
          <w:kern w:val="0"/>
          <w:sz w:val="24"/>
        </w:rPr>
        <w:t>交易明细</w:t>
      </w:r>
    </w:p>
    <w:p w:rsidR="005E64DA" w:rsidRPr="00A67563" w:rsidRDefault="00BB5F3D" w:rsidP="00E2281D">
      <w:pPr>
        <w:autoSpaceDE w:val="0"/>
        <w:autoSpaceDN w:val="0"/>
        <w:adjustRightInd w:val="0"/>
        <w:spacing w:line="360" w:lineRule="auto"/>
        <w:ind w:firstLineChars="200" w:firstLine="480"/>
        <w:jc w:val="left"/>
        <w:rPr>
          <w:color w:val="000000" w:themeColor="text1"/>
          <w:sz w:val="24"/>
        </w:rPr>
      </w:pPr>
      <w:r w:rsidRPr="00A67563">
        <w:rPr>
          <w:color w:val="000000" w:themeColor="text1"/>
          <w:sz w:val="24"/>
        </w:rPr>
        <w:t>本报告期内基金管理人未运用固有资金申购、赎回、买卖本基金份额。</w:t>
      </w:r>
    </w:p>
    <w:p w:rsidR="0076518F" w:rsidRPr="00A67563" w:rsidRDefault="0076518F" w:rsidP="00775284">
      <w:pPr>
        <w:pStyle w:val="1"/>
        <w:spacing w:beforeLines="100" w:before="312" w:afterLines="100" w:after="312" w:line="360" w:lineRule="auto"/>
        <w:jc w:val="center"/>
        <w:rPr>
          <w:color w:val="000000" w:themeColor="text1"/>
          <w:kern w:val="0"/>
          <w:sz w:val="24"/>
          <w:szCs w:val="24"/>
        </w:rPr>
      </w:pPr>
      <w:r w:rsidRPr="00A67563">
        <w:rPr>
          <w:color w:val="000000" w:themeColor="text1"/>
          <w:kern w:val="0"/>
          <w:sz w:val="24"/>
          <w:szCs w:val="24"/>
        </w:rPr>
        <w:t>§</w:t>
      </w:r>
      <w:r w:rsidR="002711AA" w:rsidRPr="00A67563">
        <w:rPr>
          <w:color w:val="000000" w:themeColor="text1"/>
          <w:kern w:val="0"/>
          <w:sz w:val="24"/>
          <w:szCs w:val="24"/>
        </w:rPr>
        <w:t>8</w:t>
      </w:r>
      <w:r w:rsidR="00BD7FC1" w:rsidRPr="00A67563">
        <w:rPr>
          <w:bCs w:val="0"/>
          <w:color w:val="000000" w:themeColor="text1"/>
          <w:kern w:val="2"/>
          <w:sz w:val="24"/>
          <w:szCs w:val="24"/>
        </w:rPr>
        <w:t xml:space="preserve">  </w:t>
      </w:r>
      <w:r w:rsidRPr="00A67563">
        <w:rPr>
          <w:color w:val="000000" w:themeColor="text1"/>
          <w:kern w:val="0"/>
          <w:sz w:val="24"/>
          <w:szCs w:val="24"/>
        </w:rPr>
        <w:t>备查文件目录</w:t>
      </w: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t>8</w:t>
      </w:r>
      <w:r w:rsidR="008975BC" w:rsidRPr="00A67563">
        <w:rPr>
          <w:b/>
          <w:bCs/>
          <w:color w:val="000000" w:themeColor="text1"/>
          <w:kern w:val="0"/>
          <w:sz w:val="24"/>
        </w:rPr>
        <w:t>.</w:t>
      </w:r>
      <w:r w:rsidR="00376A15" w:rsidRPr="00A67563">
        <w:rPr>
          <w:b/>
          <w:bCs/>
          <w:color w:val="000000" w:themeColor="text1"/>
          <w:kern w:val="0"/>
          <w:sz w:val="24"/>
        </w:rPr>
        <w:t>1</w:t>
      </w:r>
      <w:r w:rsidR="008975BC" w:rsidRPr="00A67563">
        <w:rPr>
          <w:b/>
          <w:bCs/>
          <w:color w:val="000000" w:themeColor="text1"/>
          <w:kern w:val="0"/>
          <w:sz w:val="24"/>
        </w:rPr>
        <w:t xml:space="preserve"> </w:t>
      </w:r>
      <w:r w:rsidR="008975BC" w:rsidRPr="00A67563">
        <w:rPr>
          <w:b/>
          <w:bCs/>
          <w:color w:val="000000" w:themeColor="text1"/>
          <w:kern w:val="0"/>
          <w:sz w:val="24"/>
        </w:rPr>
        <w:t>备查文件目录</w:t>
      </w:r>
    </w:p>
    <w:p w:rsidR="00F00A26" w:rsidRDefault="002A0141">
      <w:pPr>
        <w:spacing w:line="360" w:lineRule="auto"/>
        <w:ind w:firstLineChars="200" w:firstLine="480"/>
        <w:rPr>
          <w:color w:val="000000" w:themeColor="text1"/>
          <w:sz w:val="24"/>
        </w:rPr>
      </w:pPr>
      <w:r>
        <w:rPr>
          <w:color w:val="000000" w:themeColor="text1"/>
          <w:sz w:val="24"/>
        </w:rPr>
        <w:t>1.</w:t>
      </w:r>
      <w:r>
        <w:rPr>
          <w:color w:val="000000" w:themeColor="text1"/>
          <w:sz w:val="24"/>
        </w:rPr>
        <w:t>中国证监会准予易方达中短期美元债债券型证券投资基金（</w:t>
      </w:r>
      <w:r>
        <w:rPr>
          <w:color w:val="000000" w:themeColor="text1"/>
          <w:sz w:val="24"/>
        </w:rPr>
        <w:t>QDII</w:t>
      </w:r>
      <w:r>
        <w:rPr>
          <w:color w:val="000000" w:themeColor="text1"/>
          <w:sz w:val="24"/>
        </w:rPr>
        <w:t>）注册的文件；</w:t>
      </w:r>
    </w:p>
    <w:p w:rsidR="00F00A26" w:rsidRDefault="002A0141">
      <w:pPr>
        <w:spacing w:line="360" w:lineRule="auto"/>
        <w:ind w:firstLineChars="200" w:firstLine="480"/>
        <w:rPr>
          <w:color w:val="000000" w:themeColor="text1"/>
          <w:sz w:val="24"/>
        </w:rPr>
      </w:pPr>
      <w:r>
        <w:rPr>
          <w:color w:val="000000" w:themeColor="text1"/>
          <w:sz w:val="24"/>
        </w:rPr>
        <w:t>2.</w:t>
      </w:r>
      <w:r>
        <w:rPr>
          <w:color w:val="000000" w:themeColor="text1"/>
          <w:sz w:val="24"/>
        </w:rPr>
        <w:t>《易方达中短期美元债债券型证券投资基金（</w:t>
      </w:r>
      <w:r>
        <w:rPr>
          <w:color w:val="000000" w:themeColor="text1"/>
          <w:sz w:val="24"/>
        </w:rPr>
        <w:t>QDII</w:t>
      </w:r>
      <w:r>
        <w:rPr>
          <w:color w:val="000000" w:themeColor="text1"/>
          <w:sz w:val="24"/>
        </w:rPr>
        <w:t>）基金合同》；</w:t>
      </w:r>
      <w:r>
        <w:rPr>
          <w:color w:val="000000" w:themeColor="text1"/>
          <w:sz w:val="24"/>
        </w:rPr>
        <w:t xml:space="preserve"> </w:t>
      </w:r>
    </w:p>
    <w:p w:rsidR="00F00A26" w:rsidRDefault="002A0141">
      <w:pPr>
        <w:spacing w:line="360" w:lineRule="auto"/>
        <w:ind w:firstLineChars="200" w:firstLine="480"/>
        <w:rPr>
          <w:color w:val="000000" w:themeColor="text1"/>
          <w:sz w:val="24"/>
        </w:rPr>
      </w:pPr>
      <w:r>
        <w:rPr>
          <w:color w:val="000000" w:themeColor="text1"/>
          <w:sz w:val="24"/>
        </w:rPr>
        <w:t>3.</w:t>
      </w:r>
      <w:r>
        <w:rPr>
          <w:color w:val="000000" w:themeColor="text1"/>
          <w:sz w:val="24"/>
        </w:rPr>
        <w:t>《易方达中短期美元债债券型证券投资基金（</w:t>
      </w:r>
      <w:r>
        <w:rPr>
          <w:color w:val="000000" w:themeColor="text1"/>
          <w:sz w:val="24"/>
        </w:rPr>
        <w:t>QDII</w:t>
      </w:r>
      <w:r>
        <w:rPr>
          <w:color w:val="000000" w:themeColor="text1"/>
          <w:sz w:val="24"/>
        </w:rPr>
        <w:t>）托管协议》；</w:t>
      </w:r>
    </w:p>
    <w:p w:rsidR="00F00A26" w:rsidRDefault="002A0141">
      <w:pPr>
        <w:spacing w:line="360" w:lineRule="auto"/>
        <w:ind w:firstLineChars="200" w:firstLine="480"/>
        <w:rPr>
          <w:color w:val="000000" w:themeColor="text1"/>
          <w:sz w:val="24"/>
        </w:rPr>
      </w:pPr>
      <w:r>
        <w:rPr>
          <w:color w:val="000000" w:themeColor="text1"/>
          <w:sz w:val="24"/>
        </w:rPr>
        <w:t>4.</w:t>
      </w:r>
      <w:r>
        <w:rPr>
          <w:color w:val="000000" w:themeColor="text1"/>
          <w:sz w:val="24"/>
        </w:rPr>
        <w:t>《易方达基金管理有限公司开放式基金业务规则》；</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5.</w:t>
      </w:r>
      <w:r w:rsidRPr="00A67563">
        <w:rPr>
          <w:color w:val="000000" w:themeColor="text1"/>
          <w:sz w:val="24"/>
        </w:rPr>
        <w:t>基金管理人业务资格批件和营业执照。</w:t>
      </w:r>
    </w:p>
    <w:p w:rsidR="008A2EC6" w:rsidRPr="00A67563" w:rsidRDefault="008A2EC6" w:rsidP="000C7596">
      <w:pPr>
        <w:spacing w:line="360" w:lineRule="auto"/>
        <w:ind w:firstLineChars="200" w:firstLine="480"/>
        <w:rPr>
          <w:color w:val="000000" w:themeColor="text1"/>
          <w:sz w:val="24"/>
        </w:rPr>
      </w:pP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t>8</w:t>
      </w:r>
      <w:r w:rsidR="008975BC" w:rsidRPr="00A67563">
        <w:rPr>
          <w:b/>
          <w:bCs/>
          <w:color w:val="000000" w:themeColor="text1"/>
          <w:kern w:val="0"/>
          <w:sz w:val="24"/>
        </w:rPr>
        <w:t>.</w:t>
      </w:r>
      <w:r w:rsidR="00376A15" w:rsidRPr="00A67563">
        <w:rPr>
          <w:b/>
          <w:bCs/>
          <w:color w:val="000000" w:themeColor="text1"/>
          <w:kern w:val="0"/>
          <w:sz w:val="24"/>
        </w:rPr>
        <w:t>2</w:t>
      </w:r>
      <w:r w:rsidR="008975BC" w:rsidRPr="00A67563">
        <w:rPr>
          <w:b/>
          <w:bCs/>
          <w:color w:val="000000" w:themeColor="text1"/>
          <w:kern w:val="0"/>
          <w:sz w:val="24"/>
        </w:rPr>
        <w:t xml:space="preserve"> </w:t>
      </w:r>
      <w:r w:rsidR="008975BC" w:rsidRPr="00A67563">
        <w:rPr>
          <w:b/>
          <w:bCs/>
          <w:color w:val="000000" w:themeColor="text1"/>
          <w:kern w:val="0"/>
          <w:sz w:val="24"/>
        </w:rPr>
        <w:t>存放地点</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广州市天河区珠江新城珠江东路</w:t>
      </w:r>
      <w:r w:rsidRPr="00A67563">
        <w:rPr>
          <w:color w:val="000000" w:themeColor="text1"/>
          <w:sz w:val="24"/>
        </w:rPr>
        <w:t>30</w:t>
      </w:r>
      <w:r w:rsidRPr="00A67563">
        <w:rPr>
          <w:color w:val="000000" w:themeColor="text1"/>
          <w:sz w:val="24"/>
        </w:rPr>
        <w:t>号广州银行大厦</w:t>
      </w:r>
      <w:r w:rsidRPr="00A67563">
        <w:rPr>
          <w:color w:val="000000" w:themeColor="text1"/>
          <w:sz w:val="24"/>
        </w:rPr>
        <w:t>40-43</w:t>
      </w:r>
      <w:r w:rsidRPr="00A67563">
        <w:rPr>
          <w:color w:val="000000" w:themeColor="text1"/>
          <w:sz w:val="24"/>
        </w:rPr>
        <w:t>楼。</w:t>
      </w:r>
    </w:p>
    <w:p w:rsidR="008A2EC6" w:rsidRPr="00A67563" w:rsidRDefault="008A2EC6" w:rsidP="000C7596">
      <w:pPr>
        <w:spacing w:line="360" w:lineRule="auto"/>
        <w:ind w:firstLineChars="200" w:firstLine="480"/>
        <w:rPr>
          <w:color w:val="000000" w:themeColor="text1"/>
          <w:sz w:val="24"/>
        </w:rPr>
      </w:pPr>
    </w:p>
    <w:p w:rsidR="008975BC" w:rsidRPr="00A67563" w:rsidRDefault="00280566" w:rsidP="000C7596">
      <w:pPr>
        <w:autoSpaceDE w:val="0"/>
        <w:autoSpaceDN w:val="0"/>
        <w:adjustRightInd w:val="0"/>
        <w:spacing w:line="360" w:lineRule="auto"/>
        <w:jc w:val="left"/>
        <w:rPr>
          <w:b/>
          <w:bCs/>
          <w:color w:val="000000" w:themeColor="text1"/>
          <w:kern w:val="0"/>
          <w:sz w:val="24"/>
        </w:rPr>
      </w:pPr>
      <w:r w:rsidRPr="00A67563">
        <w:rPr>
          <w:b/>
          <w:bCs/>
          <w:color w:val="000000" w:themeColor="text1"/>
          <w:kern w:val="0"/>
          <w:sz w:val="24"/>
        </w:rPr>
        <w:t>8</w:t>
      </w:r>
      <w:r w:rsidR="008975BC" w:rsidRPr="00A67563">
        <w:rPr>
          <w:b/>
          <w:bCs/>
          <w:color w:val="000000" w:themeColor="text1"/>
          <w:kern w:val="0"/>
          <w:sz w:val="24"/>
        </w:rPr>
        <w:t>.</w:t>
      </w:r>
      <w:r w:rsidR="00376A15" w:rsidRPr="00A67563">
        <w:rPr>
          <w:b/>
          <w:bCs/>
          <w:color w:val="000000" w:themeColor="text1"/>
          <w:kern w:val="0"/>
          <w:sz w:val="24"/>
        </w:rPr>
        <w:t>3</w:t>
      </w:r>
      <w:r w:rsidR="008975BC" w:rsidRPr="00A67563">
        <w:rPr>
          <w:b/>
          <w:bCs/>
          <w:color w:val="000000" w:themeColor="text1"/>
          <w:kern w:val="0"/>
          <w:sz w:val="24"/>
        </w:rPr>
        <w:t xml:space="preserve"> </w:t>
      </w:r>
      <w:r w:rsidR="008975BC" w:rsidRPr="00A67563">
        <w:rPr>
          <w:b/>
          <w:bCs/>
          <w:color w:val="000000" w:themeColor="text1"/>
          <w:kern w:val="0"/>
          <w:sz w:val="24"/>
        </w:rPr>
        <w:t>查阅方式</w:t>
      </w:r>
    </w:p>
    <w:p w:rsidR="008975BC" w:rsidRPr="00A67563" w:rsidRDefault="008975BC" w:rsidP="002D6955">
      <w:pPr>
        <w:spacing w:line="360" w:lineRule="auto"/>
        <w:ind w:firstLineChars="200" w:firstLine="480"/>
        <w:rPr>
          <w:color w:val="000000" w:themeColor="text1"/>
          <w:sz w:val="24"/>
        </w:rPr>
      </w:pPr>
      <w:r w:rsidRPr="00A67563">
        <w:rPr>
          <w:color w:val="000000" w:themeColor="text1"/>
          <w:sz w:val="24"/>
        </w:rPr>
        <w:t>投资者可在营业时间免费查阅，也可按工本费购买复印件。</w:t>
      </w:r>
    </w:p>
    <w:p w:rsidR="0076518F" w:rsidRPr="00A67563" w:rsidRDefault="0076518F" w:rsidP="008B6A4A">
      <w:pPr>
        <w:spacing w:line="360" w:lineRule="auto"/>
        <w:ind w:firstLineChars="200" w:firstLine="480"/>
        <w:rPr>
          <w:color w:val="000000" w:themeColor="text1"/>
          <w:sz w:val="24"/>
        </w:rPr>
      </w:pPr>
    </w:p>
    <w:p w:rsidR="008A2EC6" w:rsidRPr="00A67563" w:rsidRDefault="008A2EC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0C7596" w:rsidRPr="00A67563" w:rsidRDefault="000C7596" w:rsidP="008B6A4A">
      <w:pPr>
        <w:spacing w:line="360" w:lineRule="auto"/>
        <w:ind w:firstLineChars="200" w:firstLine="480"/>
        <w:rPr>
          <w:color w:val="000000" w:themeColor="text1"/>
          <w:sz w:val="24"/>
        </w:rPr>
      </w:pPr>
    </w:p>
    <w:p w:rsidR="0076518F" w:rsidRPr="00A67563" w:rsidRDefault="0076518F" w:rsidP="008B6A4A">
      <w:pPr>
        <w:spacing w:line="360" w:lineRule="auto"/>
        <w:ind w:firstLineChars="200" w:firstLine="480"/>
        <w:rPr>
          <w:color w:val="000000" w:themeColor="text1"/>
          <w:sz w:val="24"/>
        </w:rPr>
      </w:pPr>
    </w:p>
    <w:p w:rsidR="008975BC" w:rsidRPr="00A67563" w:rsidRDefault="008975BC" w:rsidP="000C7596">
      <w:pPr>
        <w:spacing w:line="360" w:lineRule="auto"/>
        <w:jc w:val="right"/>
        <w:rPr>
          <w:b/>
          <w:bCs/>
          <w:color w:val="000000" w:themeColor="text1"/>
          <w:sz w:val="24"/>
        </w:rPr>
      </w:pPr>
      <w:r w:rsidRPr="00A67563">
        <w:rPr>
          <w:b/>
          <w:bCs/>
          <w:color w:val="000000" w:themeColor="text1"/>
          <w:sz w:val="24"/>
        </w:rPr>
        <w:t>易方达基金管理有限公司</w:t>
      </w:r>
    </w:p>
    <w:p w:rsidR="0076518F" w:rsidRPr="00A67563" w:rsidRDefault="00623556" w:rsidP="000C7596">
      <w:pPr>
        <w:spacing w:line="360" w:lineRule="auto"/>
        <w:jc w:val="right"/>
        <w:rPr>
          <w:b/>
          <w:bCs/>
          <w:color w:val="000000" w:themeColor="text1"/>
          <w:sz w:val="24"/>
        </w:rPr>
      </w:pPr>
      <w:r w:rsidRPr="00A67563">
        <w:rPr>
          <w:b/>
          <w:bCs/>
          <w:color w:val="000000" w:themeColor="text1"/>
          <w:sz w:val="24"/>
        </w:rPr>
        <w:t>二〇一九年十月二十四日</w:t>
      </w:r>
    </w:p>
    <w:sectPr w:rsidR="0076518F" w:rsidRPr="00A67563" w:rsidSect="00DB4450">
      <w:headerReference w:type="even" r:id="rId11"/>
      <w:footerReference w:type="even" r:id="rId12"/>
      <w:footerReference w:type="default" r:id="rId13"/>
      <w:headerReference w:type="first" r:id="rId14"/>
      <w:footerReference w:type="first" r:id="rId15"/>
      <w:pgSz w:w="11906" w:h="16838" w:code="9"/>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976E0" w:rsidRDefault="00F976E0">
      <w:r>
        <w:separator/>
      </w:r>
    </w:p>
  </w:endnote>
  <w:endnote w:type="continuationSeparator" w:id="0">
    <w:p w:rsidR="00F976E0" w:rsidRDefault="00F97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Pr="001D0DB0" w:rsidRDefault="00845292" w:rsidP="00B918B8">
    <w:pPr>
      <w:pStyle w:val="a6"/>
      <w:jc w:val="center"/>
    </w:pPr>
    <w:r>
      <w:rPr>
        <w:rFonts w:hint="eastAsia"/>
        <w:kern w:val="0"/>
        <w:szCs w:val="21"/>
      </w:rPr>
      <w:t>第</w:t>
    </w:r>
    <w:r w:rsidR="00C2458C">
      <w:rPr>
        <w:kern w:val="0"/>
        <w:szCs w:val="21"/>
      </w:rPr>
      <w:fldChar w:fldCharType="begin"/>
    </w:r>
    <w:r>
      <w:rPr>
        <w:kern w:val="0"/>
        <w:szCs w:val="21"/>
      </w:rPr>
      <w:instrText xml:space="preserve"> PAGE </w:instrText>
    </w:r>
    <w:r w:rsidR="00C2458C">
      <w:rPr>
        <w:kern w:val="0"/>
        <w:szCs w:val="21"/>
      </w:rPr>
      <w:fldChar w:fldCharType="separate"/>
    </w:r>
    <w:r w:rsidR="002A0141">
      <w:rPr>
        <w:noProof/>
        <w:kern w:val="0"/>
        <w:szCs w:val="21"/>
      </w:rPr>
      <w:t>1</w:t>
    </w:r>
    <w:r w:rsidR="00C2458C">
      <w:rPr>
        <w:kern w:val="0"/>
        <w:szCs w:val="21"/>
      </w:rPr>
      <w:fldChar w:fldCharType="end"/>
    </w:r>
    <w:r>
      <w:rPr>
        <w:rFonts w:hint="eastAsia"/>
        <w:kern w:val="0"/>
        <w:szCs w:val="21"/>
      </w:rPr>
      <w:t>页共</w:t>
    </w:r>
    <w:r w:rsidR="00C2458C">
      <w:rPr>
        <w:kern w:val="0"/>
        <w:szCs w:val="21"/>
      </w:rPr>
      <w:fldChar w:fldCharType="begin"/>
    </w:r>
    <w:r>
      <w:rPr>
        <w:kern w:val="0"/>
        <w:szCs w:val="21"/>
      </w:rPr>
      <w:instrText xml:space="preserve"> NUMPAGES </w:instrText>
    </w:r>
    <w:r w:rsidR="00C2458C">
      <w:rPr>
        <w:kern w:val="0"/>
        <w:szCs w:val="21"/>
      </w:rPr>
      <w:fldChar w:fldCharType="separate"/>
    </w:r>
    <w:r w:rsidR="002A0141">
      <w:rPr>
        <w:noProof/>
        <w:kern w:val="0"/>
        <w:szCs w:val="21"/>
      </w:rPr>
      <w:t>4</w:t>
    </w:r>
    <w:r w:rsidR="00C2458C">
      <w:rPr>
        <w:kern w:val="0"/>
        <w:szCs w:val="21"/>
      </w:rPr>
      <w:fldChar w:fldCharType="end"/>
    </w:r>
    <w:r>
      <w:rPr>
        <w:rFonts w:hint="eastAsia"/>
        <w:kern w:val="0"/>
        <w:szCs w:val="21"/>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C2458C">
    <w:pPr>
      <w:pStyle w:val="a6"/>
      <w:framePr w:wrap="around" w:vAnchor="text" w:hAnchor="margin" w:xAlign="center" w:y="1"/>
      <w:rPr>
        <w:rStyle w:val="a7"/>
      </w:rPr>
    </w:pPr>
    <w:r>
      <w:rPr>
        <w:rStyle w:val="a7"/>
      </w:rPr>
      <w:fldChar w:fldCharType="begin"/>
    </w:r>
    <w:r w:rsidR="00845292">
      <w:rPr>
        <w:rStyle w:val="a7"/>
      </w:rPr>
      <w:instrText xml:space="preserve">PAGE  </w:instrText>
    </w:r>
    <w:r>
      <w:rPr>
        <w:rStyle w:val="a7"/>
      </w:rPr>
      <w:fldChar w:fldCharType="end"/>
    </w:r>
  </w:p>
  <w:p w:rsidR="00845292" w:rsidRDefault="00845292">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C2458C">
    <w:pPr>
      <w:pStyle w:val="a6"/>
      <w:framePr w:wrap="around" w:vAnchor="text" w:hAnchor="margin" w:xAlign="center" w:y="1"/>
      <w:rPr>
        <w:rStyle w:val="a7"/>
      </w:rPr>
    </w:pPr>
    <w:r>
      <w:rPr>
        <w:rStyle w:val="a7"/>
      </w:rPr>
      <w:fldChar w:fldCharType="begin"/>
    </w:r>
    <w:r w:rsidR="00845292">
      <w:rPr>
        <w:rStyle w:val="a7"/>
      </w:rPr>
      <w:instrText xml:space="preserve">PAGE  </w:instrText>
    </w:r>
    <w:r>
      <w:rPr>
        <w:rStyle w:val="a7"/>
      </w:rPr>
      <w:fldChar w:fldCharType="separate"/>
    </w:r>
    <w:r w:rsidR="002A0141">
      <w:rPr>
        <w:rStyle w:val="a7"/>
        <w:noProof/>
      </w:rPr>
      <w:t>13</w:t>
    </w:r>
    <w:r>
      <w:rPr>
        <w:rStyle w:val="a7"/>
      </w:rPr>
      <w:fldChar w:fldCharType="end"/>
    </w:r>
  </w:p>
  <w:p w:rsidR="00845292" w:rsidRDefault="00845292">
    <w:pPr>
      <w:pStyle w:val="a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976E0" w:rsidRDefault="00F976E0">
      <w:r>
        <w:separator/>
      </w:r>
    </w:p>
  </w:footnote>
  <w:footnote w:type="continuationSeparator" w:id="0">
    <w:p w:rsidR="00F976E0" w:rsidRDefault="00F97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Pr="006669C9" w:rsidRDefault="00845292" w:rsidP="001D1356">
    <w:pPr>
      <w:pStyle w:val="a9"/>
      <w:pBdr>
        <w:bottom w:val="single" w:sz="6" w:space="0" w:color="auto"/>
      </w:pBdr>
      <w:jc w:val="right"/>
    </w:pPr>
    <w:r w:rsidRPr="006669C9">
      <w:t>易方达中短期美元债债券型证券投资基金（</w:t>
    </w:r>
    <w:r w:rsidRPr="006669C9">
      <w:t>QDII</w:t>
    </w:r>
    <w:r w:rsidRPr="006669C9">
      <w:t>）</w:t>
    </w:r>
    <w:r w:rsidRPr="006669C9">
      <w:t>2019</w:t>
    </w:r>
    <w:r w:rsidRPr="006669C9">
      <w:t>年第</w:t>
    </w:r>
    <w:r w:rsidRPr="006669C9">
      <w:t>3</w:t>
    </w:r>
    <w:r w:rsidRPr="006669C9">
      <w:t>季度报告</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45292" w:rsidRDefault="00845292">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055987"/>
    <w:multiLevelType w:val="hybridMultilevel"/>
    <w:tmpl w:val="6DACDB38"/>
    <w:lvl w:ilvl="0" w:tplc="307C87E8">
      <w:start w:val="2006"/>
      <w:numFmt w:val="bullet"/>
      <w:lvlText w:val="●"/>
      <w:lvlJc w:val="left"/>
      <w:pPr>
        <w:tabs>
          <w:tab w:val="num" w:pos="780"/>
        </w:tabs>
        <w:ind w:left="780" w:hanging="360"/>
      </w:pPr>
      <w:rPr>
        <w:rFonts w:ascii="Times New Roman" w:eastAsia="宋体" w:hAnsi="Times New Roman" w:cs="Times New Roman" w:hint="default"/>
      </w:rPr>
    </w:lvl>
    <w:lvl w:ilvl="1" w:tplc="04090003" w:tentative="1">
      <w:start w:val="1"/>
      <w:numFmt w:val="bullet"/>
      <w:lvlText w:val=""/>
      <w:lvlJc w:val="left"/>
      <w:pPr>
        <w:tabs>
          <w:tab w:val="num" w:pos="1260"/>
        </w:tabs>
        <w:ind w:left="1260" w:hanging="420"/>
      </w:pPr>
      <w:rPr>
        <w:rFonts w:ascii="Wingdings" w:hAnsi="Wingdings" w:hint="default"/>
      </w:rPr>
    </w:lvl>
    <w:lvl w:ilvl="2" w:tplc="04090005"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3" w:tentative="1">
      <w:start w:val="1"/>
      <w:numFmt w:val="bullet"/>
      <w:lvlText w:val=""/>
      <w:lvlJc w:val="left"/>
      <w:pPr>
        <w:tabs>
          <w:tab w:val="num" w:pos="2520"/>
        </w:tabs>
        <w:ind w:left="2520" w:hanging="420"/>
      </w:pPr>
      <w:rPr>
        <w:rFonts w:ascii="Wingdings" w:hAnsi="Wingdings" w:hint="default"/>
      </w:rPr>
    </w:lvl>
    <w:lvl w:ilvl="5" w:tplc="04090005"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3" w:tentative="1">
      <w:start w:val="1"/>
      <w:numFmt w:val="bullet"/>
      <w:lvlText w:val=""/>
      <w:lvlJc w:val="left"/>
      <w:pPr>
        <w:tabs>
          <w:tab w:val="num" w:pos="3780"/>
        </w:tabs>
        <w:ind w:left="3780" w:hanging="420"/>
      </w:pPr>
      <w:rPr>
        <w:rFonts w:ascii="Wingdings" w:hAnsi="Wingdings" w:hint="default"/>
      </w:rPr>
    </w:lvl>
    <w:lvl w:ilvl="8" w:tplc="04090005" w:tentative="1">
      <w:start w:val="1"/>
      <w:numFmt w:val="bullet"/>
      <w:lvlText w:val=""/>
      <w:lvlJc w:val="left"/>
      <w:pPr>
        <w:tabs>
          <w:tab w:val="num" w:pos="4200"/>
        </w:tabs>
        <w:ind w:left="4200" w:hanging="420"/>
      </w:pPr>
      <w:rPr>
        <w:rFonts w:ascii="Wingdings" w:hAnsi="Wingdings" w:hint="default"/>
      </w:rPr>
    </w:lvl>
  </w:abstractNum>
  <w:abstractNum w:abstractNumId="1" w15:restartNumberingAfterBreak="0">
    <w:nsid w:val="57E8240C"/>
    <w:multiLevelType w:val="hybridMultilevel"/>
    <w:tmpl w:val="300A7112"/>
    <w:lvl w:ilvl="0" w:tplc="3782FDB8">
      <w:start w:val="1"/>
      <w:numFmt w:val="decimal"/>
      <w:lvlText w:val="（%1）"/>
      <w:lvlJc w:val="left"/>
      <w:pPr>
        <w:tabs>
          <w:tab w:val="num" w:pos="1200"/>
        </w:tabs>
        <w:ind w:left="1200" w:hanging="720"/>
      </w:pPr>
      <w:rPr>
        <w:rFonts w:hint="eastAsia"/>
        <w:sz w:val="24"/>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abstractNum w:abstractNumId="2" w15:restartNumberingAfterBreak="0">
    <w:nsid w:val="7EC34207"/>
    <w:multiLevelType w:val="hybridMultilevel"/>
    <w:tmpl w:val="58FC50DE"/>
    <w:lvl w:ilvl="0" w:tplc="788C0680">
      <w:start w:val="1"/>
      <w:numFmt w:val="japaneseCounting"/>
      <w:lvlText w:val="%1、"/>
      <w:lvlJc w:val="left"/>
      <w:pPr>
        <w:tabs>
          <w:tab w:val="num" w:pos="480"/>
        </w:tabs>
        <w:ind w:left="480" w:hanging="480"/>
      </w:pPr>
      <w:rPr>
        <w:rFonts w:eastAsia="宋体" w:hint="eastAsia"/>
        <w:color w:val="auto"/>
      </w:rPr>
    </w:lvl>
    <w:lvl w:ilvl="1" w:tplc="D5ACC954">
      <w:start w:val="1"/>
      <w:numFmt w:val="japaneseCounting"/>
      <w:lvlText w:val="(%2)"/>
      <w:lvlJc w:val="left"/>
      <w:pPr>
        <w:tabs>
          <w:tab w:val="num" w:pos="810"/>
        </w:tabs>
        <w:ind w:left="810" w:hanging="390"/>
      </w:pPr>
      <w:rPr>
        <w:rFonts w:hint="eastAsia"/>
      </w:rPr>
    </w:lvl>
    <w:lvl w:ilvl="2" w:tplc="E2F6B948">
      <w:start w:val="1"/>
      <w:numFmt w:val="decimal"/>
      <w:lvlText w:val="%3、"/>
      <w:lvlJc w:val="left"/>
      <w:pPr>
        <w:tabs>
          <w:tab w:val="num" w:pos="1200"/>
        </w:tabs>
        <w:ind w:left="1200" w:hanging="360"/>
      </w:pPr>
      <w:rPr>
        <w:rFonts w:hint="eastAsia"/>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2"/>
  </w:num>
  <w:num w:numId="2">
    <w:abstractNumId w:val="1"/>
  </w:num>
  <w:num w:numId="3">
    <w:abstractNumId w:val="0"/>
  </w:num>
  <w:num w:numId="4">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PostScriptOverText/>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EE7FB4"/>
    <w:rsid w:val="0000403B"/>
    <w:rsid w:val="00005911"/>
    <w:rsid w:val="00010A83"/>
    <w:rsid w:val="00010A8E"/>
    <w:rsid w:val="00010AC3"/>
    <w:rsid w:val="00011D4F"/>
    <w:rsid w:val="00011E10"/>
    <w:rsid w:val="00011EB5"/>
    <w:rsid w:val="00017581"/>
    <w:rsid w:val="00017739"/>
    <w:rsid w:val="00020583"/>
    <w:rsid w:val="00021DD4"/>
    <w:rsid w:val="0002303F"/>
    <w:rsid w:val="00023BE7"/>
    <w:rsid w:val="00026BFF"/>
    <w:rsid w:val="000306F0"/>
    <w:rsid w:val="0003091A"/>
    <w:rsid w:val="00037FCF"/>
    <w:rsid w:val="00041AB5"/>
    <w:rsid w:val="000421B8"/>
    <w:rsid w:val="00042C9C"/>
    <w:rsid w:val="00043ABF"/>
    <w:rsid w:val="000445E4"/>
    <w:rsid w:val="00045AE7"/>
    <w:rsid w:val="000510AB"/>
    <w:rsid w:val="00055668"/>
    <w:rsid w:val="00055AF1"/>
    <w:rsid w:val="000565DC"/>
    <w:rsid w:val="00063A8D"/>
    <w:rsid w:val="00064AE3"/>
    <w:rsid w:val="00066524"/>
    <w:rsid w:val="00067332"/>
    <w:rsid w:val="00070CD1"/>
    <w:rsid w:val="00070DD6"/>
    <w:rsid w:val="0007171B"/>
    <w:rsid w:val="00081D05"/>
    <w:rsid w:val="0008610C"/>
    <w:rsid w:val="000876A0"/>
    <w:rsid w:val="00087CF7"/>
    <w:rsid w:val="00094876"/>
    <w:rsid w:val="00095912"/>
    <w:rsid w:val="00095CE0"/>
    <w:rsid w:val="000965F7"/>
    <w:rsid w:val="000965FC"/>
    <w:rsid w:val="00096933"/>
    <w:rsid w:val="00097230"/>
    <w:rsid w:val="000A09BE"/>
    <w:rsid w:val="000A457E"/>
    <w:rsid w:val="000A521D"/>
    <w:rsid w:val="000A549A"/>
    <w:rsid w:val="000A55BD"/>
    <w:rsid w:val="000A72F2"/>
    <w:rsid w:val="000B0C56"/>
    <w:rsid w:val="000B3274"/>
    <w:rsid w:val="000B3E43"/>
    <w:rsid w:val="000C11E0"/>
    <w:rsid w:val="000C1723"/>
    <w:rsid w:val="000C1B20"/>
    <w:rsid w:val="000C4107"/>
    <w:rsid w:val="000C41AE"/>
    <w:rsid w:val="000C45E7"/>
    <w:rsid w:val="000C6876"/>
    <w:rsid w:val="000C7596"/>
    <w:rsid w:val="000D01F4"/>
    <w:rsid w:val="000D121F"/>
    <w:rsid w:val="000D1519"/>
    <w:rsid w:val="000E1F7C"/>
    <w:rsid w:val="000E3B88"/>
    <w:rsid w:val="000E3F11"/>
    <w:rsid w:val="000E4456"/>
    <w:rsid w:val="000F175F"/>
    <w:rsid w:val="000F17D1"/>
    <w:rsid w:val="000F60FF"/>
    <w:rsid w:val="000F635F"/>
    <w:rsid w:val="000F6C61"/>
    <w:rsid w:val="00100A7C"/>
    <w:rsid w:val="00100C12"/>
    <w:rsid w:val="001049B6"/>
    <w:rsid w:val="001051C6"/>
    <w:rsid w:val="0010694D"/>
    <w:rsid w:val="0011177A"/>
    <w:rsid w:val="00112E27"/>
    <w:rsid w:val="0011345C"/>
    <w:rsid w:val="00114B31"/>
    <w:rsid w:val="00116E31"/>
    <w:rsid w:val="00120EAF"/>
    <w:rsid w:val="00120FAF"/>
    <w:rsid w:val="0012150F"/>
    <w:rsid w:val="00121683"/>
    <w:rsid w:val="0012304E"/>
    <w:rsid w:val="00123B10"/>
    <w:rsid w:val="001248EF"/>
    <w:rsid w:val="001257C7"/>
    <w:rsid w:val="00126DDF"/>
    <w:rsid w:val="001270BF"/>
    <w:rsid w:val="00127BAC"/>
    <w:rsid w:val="001326FC"/>
    <w:rsid w:val="00142A56"/>
    <w:rsid w:val="00143B45"/>
    <w:rsid w:val="00144DF5"/>
    <w:rsid w:val="001457F4"/>
    <w:rsid w:val="00145A97"/>
    <w:rsid w:val="00146485"/>
    <w:rsid w:val="00150AD6"/>
    <w:rsid w:val="001542CC"/>
    <w:rsid w:val="00154ADA"/>
    <w:rsid w:val="0015531A"/>
    <w:rsid w:val="0016041C"/>
    <w:rsid w:val="00163B27"/>
    <w:rsid w:val="00165317"/>
    <w:rsid w:val="00171BAD"/>
    <w:rsid w:val="00172B84"/>
    <w:rsid w:val="001756A1"/>
    <w:rsid w:val="001761EE"/>
    <w:rsid w:val="00176EAA"/>
    <w:rsid w:val="0017725A"/>
    <w:rsid w:val="00177C4B"/>
    <w:rsid w:val="0018325A"/>
    <w:rsid w:val="00184DA0"/>
    <w:rsid w:val="00186199"/>
    <w:rsid w:val="0018734E"/>
    <w:rsid w:val="001928F7"/>
    <w:rsid w:val="00194537"/>
    <w:rsid w:val="00194F40"/>
    <w:rsid w:val="001A21A9"/>
    <w:rsid w:val="001A2E94"/>
    <w:rsid w:val="001A59D8"/>
    <w:rsid w:val="001A5FA6"/>
    <w:rsid w:val="001B28D0"/>
    <w:rsid w:val="001B2F0C"/>
    <w:rsid w:val="001C37F6"/>
    <w:rsid w:val="001C46E1"/>
    <w:rsid w:val="001C5C03"/>
    <w:rsid w:val="001C6288"/>
    <w:rsid w:val="001C7D5D"/>
    <w:rsid w:val="001D0F6A"/>
    <w:rsid w:val="001D1356"/>
    <w:rsid w:val="001D21BC"/>
    <w:rsid w:val="001D2AF9"/>
    <w:rsid w:val="001D2FA5"/>
    <w:rsid w:val="001D3187"/>
    <w:rsid w:val="001D35E0"/>
    <w:rsid w:val="001D369F"/>
    <w:rsid w:val="001D4F52"/>
    <w:rsid w:val="001D5045"/>
    <w:rsid w:val="001D5A44"/>
    <w:rsid w:val="001D724B"/>
    <w:rsid w:val="001E11D3"/>
    <w:rsid w:val="001E227F"/>
    <w:rsid w:val="001E2A6A"/>
    <w:rsid w:val="001E3DC2"/>
    <w:rsid w:val="001E4ABC"/>
    <w:rsid w:val="001E56FF"/>
    <w:rsid w:val="001E5C6B"/>
    <w:rsid w:val="001F03E1"/>
    <w:rsid w:val="001F0629"/>
    <w:rsid w:val="001F26C1"/>
    <w:rsid w:val="001F3C28"/>
    <w:rsid w:val="001F3CC6"/>
    <w:rsid w:val="001F4530"/>
    <w:rsid w:val="002010DE"/>
    <w:rsid w:val="00202968"/>
    <w:rsid w:val="00202C32"/>
    <w:rsid w:val="00203AEF"/>
    <w:rsid w:val="00206F8C"/>
    <w:rsid w:val="00211A26"/>
    <w:rsid w:val="002125F7"/>
    <w:rsid w:val="00214463"/>
    <w:rsid w:val="00214756"/>
    <w:rsid w:val="002149AE"/>
    <w:rsid w:val="00215CF2"/>
    <w:rsid w:val="00221174"/>
    <w:rsid w:val="0022166D"/>
    <w:rsid w:val="002224FF"/>
    <w:rsid w:val="00222E8C"/>
    <w:rsid w:val="002236BC"/>
    <w:rsid w:val="00223DBB"/>
    <w:rsid w:val="00225051"/>
    <w:rsid w:val="002273CA"/>
    <w:rsid w:val="00232846"/>
    <w:rsid w:val="00233B7F"/>
    <w:rsid w:val="002347A7"/>
    <w:rsid w:val="002359EB"/>
    <w:rsid w:val="002363AB"/>
    <w:rsid w:val="0024260D"/>
    <w:rsid w:val="00245012"/>
    <w:rsid w:val="0024504E"/>
    <w:rsid w:val="0024651F"/>
    <w:rsid w:val="0025158D"/>
    <w:rsid w:val="0025281A"/>
    <w:rsid w:val="00253D3C"/>
    <w:rsid w:val="00254F37"/>
    <w:rsid w:val="00255292"/>
    <w:rsid w:val="00256097"/>
    <w:rsid w:val="00260200"/>
    <w:rsid w:val="00261DB3"/>
    <w:rsid w:val="002648D8"/>
    <w:rsid w:val="002655D4"/>
    <w:rsid w:val="00265865"/>
    <w:rsid w:val="00267D54"/>
    <w:rsid w:val="002711AA"/>
    <w:rsid w:val="00273F86"/>
    <w:rsid w:val="002758B5"/>
    <w:rsid w:val="00276834"/>
    <w:rsid w:val="002774F0"/>
    <w:rsid w:val="00280566"/>
    <w:rsid w:val="00281DBD"/>
    <w:rsid w:val="00284519"/>
    <w:rsid w:val="0028459B"/>
    <w:rsid w:val="00284C5F"/>
    <w:rsid w:val="00285ABF"/>
    <w:rsid w:val="002873F0"/>
    <w:rsid w:val="00291151"/>
    <w:rsid w:val="002964F9"/>
    <w:rsid w:val="00297B13"/>
    <w:rsid w:val="00297E05"/>
    <w:rsid w:val="00297E9F"/>
    <w:rsid w:val="002A0141"/>
    <w:rsid w:val="002A0FA2"/>
    <w:rsid w:val="002A1F14"/>
    <w:rsid w:val="002A2678"/>
    <w:rsid w:val="002A2E01"/>
    <w:rsid w:val="002A398F"/>
    <w:rsid w:val="002A530F"/>
    <w:rsid w:val="002A5C6B"/>
    <w:rsid w:val="002A5D31"/>
    <w:rsid w:val="002A714F"/>
    <w:rsid w:val="002B14C2"/>
    <w:rsid w:val="002B1851"/>
    <w:rsid w:val="002B250D"/>
    <w:rsid w:val="002B27FF"/>
    <w:rsid w:val="002B3A0A"/>
    <w:rsid w:val="002B4320"/>
    <w:rsid w:val="002B6793"/>
    <w:rsid w:val="002C042C"/>
    <w:rsid w:val="002C1726"/>
    <w:rsid w:val="002C21A6"/>
    <w:rsid w:val="002C2678"/>
    <w:rsid w:val="002C26D5"/>
    <w:rsid w:val="002C5777"/>
    <w:rsid w:val="002D31BB"/>
    <w:rsid w:val="002D32E3"/>
    <w:rsid w:val="002D6955"/>
    <w:rsid w:val="002E0FEB"/>
    <w:rsid w:val="002E6899"/>
    <w:rsid w:val="002F0F79"/>
    <w:rsid w:val="002F2234"/>
    <w:rsid w:val="002F2713"/>
    <w:rsid w:val="002F280E"/>
    <w:rsid w:val="002F3709"/>
    <w:rsid w:val="002F3A6C"/>
    <w:rsid w:val="002F4296"/>
    <w:rsid w:val="00300951"/>
    <w:rsid w:val="00302CA8"/>
    <w:rsid w:val="00302DE9"/>
    <w:rsid w:val="00304106"/>
    <w:rsid w:val="00304E5A"/>
    <w:rsid w:val="00304E97"/>
    <w:rsid w:val="00305084"/>
    <w:rsid w:val="0031104D"/>
    <w:rsid w:val="00311094"/>
    <w:rsid w:val="0031598C"/>
    <w:rsid w:val="00316339"/>
    <w:rsid w:val="003204E9"/>
    <w:rsid w:val="00321E8C"/>
    <w:rsid w:val="00322A5E"/>
    <w:rsid w:val="00322A86"/>
    <w:rsid w:val="00323AE8"/>
    <w:rsid w:val="00324548"/>
    <w:rsid w:val="003251F4"/>
    <w:rsid w:val="003303E3"/>
    <w:rsid w:val="003329EA"/>
    <w:rsid w:val="0033649D"/>
    <w:rsid w:val="003371D0"/>
    <w:rsid w:val="003376D5"/>
    <w:rsid w:val="003407A5"/>
    <w:rsid w:val="00341188"/>
    <w:rsid w:val="0034147B"/>
    <w:rsid w:val="00345F56"/>
    <w:rsid w:val="00350238"/>
    <w:rsid w:val="003508B0"/>
    <w:rsid w:val="0035109C"/>
    <w:rsid w:val="00351F0A"/>
    <w:rsid w:val="003526A6"/>
    <w:rsid w:val="0035432B"/>
    <w:rsid w:val="00356D17"/>
    <w:rsid w:val="003570F4"/>
    <w:rsid w:val="00361E7E"/>
    <w:rsid w:val="00363E15"/>
    <w:rsid w:val="00370AA4"/>
    <w:rsid w:val="00371FF4"/>
    <w:rsid w:val="003745DA"/>
    <w:rsid w:val="0037468D"/>
    <w:rsid w:val="00376A15"/>
    <w:rsid w:val="00376E96"/>
    <w:rsid w:val="00377520"/>
    <w:rsid w:val="00380D36"/>
    <w:rsid w:val="00380FB5"/>
    <w:rsid w:val="003822D3"/>
    <w:rsid w:val="00386630"/>
    <w:rsid w:val="00390B25"/>
    <w:rsid w:val="00395BC9"/>
    <w:rsid w:val="00396E32"/>
    <w:rsid w:val="00397156"/>
    <w:rsid w:val="00397616"/>
    <w:rsid w:val="00397960"/>
    <w:rsid w:val="003A30B8"/>
    <w:rsid w:val="003A3BC4"/>
    <w:rsid w:val="003A458A"/>
    <w:rsid w:val="003B2F13"/>
    <w:rsid w:val="003B405E"/>
    <w:rsid w:val="003B57D3"/>
    <w:rsid w:val="003C1F58"/>
    <w:rsid w:val="003C6BB7"/>
    <w:rsid w:val="003C792F"/>
    <w:rsid w:val="003D0053"/>
    <w:rsid w:val="003D124B"/>
    <w:rsid w:val="003D18F3"/>
    <w:rsid w:val="003D78B5"/>
    <w:rsid w:val="003E244F"/>
    <w:rsid w:val="003E6203"/>
    <w:rsid w:val="003E62A6"/>
    <w:rsid w:val="003E695F"/>
    <w:rsid w:val="003E6C9B"/>
    <w:rsid w:val="003E709C"/>
    <w:rsid w:val="003E7B89"/>
    <w:rsid w:val="003F0275"/>
    <w:rsid w:val="003F06B1"/>
    <w:rsid w:val="003F4241"/>
    <w:rsid w:val="003F59C4"/>
    <w:rsid w:val="003F7C45"/>
    <w:rsid w:val="0040132C"/>
    <w:rsid w:val="00401FEA"/>
    <w:rsid w:val="004027BA"/>
    <w:rsid w:val="0040469F"/>
    <w:rsid w:val="00405085"/>
    <w:rsid w:val="0040617F"/>
    <w:rsid w:val="004061D9"/>
    <w:rsid w:val="004066FC"/>
    <w:rsid w:val="00407C10"/>
    <w:rsid w:val="004113B4"/>
    <w:rsid w:val="00414827"/>
    <w:rsid w:val="00416C10"/>
    <w:rsid w:val="00420007"/>
    <w:rsid w:val="00421C77"/>
    <w:rsid w:val="00424EF3"/>
    <w:rsid w:val="004261BD"/>
    <w:rsid w:val="004268BB"/>
    <w:rsid w:val="00431047"/>
    <w:rsid w:val="00431B86"/>
    <w:rsid w:val="004339D9"/>
    <w:rsid w:val="004408EC"/>
    <w:rsid w:val="00441E6A"/>
    <w:rsid w:val="00443C8F"/>
    <w:rsid w:val="00450AA3"/>
    <w:rsid w:val="00452481"/>
    <w:rsid w:val="004567C5"/>
    <w:rsid w:val="00457804"/>
    <w:rsid w:val="00462B61"/>
    <w:rsid w:val="00464283"/>
    <w:rsid w:val="004646BF"/>
    <w:rsid w:val="00464744"/>
    <w:rsid w:val="004665E3"/>
    <w:rsid w:val="00466B17"/>
    <w:rsid w:val="004705EB"/>
    <w:rsid w:val="004721EF"/>
    <w:rsid w:val="004731F1"/>
    <w:rsid w:val="004745CC"/>
    <w:rsid w:val="00477111"/>
    <w:rsid w:val="0047798A"/>
    <w:rsid w:val="00480BC8"/>
    <w:rsid w:val="00481265"/>
    <w:rsid w:val="004814BF"/>
    <w:rsid w:val="00482956"/>
    <w:rsid w:val="0048587E"/>
    <w:rsid w:val="00487C2B"/>
    <w:rsid w:val="0049297D"/>
    <w:rsid w:val="004929F2"/>
    <w:rsid w:val="004958BE"/>
    <w:rsid w:val="00495A03"/>
    <w:rsid w:val="0049659A"/>
    <w:rsid w:val="004966FE"/>
    <w:rsid w:val="00496C8B"/>
    <w:rsid w:val="00497079"/>
    <w:rsid w:val="00497E38"/>
    <w:rsid w:val="004A0BD6"/>
    <w:rsid w:val="004A1493"/>
    <w:rsid w:val="004A1BBA"/>
    <w:rsid w:val="004A3039"/>
    <w:rsid w:val="004A3E3C"/>
    <w:rsid w:val="004B0E6D"/>
    <w:rsid w:val="004B16E8"/>
    <w:rsid w:val="004B254D"/>
    <w:rsid w:val="004B327C"/>
    <w:rsid w:val="004B38A1"/>
    <w:rsid w:val="004B3F56"/>
    <w:rsid w:val="004B6250"/>
    <w:rsid w:val="004B76B1"/>
    <w:rsid w:val="004C0057"/>
    <w:rsid w:val="004C0541"/>
    <w:rsid w:val="004C05F3"/>
    <w:rsid w:val="004C2C46"/>
    <w:rsid w:val="004C30D5"/>
    <w:rsid w:val="004C52A1"/>
    <w:rsid w:val="004C7235"/>
    <w:rsid w:val="004C7955"/>
    <w:rsid w:val="004C7C9D"/>
    <w:rsid w:val="004D047F"/>
    <w:rsid w:val="004D3971"/>
    <w:rsid w:val="004D3D96"/>
    <w:rsid w:val="004D650F"/>
    <w:rsid w:val="004E2133"/>
    <w:rsid w:val="004E60FB"/>
    <w:rsid w:val="004F16AD"/>
    <w:rsid w:val="004F6565"/>
    <w:rsid w:val="004F779C"/>
    <w:rsid w:val="004F7846"/>
    <w:rsid w:val="005000D4"/>
    <w:rsid w:val="00501BB1"/>
    <w:rsid w:val="00505BE7"/>
    <w:rsid w:val="00506786"/>
    <w:rsid w:val="00506D57"/>
    <w:rsid w:val="00507F26"/>
    <w:rsid w:val="00510CAF"/>
    <w:rsid w:val="005128C5"/>
    <w:rsid w:val="0051478B"/>
    <w:rsid w:val="0051566A"/>
    <w:rsid w:val="00515D7B"/>
    <w:rsid w:val="005166E9"/>
    <w:rsid w:val="0052009E"/>
    <w:rsid w:val="00521EDE"/>
    <w:rsid w:val="00525E59"/>
    <w:rsid w:val="005318CC"/>
    <w:rsid w:val="005346F1"/>
    <w:rsid w:val="005349B1"/>
    <w:rsid w:val="005374BC"/>
    <w:rsid w:val="00543367"/>
    <w:rsid w:val="00543BFA"/>
    <w:rsid w:val="0054649D"/>
    <w:rsid w:val="00547D9C"/>
    <w:rsid w:val="00547DA1"/>
    <w:rsid w:val="00550511"/>
    <w:rsid w:val="0055513C"/>
    <w:rsid w:val="00560C94"/>
    <w:rsid w:val="0056291C"/>
    <w:rsid w:val="00565A63"/>
    <w:rsid w:val="00566588"/>
    <w:rsid w:val="00571BD3"/>
    <w:rsid w:val="0057275D"/>
    <w:rsid w:val="005749DF"/>
    <w:rsid w:val="005800A9"/>
    <w:rsid w:val="00580488"/>
    <w:rsid w:val="0058074D"/>
    <w:rsid w:val="00582FAD"/>
    <w:rsid w:val="00583489"/>
    <w:rsid w:val="005837E4"/>
    <w:rsid w:val="00584F63"/>
    <w:rsid w:val="00587B92"/>
    <w:rsid w:val="005908C0"/>
    <w:rsid w:val="00590FE4"/>
    <w:rsid w:val="005914B6"/>
    <w:rsid w:val="00591D9C"/>
    <w:rsid w:val="00592EFF"/>
    <w:rsid w:val="00597057"/>
    <w:rsid w:val="00597D8B"/>
    <w:rsid w:val="005A128A"/>
    <w:rsid w:val="005A140B"/>
    <w:rsid w:val="005A1C30"/>
    <w:rsid w:val="005A2929"/>
    <w:rsid w:val="005A2C00"/>
    <w:rsid w:val="005A3295"/>
    <w:rsid w:val="005A44E4"/>
    <w:rsid w:val="005A46FF"/>
    <w:rsid w:val="005A6BFC"/>
    <w:rsid w:val="005A704A"/>
    <w:rsid w:val="005B011E"/>
    <w:rsid w:val="005B2E84"/>
    <w:rsid w:val="005B3103"/>
    <w:rsid w:val="005B6AC7"/>
    <w:rsid w:val="005B6CA6"/>
    <w:rsid w:val="005B7B0E"/>
    <w:rsid w:val="005C5409"/>
    <w:rsid w:val="005C69AC"/>
    <w:rsid w:val="005C722E"/>
    <w:rsid w:val="005C7FD4"/>
    <w:rsid w:val="005D01A4"/>
    <w:rsid w:val="005D45B3"/>
    <w:rsid w:val="005D4CEB"/>
    <w:rsid w:val="005E0EAB"/>
    <w:rsid w:val="005E2501"/>
    <w:rsid w:val="005E64DA"/>
    <w:rsid w:val="005F04E6"/>
    <w:rsid w:val="005F43B9"/>
    <w:rsid w:val="005F68CB"/>
    <w:rsid w:val="005F7085"/>
    <w:rsid w:val="005F79F9"/>
    <w:rsid w:val="00602ACD"/>
    <w:rsid w:val="006033E3"/>
    <w:rsid w:val="00605748"/>
    <w:rsid w:val="00610C82"/>
    <w:rsid w:val="0061321C"/>
    <w:rsid w:val="0062145B"/>
    <w:rsid w:val="00623556"/>
    <w:rsid w:val="0062386E"/>
    <w:rsid w:val="00623F01"/>
    <w:rsid w:val="00624407"/>
    <w:rsid w:val="00626E2D"/>
    <w:rsid w:val="00627D94"/>
    <w:rsid w:val="00630B42"/>
    <w:rsid w:val="0063181A"/>
    <w:rsid w:val="00636CF5"/>
    <w:rsid w:val="00637258"/>
    <w:rsid w:val="00642072"/>
    <w:rsid w:val="006440ED"/>
    <w:rsid w:val="00645293"/>
    <w:rsid w:val="00646237"/>
    <w:rsid w:val="00651B78"/>
    <w:rsid w:val="00652263"/>
    <w:rsid w:val="00652881"/>
    <w:rsid w:val="0065601A"/>
    <w:rsid w:val="00656776"/>
    <w:rsid w:val="00661974"/>
    <w:rsid w:val="00662D4B"/>
    <w:rsid w:val="00664551"/>
    <w:rsid w:val="00664F49"/>
    <w:rsid w:val="006658FA"/>
    <w:rsid w:val="006669C9"/>
    <w:rsid w:val="0066726C"/>
    <w:rsid w:val="006674BD"/>
    <w:rsid w:val="006676A0"/>
    <w:rsid w:val="00670857"/>
    <w:rsid w:val="0067094A"/>
    <w:rsid w:val="00671124"/>
    <w:rsid w:val="006727B0"/>
    <w:rsid w:val="0067307E"/>
    <w:rsid w:val="00686EC0"/>
    <w:rsid w:val="00687AD5"/>
    <w:rsid w:val="00691153"/>
    <w:rsid w:val="00695251"/>
    <w:rsid w:val="00695ADE"/>
    <w:rsid w:val="00695C0D"/>
    <w:rsid w:val="00696356"/>
    <w:rsid w:val="006A1DAE"/>
    <w:rsid w:val="006A2C8E"/>
    <w:rsid w:val="006A72C6"/>
    <w:rsid w:val="006B02DA"/>
    <w:rsid w:val="006B077E"/>
    <w:rsid w:val="006B1FD1"/>
    <w:rsid w:val="006B2065"/>
    <w:rsid w:val="006B2F2B"/>
    <w:rsid w:val="006B3940"/>
    <w:rsid w:val="006B47D1"/>
    <w:rsid w:val="006C0411"/>
    <w:rsid w:val="006C124D"/>
    <w:rsid w:val="006C168D"/>
    <w:rsid w:val="006C1D52"/>
    <w:rsid w:val="006C4E16"/>
    <w:rsid w:val="006C55C8"/>
    <w:rsid w:val="006C5E36"/>
    <w:rsid w:val="006C642C"/>
    <w:rsid w:val="006C6FC6"/>
    <w:rsid w:val="006D00D5"/>
    <w:rsid w:val="006E0BCB"/>
    <w:rsid w:val="006E34B7"/>
    <w:rsid w:val="006F4CD8"/>
    <w:rsid w:val="00700B57"/>
    <w:rsid w:val="00701F44"/>
    <w:rsid w:val="00703E8A"/>
    <w:rsid w:val="007058F8"/>
    <w:rsid w:val="00706F31"/>
    <w:rsid w:val="00710335"/>
    <w:rsid w:val="00711522"/>
    <w:rsid w:val="007124FE"/>
    <w:rsid w:val="00713186"/>
    <w:rsid w:val="00713757"/>
    <w:rsid w:val="00717772"/>
    <w:rsid w:val="00721AF1"/>
    <w:rsid w:val="0072280F"/>
    <w:rsid w:val="00722B5E"/>
    <w:rsid w:val="0072708F"/>
    <w:rsid w:val="00730500"/>
    <w:rsid w:val="00732D1D"/>
    <w:rsid w:val="00736034"/>
    <w:rsid w:val="00736479"/>
    <w:rsid w:val="0073681C"/>
    <w:rsid w:val="00741EBE"/>
    <w:rsid w:val="00746130"/>
    <w:rsid w:val="00746A40"/>
    <w:rsid w:val="00750358"/>
    <w:rsid w:val="007513AC"/>
    <w:rsid w:val="00751763"/>
    <w:rsid w:val="00755CDF"/>
    <w:rsid w:val="00757A4C"/>
    <w:rsid w:val="0076093C"/>
    <w:rsid w:val="00763925"/>
    <w:rsid w:val="00764A94"/>
    <w:rsid w:val="0076518F"/>
    <w:rsid w:val="007651E5"/>
    <w:rsid w:val="007670DC"/>
    <w:rsid w:val="0077111A"/>
    <w:rsid w:val="00772721"/>
    <w:rsid w:val="00775284"/>
    <w:rsid w:val="007756ED"/>
    <w:rsid w:val="007870FC"/>
    <w:rsid w:val="00787CD0"/>
    <w:rsid w:val="00791053"/>
    <w:rsid w:val="00791A3A"/>
    <w:rsid w:val="00791BB9"/>
    <w:rsid w:val="00794196"/>
    <w:rsid w:val="00794251"/>
    <w:rsid w:val="00796EC9"/>
    <w:rsid w:val="00797637"/>
    <w:rsid w:val="00797DD2"/>
    <w:rsid w:val="007A3680"/>
    <w:rsid w:val="007A59B8"/>
    <w:rsid w:val="007A75F5"/>
    <w:rsid w:val="007B2862"/>
    <w:rsid w:val="007B662A"/>
    <w:rsid w:val="007B73ED"/>
    <w:rsid w:val="007D1292"/>
    <w:rsid w:val="007D28C9"/>
    <w:rsid w:val="007D3CC8"/>
    <w:rsid w:val="007D5584"/>
    <w:rsid w:val="007D62A3"/>
    <w:rsid w:val="007D62F9"/>
    <w:rsid w:val="007D63A4"/>
    <w:rsid w:val="007E1AA2"/>
    <w:rsid w:val="007E303C"/>
    <w:rsid w:val="007E4C1F"/>
    <w:rsid w:val="007F0759"/>
    <w:rsid w:val="007F25C0"/>
    <w:rsid w:val="007F26D5"/>
    <w:rsid w:val="007F4CD3"/>
    <w:rsid w:val="007F5F52"/>
    <w:rsid w:val="007F768B"/>
    <w:rsid w:val="007F77C6"/>
    <w:rsid w:val="008003A1"/>
    <w:rsid w:val="008006B7"/>
    <w:rsid w:val="00800FDB"/>
    <w:rsid w:val="00801249"/>
    <w:rsid w:val="00802081"/>
    <w:rsid w:val="00806461"/>
    <w:rsid w:val="0081096D"/>
    <w:rsid w:val="00810EAD"/>
    <w:rsid w:val="00811833"/>
    <w:rsid w:val="008118B6"/>
    <w:rsid w:val="008174D4"/>
    <w:rsid w:val="00820FE6"/>
    <w:rsid w:val="00821A66"/>
    <w:rsid w:val="00822476"/>
    <w:rsid w:val="00822882"/>
    <w:rsid w:val="00825F68"/>
    <w:rsid w:val="00826B12"/>
    <w:rsid w:val="008277FF"/>
    <w:rsid w:val="00835408"/>
    <w:rsid w:val="00837CEF"/>
    <w:rsid w:val="00840035"/>
    <w:rsid w:val="008428A9"/>
    <w:rsid w:val="00844112"/>
    <w:rsid w:val="00844929"/>
    <w:rsid w:val="00845292"/>
    <w:rsid w:val="008456C9"/>
    <w:rsid w:val="0084611D"/>
    <w:rsid w:val="00850C62"/>
    <w:rsid w:val="00852E6D"/>
    <w:rsid w:val="00861D07"/>
    <w:rsid w:val="008620ED"/>
    <w:rsid w:val="00863011"/>
    <w:rsid w:val="00865075"/>
    <w:rsid w:val="008673EE"/>
    <w:rsid w:val="0086748F"/>
    <w:rsid w:val="008712A3"/>
    <w:rsid w:val="00871E07"/>
    <w:rsid w:val="00872CE4"/>
    <w:rsid w:val="00877B62"/>
    <w:rsid w:val="00877D98"/>
    <w:rsid w:val="00881015"/>
    <w:rsid w:val="008810B0"/>
    <w:rsid w:val="008819B6"/>
    <w:rsid w:val="00881AAC"/>
    <w:rsid w:val="0088256A"/>
    <w:rsid w:val="008836B7"/>
    <w:rsid w:val="008841D3"/>
    <w:rsid w:val="00884359"/>
    <w:rsid w:val="00887C7E"/>
    <w:rsid w:val="00887DE6"/>
    <w:rsid w:val="00890172"/>
    <w:rsid w:val="008911D2"/>
    <w:rsid w:val="00893048"/>
    <w:rsid w:val="00894C2A"/>
    <w:rsid w:val="008975BC"/>
    <w:rsid w:val="00897708"/>
    <w:rsid w:val="00897D88"/>
    <w:rsid w:val="00897E6F"/>
    <w:rsid w:val="008A2EC6"/>
    <w:rsid w:val="008A2F16"/>
    <w:rsid w:val="008A6D69"/>
    <w:rsid w:val="008B0A73"/>
    <w:rsid w:val="008B1823"/>
    <w:rsid w:val="008B2C17"/>
    <w:rsid w:val="008B2EAD"/>
    <w:rsid w:val="008B6A4A"/>
    <w:rsid w:val="008B6E16"/>
    <w:rsid w:val="008B7110"/>
    <w:rsid w:val="008C2029"/>
    <w:rsid w:val="008C503E"/>
    <w:rsid w:val="008C50F5"/>
    <w:rsid w:val="008C61D6"/>
    <w:rsid w:val="008C64F1"/>
    <w:rsid w:val="008C71EB"/>
    <w:rsid w:val="008C761C"/>
    <w:rsid w:val="008D1BB0"/>
    <w:rsid w:val="008D20FF"/>
    <w:rsid w:val="008D36E4"/>
    <w:rsid w:val="008D3DE6"/>
    <w:rsid w:val="008D4223"/>
    <w:rsid w:val="008D44CC"/>
    <w:rsid w:val="008D46E3"/>
    <w:rsid w:val="008D49A6"/>
    <w:rsid w:val="008D52CA"/>
    <w:rsid w:val="008D6709"/>
    <w:rsid w:val="008D74B6"/>
    <w:rsid w:val="008E083A"/>
    <w:rsid w:val="008E2450"/>
    <w:rsid w:val="008E7896"/>
    <w:rsid w:val="008E7D2D"/>
    <w:rsid w:val="008F2477"/>
    <w:rsid w:val="008F7815"/>
    <w:rsid w:val="00900F02"/>
    <w:rsid w:val="009010F0"/>
    <w:rsid w:val="00901162"/>
    <w:rsid w:val="0090223A"/>
    <w:rsid w:val="009028E2"/>
    <w:rsid w:val="00914EAB"/>
    <w:rsid w:val="00920F85"/>
    <w:rsid w:val="00922D49"/>
    <w:rsid w:val="0092502E"/>
    <w:rsid w:val="00925E37"/>
    <w:rsid w:val="00925EDD"/>
    <w:rsid w:val="00927D0E"/>
    <w:rsid w:val="009309DA"/>
    <w:rsid w:val="0093260B"/>
    <w:rsid w:val="00936688"/>
    <w:rsid w:val="00936891"/>
    <w:rsid w:val="00937CFA"/>
    <w:rsid w:val="009406B3"/>
    <w:rsid w:val="00943C27"/>
    <w:rsid w:val="00945CF5"/>
    <w:rsid w:val="009500A1"/>
    <w:rsid w:val="0095037E"/>
    <w:rsid w:val="00952AAD"/>
    <w:rsid w:val="00954567"/>
    <w:rsid w:val="00957466"/>
    <w:rsid w:val="0096260B"/>
    <w:rsid w:val="009664D5"/>
    <w:rsid w:val="00970C69"/>
    <w:rsid w:val="00971F1C"/>
    <w:rsid w:val="0097211D"/>
    <w:rsid w:val="00972E10"/>
    <w:rsid w:val="009746CA"/>
    <w:rsid w:val="009779FD"/>
    <w:rsid w:val="00981963"/>
    <w:rsid w:val="00983C82"/>
    <w:rsid w:val="00984520"/>
    <w:rsid w:val="0098545C"/>
    <w:rsid w:val="00985BF7"/>
    <w:rsid w:val="00990071"/>
    <w:rsid w:val="00991EA9"/>
    <w:rsid w:val="00992BA2"/>
    <w:rsid w:val="00992F83"/>
    <w:rsid w:val="00993250"/>
    <w:rsid w:val="0099508A"/>
    <w:rsid w:val="009974EB"/>
    <w:rsid w:val="009A1126"/>
    <w:rsid w:val="009A5E42"/>
    <w:rsid w:val="009A781F"/>
    <w:rsid w:val="009B1584"/>
    <w:rsid w:val="009B21CA"/>
    <w:rsid w:val="009B2235"/>
    <w:rsid w:val="009B2648"/>
    <w:rsid w:val="009C03E5"/>
    <w:rsid w:val="009C3730"/>
    <w:rsid w:val="009C37BD"/>
    <w:rsid w:val="009C3AAC"/>
    <w:rsid w:val="009C3D84"/>
    <w:rsid w:val="009C4D19"/>
    <w:rsid w:val="009C5134"/>
    <w:rsid w:val="009C5FDB"/>
    <w:rsid w:val="009C693E"/>
    <w:rsid w:val="009C70CB"/>
    <w:rsid w:val="009C77A0"/>
    <w:rsid w:val="009D1EA4"/>
    <w:rsid w:val="009D27AA"/>
    <w:rsid w:val="009D4991"/>
    <w:rsid w:val="009D5BB5"/>
    <w:rsid w:val="009D696D"/>
    <w:rsid w:val="009D6DAB"/>
    <w:rsid w:val="009D6ED2"/>
    <w:rsid w:val="009E0F1A"/>
    <w:rsid w:val="009E140D"/>
    <w:rsid w:val="009E1E55"/>
    <w:rsid w:val="009E3391"/>
    <w:rsid w:val="009E4465"/>
    <w:rsid w:val="009E6401"/>
    <w:rsid w:val="009E6C54"/>
    <w:rsid w:val="009E6D44"/>
    <w:rsid w:val="009F2A25"/>
    <w:rsid w:val="009F5235"/>
    <w:rsid w:val="009F531A"/>
    <w:rsid w:val="009F6550"/>
    <w:rsid w:val="009F786E"/>
    <w:rsid w:val="00A00902"/>
    <w:rsid w:val="00A039FF"/>
    <w:rsid w:val="00A05ACE"/>
    <w:rsid w:val="00A14AE3"/>
    <w:rsid w:val="00A16675"/>
    <w:rsid w:val="00A22CD6"/>
    <w:rsid w:val="00A22D4B"/>
    <w:rsid w:val="00A234EC"/>
    <w:rsid w:val="00A2417A"/>
    <w:rsid w:val="00A27804"/>
    <w:rsid w:val="00A32FDA"/>
    <w:rsid w:val="00A35A8D"/>
    <w:rsid w:val="00A36AB5"/>
    <w:rsid w:val="00A37DDA"/>
    <w:rsid w:val="00A411D1"/>
    <w:rsid w:val="00A41566"/>
    <w:rsid w:val="00A421B6"/>
    <w:rsid w:val="00A43389"/>
    <w:rsid w:val="00A43C40"/>
    <w:rsid w:val="00A43E71"/>
    <w:rsid w:val="00A45753"/>
    <w:rsid w:val="00A47B15"/>
    <w:rsid w:val="00A47E47"/>
    <w:rsid w:val="00A52F84"/>
    <w:rsid w:val="00A56AA4"/>
    <w:rsid w:val="00A56B05"/>
    <w:rsid w:val="00A57678"/>
    <w:rsid w:val="00A60E2F"/>
    <w:rsid w:val="00A63127"/>
    <w:rsid w:val="00A63284"/>
    <w:rsid w:val="00A64CB8"/>
    <w:rsid w:val="00A67018"/>
    <w:rsid w:val="00A672F3"/>
    <w:rsid w:val="00A673DC"/>
    <w:rsid w:val="00A67563"/>
    <w:rsid w:val="00A7076E"/>
    <w:rsid w:val="00A707AE"/>
    <w:rsid w:val="00A709BE"/>
    <w:rsid w:val="00A70E23"/>
    <w:rsid w:val="00A7162E"/>
    <w:rsid w:val="00A72D71"/>
    <w:rsid w:val="00A75705"/>
    <w:rsid w:val="00A7634D"/>
    <w:rsid w:val="00A77C69"/>
    <w:rsid w:val="00A82C02"/>
    <w:rsid w:val="00A83953"/>
    <w:rsid w:val="00A840C5"/>
    <w:rsid w:val="00A903B6"/>
    <w:rsid w:val="00A90F4F"/>
    <w:rsid w:val="00A947AA"/>
    <w:rsid w:val="00A96748"/>
    <w:rsid w:val="00A96FD9"/>
    <w:rsid w:val="00AA1B53"/>
    <w:rsid w:val="00AA3556"/>
    <w:rsid w:val="00AA35FD"/>
    <w:rsid w:val="00AA3DB7"/>
    <w:rsid w:val="00AA72C6"/>
    <w:rsid w:val="00AA7F64"/>
    <w:rsid w:val="00AB2DFA"/>
    <w:rsid w:val="00AB3012"/>
    <w:rsid w:val="00AB321C"/>
    <w:rsid w:val="00AB3DEF"/>
    <w:rsid w:val="00AB42E2"/>
    <w:rsid w:val="00AB688F"/>
    <w:rsid w:val="00AB75EA"/>
    <w:rsid w:val="00AB7AA2"/>
    <w:rsid w:val="00AC3EB9"/>
    <w:rsid w:val="00AC4BC1"/>
    <w:rsid w:val="00AC588F"/>
    <w:rsid w:val="00AC5E4B"/>
    <w:rsid w:val="00AD04BD"/>
    <w:rsid w:val="00AD1A03"/>
    <w:rsid w:val="00AD7214"/>
    <w:rsid w:val="00AE1066"/>
    <w:rsid w:val="00AE19D8"/>
    <w:rsid w:val="00AE4518"/>
    <w:rsid w:val="00AE5D7F"/>
    <w:rsid w:val="00AE79F0"/>
    <w:rsid w:val="00AE7D44"/>
    <w:rsid w:val="00AF4FE7"/>
    <w:rsid w:val="00AF65C5"/>
    <w:rsid w:val="00AF6EC1"/>
    <w:rsid w:val="00AF7CF5"/>
    <w:rsid w:val="00B00331"/>
    <w:rsid w:val="00B0116D"/>
    <w:rsid w:val="00B01A80"/>
    <w:rsid w:val="00B07C27"/>
    <w:rsid w:val="00B10DE1"/>
    <w:rsid w:val="00B10FF8"/>
    <w:rsid w:val="00B111B9"/>
    <w:rsid w:val="00B203C4"/>
    <w:rsid w:val="00B22995"/>
    <w:rsid w:val="00B22A61"/>
    <w:rsid w:val="00B22E81"/>
    <w:rsid w:val="00B23996"/>
    <w:rsid w:val="00B23CB2"/>
    <w:rsid w:val="00B2561A"/>
    <w:rsid w:val="00B25A64"/>
    <w:rsid w:val="00B26B91"/>
    <w:rsid w:val="00B26CF4"/>
    <w:rsid w:val="00B32AB3"/>
    <w:rsid w:val="00B34E7C"/>
    <w:rsid w:val="00B368EA"/>
    <w:rsid w:val="00B37EEF"/>
    <w:rsid w:val="00B43FC2"/>
    <w:rsid w:val="00B47485"/>
    <w:rsid w:val="00B518C3"/>
    <w:rsid w:val="00B55185"/>
    <w:rsid w:val="00B55EA7"/>
    <w:rsid w:val="00B61923"/>
    <w:rsid w:val="00B621D6"/>
    <w:rsid w:val="00B62914"/>
    <w:rsid w:val="00B65D6F"/>
    <w:rsid w:val="00B67552"/>
    <w:rsid w:val="00B67C23"/>
    <w:rsid w:val="00B75735"/>
    <w:rsid w:val="00B76B0F"/>
    <w:rsid w:val="00B77142"/>
    <w:rsid w:val="00B7766E"/>
    <w:rsid w:val="00B77F5A"/>
    <w:rsid w:val="00B80A2C"/>
    <w:rsid w:val="00B81F60"/>
    <w:rsid w:val="00B83F8E"/>
    <w:rsid w:val="00B841AC"/>
    <w:rsid w:val="00B865B0"/>
    <w:rsid w:val="00B90780"/>
    <w:rsid w:val="00B918B8"/>
    <w:rsid w:val="00B9240D"/>
    <w:rsid w:val="00B94BB8"/>
    <w:rsid w:val="00B94C15"/>
    <w:rsid w:val="00B95E5A"/>
    <w:rsid w:val="00BA22A8"/>
    <w:rsid w:val="00BA3E48"/>
    <w:rsid w:val="00BA5FB8"/>
    <w:rsid w:val="00BB1EB3"/>
    <w:rsid w:val="00BB2678"/>
    <w:rsid w:val="00BB531E"/>
    <w:rsid w:val="00BB5F3D"/>
    <w:rsid w:val="00BC2343"/>
    <w:rsid w:val="00BC5A18"/>
    <w:rsid w:val="00BC76D5"/>
    <w:rsid w:val="00BD18B8"/>
    <w:rsid w:val="00BD30C8"/>
    <w:rsid w:val="00BD31D1"/>
    <w:rsid w:val="00BD3EB4"/>
    <w:rsid w:val="00BD5C65"/>
    <w:rsid w:val="00BD7FC1"/>
    <w:rsid w:val="00BE01CA"/>
    <w:rsid w:val="00BE4973"/>
    <w:rsid w:val="00BE6018"/>
    <w:rsid w:val="00BF1DD5"/>
    <w:rsid w:val="00BF1F57"/>
    <w:rsid w:val="00BF3EA0"/>
    <w:rsid w:val="00BF4086"/>
    <w:rsid w:val="00BF426C"/>
    <w:rsid w:val="00BF460D"/>
    <w:rsid w:val="00BF58D0"/>
    <w:rsid w:val="00BF7D6A"/>
    <w:rsid w:val="00C00EFD"/>
    <w:rsid w:val="00C013E1"/>
    <w:rsid w:val="00C01611"/>
    <w:rsid w:val="00C01C01"/>
    <w:rsid w:val="00C02C6D"/>
    <w:rsid w:val="00C02D59"/>
    <w:rsid w:val="00C030B6"/>
    <w:rsid w:val="00C03284"/>
    <w:rsid w:val="00C04855"/>
    <w:rsid w:val="00C050D7"/>
    <w:rsid w:val="00C05B5F"/>
    <w:rsid w:val="00C0667A"/>
    <w:rsid w:val="00C104CC"/>
    <w:rsid w:val="00C130C1"/>
    <w:rsid w:val="00C147DA"/>
    <w:rsid w:val="00C152FE"/>
    <w:rsid w:val="00C16739"/>
    <w:rsid w:val="00C22CCE"/>
    <w:rsid w:val="00C23BA2"/>
    <w:rsid w:val="00C2458C"/>
    <w:rsid w:val="00C25D0C"/>
    <w:rsid w:val="00C32AF2"/>
    <w:rsid w:val="00C33204"/>
    <w:rsid w:val="00C338EB"/>
    <w:rsid w:val="00C33E2E"/>
    <w:rsid w:val="00C3465D"/>
    <w:rsid w:val="00C379E9"/>
    <w:rsid w:val="00C37E98"/>
    <w:rsid w:val="00C42431"/>
    <w:rsid w:val="00C439FB"/>
    <w:rsid w:val="00C43F23"/>
    <w:rsid w:val="00C442A1"/>
    <w:rsid w:val="00C4675D"/>
    <w:rsid w:val="00C50011"/>
    <w:rsid w:val="00C503D3"/>
    <w:rsid w:val="00C62509"/>
    <w:rsid w:val="00C645E6"/>
    <w:rsid w:val="00C64D82"/>
    <w:rsid w:val="00C64FBC"/>
    <w:rsid w:val="00C65A83"/>
    <w:rsid w:val="00C67DCB"/>
    <w:rsid w:val="00C736BB"/>
    <w:rsid w:val="00C737E8"/>
    <w:rsid w:val="00C80F23"/>
    <w:rsid w:val="00C81151"/>
    <w:rsid w:val="00C81746"/>
    <w:rsid w:val="00C82A96"/>
    <w:rsid w:val="00C82CC6"/>
    <w:rsid w:val="00C850A3"/>
    <w:rsid w:val="00C85C32"/>
    <w:rsid w:val="00C87568"/>
    <w:rsid w:val="00C87BB7"/>
    <w:rsid w:val="00C90DB6"/>
    <w:rsid w:val="00C9394F"/>
    <w:rsid w:val="00C93B1A"/>
    <w:rsid w:val="00C9504A"/>
    <w:rsid w:val="00C96275"/>
    <w:rsid w:val="00C96F5F"/>
    <w:rsid w:val="00CA1A4F"/>
    <w:rsid w:val="00CA3977"/>
    <w:rsid w:val="00CA5927"/>
    <w:rsid w:val="00CA79EC"/>
    <w:rsid w:val="00CB39C2"/>
    <w:rsid w:val="00CB44DE"/>
    <w:rsid w:val="00CB4C8C"/>
    <w:rsid w:val="00CB6782"/>
    <w:rsid w:val="00CB7629"/>
    <w:rsid w:val="00CC00EC"/>
    <w:rsid w:val="00CC080A"/>
    <w:rsid w:val="00CC3C04"/>
    <w:rsid w:val="00CC4396"/>
    <w:rsid w:val="00CD5216"/>
    <w:rsid w:val="00CE2741"/>
    <w:rsid w:val="00CE3C13"/>
    <w:rsid w:val="00CE4499"/>
    <w:rsid w:val="00CE5277"/>
    <w:rsid w:val="00CE6358"/>
    <w:rsid w:val="00CE7FC6"/>
    <w:rsid w:val="00CF0C6C"/>
    <w:rsid w:val="00CF2D54"/>
    <w:rsid w:val="00CF622A"/>
    <w:rsid w:val="00D01324"/>
    <w:rsid w:val="00D02BA5"/>
    <w:rsid w:val="00D03538"/>
    <w:rsid w:val="00D03B67"/>
    <w:rsid w:val="00D049B8"/>
    <w:rsid w:val="00D0516C"/>
    <w:rsid w:val="00D05EE7"/>
    <w:rsid w:val="00D068D0"/>
    <w:rsid w:val="00D078D1"/>
    <w:rsid w:val="00D129A8"/>
    <w:rsid w:val="00D12FB9"/>
    <w:rsid w:val="00D13987"/>
    <w:rsid w:val="00D200BD"/>
    <w:rsid w:val="00D22399"/>
    <w:rsid w:val="00D310E8"/>
    <w:rsid w:val="00D33751"/>
    <w:rsid w:val="00D36F6E"/>
    <w:rsid w:val="00D37343"/>
    <w:rsid w:val="00D4205E"/>
    <w:rsid w:val="00D46CA6"/>
    <w:rsid w:val="00D565EC"/>
    <w:rsid w:val="00D61982"/>
    <w:rsid w:val="00D6226F"/>
    <w:rsid w:val="00D6267A"/>
    <w:rsid w:val="00D674CF"/>
    <w:rsid w:val="00D678DF"/>
    <w:rsid w:val="00D67D12"/>
    <w:rsid w:val="00D70923"/>
    <w:rsid w:val="00D74F09"/>
    <w:rsid w:val="00D754C0"/>
    <w:rsid w:val="00D75673"/>
    <w:rsid w:val="00D7585A"/>
    <w:rsid w:val="00D80618"/>
    <w:rsid w:val="00D82494"/>
    <w:rsid w:val="00D84A4B"/>
    <w:rsid w:val="00D85E13"/>
    <w:rsid w:val="00D8669F"/>
    <w:rsid w:val="00D92168"/>
    <w:rsid w:val="00D940B5"/>
    <w:rsid w:val="00D95318"/>
    <w:rsid w:val="00D95CB0"/>
    <w:rsid w:val="00D9766F"/>
    <w:rsid w:val="00D977C0"/>
    <w:rsid w:val="00DA00A3"/>
    <w:rsid w:val="00DA13F3"/>
    <w:rsid w:val="00DA27D4"/>
    <w:rsid w:val="00DA2DE3"/>
    <w:rsid w:val="00DA716A"/>
    <w:rsid w:val="00DB1841"/>
    <w:rsid w:val="00DB1F4F"/>
    <w:rsid w:val="00DB37EE"/>
    <w:rsid w:val="00DB4450"/>
    <w:rsid w:val="00DB7B69"/>
    <w:rsid w:val="00DC234A"/>
    <w:rsid w:val="00DC34E9"/>
    <w:rsid w:val="00DC41E4"/>
    <w:rsid w:val="00DC6697"/>
    <w:rsid w:val="00DC7C77"/>
    <w:rsid w:val="00DC7F19"/>
    <w:rsid w:val="00DD2809"/>
    <w:rsid w:val="00DD7EA2"/>
    <w:rsid w:val="00DE00F2"/>
    <w:rsid w:val="00DE07B4"/>
    <w:rsid w:val="00DE117F"/>
    <w:rsid w:val="00DE279B"/>
    <w:rsid w:val="00DE2B64"/>
    <w:rsid w:val="00DE401C"/>
    <w:rsid w:val="00DE4304"/>
    <w:rsid w:val="00DE6DF1"/>
    <w:rsid w:val="00DF0726"/>
    <w:rsid w:val="00DF63FA"/>
    <w:rsid w:val="00E012CC"/>
    <w:rsid w:val="00E02B71"/>
    <w:rsid w:val="00E02DEB"/>
    <w:rsid w:val="00E042A1"/>
    <w:rsid w:val="00E104FA"/>
    <w:rsid w:val="00E1082A"/>
    <w:rsid w:val="00E11166"/>
    <w:rsid w:val="00E13182"/>
    <w:rsid w:val="00E15383"/>
    <w:rsid w:val="00E1738C"/>
    <w:rsid w:val="00E174D4"/>
    <w:rsid w:val="00E2281D"/>
    <w:rsid w:val="00E22D28"/>
    <w:rsid w:val="00E230E3"/>
    <w:rsid w:val="00E27344"/>
    <w:rsid w:val="00E30EDF"/>
    <w:rsid w:val="00E31FBA"/>
    <w:rsid w:val="00E36AAE"/>
    <w:rsid w:val="00E41773"/>
    <w:rsid w:val="00E4392C"/>
    <w:rsid w:val="00E44C57"/>
    <w:rsid w:val="00E45967"/>
    <w:rsid w:val="00E462F4"/>
    <w:rsid w:val="00E46FFD"/>
    <w:rsid w:val="00E513F6"/>
    <w:rsid w:val="00E52AA3"/>
    <w:rsid w:val="00E52F3B"/>
    <w:rsid w:val="00E53D94"/>
    <w:rsid w:val="00E53DEA"/>
    <w:rsid w:val="00E616DB"/>
    <w:rsid w:val="00E618DD"/>
    <w:rsid w:val="00E627A4"/>
    <w:rsid w:val="00E630ED"/>
    <w:rsid w:val="00E73C41"/>
    <w:rsid w:val="00E74EC5"/>
    <w:rsid w:val="00E750C2"/>
    <w:rsid w:val="00E76B86"/>
    <w:rsid w:val="00E81AFF"/>
    <w:rsid w:val="00E8342F"/>
    <w:rsid w:val="00E847A7"/>
    <w:rsid w:val="00E87C2F"/>
    <w:rsid w:val="00E906B4"/>
    <w:rsid w:val="00E9095B"/>
    <w:rsid w:val="00E90CF1"/>
    <w:rsid w:val="00E9399B"/>
    <w:rsid w:val="00E94008"/>
    <w:rsid w:val="00E94762"/>
    <w:rsid w:val="00E96B52"/>
    <w:rsid w:val="00EA2244"/>
    <w:rsid w:val="00EA411E"/>
    <w:rsid w:val="00EA5FC0"/>
    <w:rsid w:val="00EA6FA7"/>
    <w:rsid w:val="00EB067F"/>
    <w:rsid w:val="00EB1F02"/>
    <w:rsid w:val="00EB51FD"/>
    <w:rsid w:val="00EB5BC5"/>
    <w:rsid w:val="00EB72C1"/>
    <w:rsid w:val="00EC086C"/>
    <w:rsid w:val="00EC42D0"/>
    <w:rsid w:val="00EC4BA3"/>
    <w:rsid w:val="00EC5CE6"/>
    <w:rsid w:val="00EC638F"/>
    <w:rsid w:val="00EE2ACE"/>
    <w:rsid w:val="00EE4874"/>
    <w:rsid w:val="00EE53EA"/>
    <w:rsid w:val="00EE79A6"/>
    <w:rsid w:val="00EE7FB4"/>
    <w:rsid w:val="00EF0A46"/>
    <w:rsid w:val="00EF0D26"/>
    <w:rsid w:val="00EF0D86"/>
    <w:rsid w:val="00EF22FE"/>
    <w:rsid w:val="00EF76AC"/>
    <w:rsid w:val="00EF7C29"/>
    <w:rsid w:val="00F005A0"/>
    <w:rsid w:val="00F00A26"/>
    <w:rsid w:val="00F01D97"/>
    <w:rsid w:val="00F02435"/>
    <w:rsid w:val="00F0542C"/>
    <w:rsid w:val="00F058BE"/>
    <w:rsid w:val="00F077D2"/>
    <w:rsid w:val="00F11352"/>
    <w:rsid w:val="00F13FCD"/>
    <w:rsid w:val="00F1498D"/>
    <w:rsid w:val="00F14D34"/>
    <w:rsid w:val="00F14DDF"/>
    <w:rsid w:val="00F152AD"/>
    <w:rsid w:val="00F158FF"/>
    <w:rsid w:val="00F20BE9"/>
    <w:rsid w:val="00F2285F"/>
    <w:rsid w:val="00F22F00"/>
    <w:rsid w:val="00F23155"/>
    <w:rsid w:val="00F24E0E"/>
    <w:rsid w:val="00F26693"/>
    <w:rsid w:val="00F36130"/>
    <w:rsid w:val="00F40444"/>
    <w:rsid w:val="00F423BD"/>
    <w:rsid w:val="00F432FF"/>
    <w:rsid w:val="00F4715C"/>
    <w:rsid w:val="00F47E2F"/>
    <w:rsid w:val="00F512C0"/>
    <w:rsid w:val="00F51C16"/>
    <w:rsid w:val="00F54869"/>
    <w:rsid w:val="00F556B2"/>
    <w:rsid w:val="00F57187"/>
    <w:rsid w:val="00F574E5"/>
    <w:rsid w:val="00F5754B"/>
    <w:rsid w:val="00F576DE"/>
    <w:rsid w:val="00F63BF7"/>
    <w:rsid w:val="00F65617"/>
    <w:rsid w:val="00F666BC"/>
    <w:rsid w:val="00F70316"/>
    <w:rsid w:val="00F710BE"/>
    <w:rsid w:val="00F72CEF"/>
    <w:rsid w:val="00F736D2"/>
    <w:rsid w:val="00F7564C"/>
    <w:rsid w:val="00F76220"/>
    <w:rsid w:val="00F769BE"/>
    <w:rsid w:val="00F76A66"/>
    <w:rsid w:val="00F813A0"/>
    <w:rsid w:val="00F82E6B"/>
    <w:rsid w:val="00F951CF"/>
    <w:rsid w:val="00F976E0"/>
    <w:rsid w:val="00F97B71"/>
    <w:rsid w:val="00FA1925"/>
    <w:rsid w:val="00FA2DDA"/>
    <w:rsid w:val="00FA34CA"/>
    <w:rsid w:val="00FA3CC8"/>
    <w:rsid w:val="00FA4A55"/>
    <w:rsid w:val="00FA4D4F"/>
    <w:rsid w:val="00FA54E8"/>
    <w:rsid w:val="00FA5CA2"/>
    <w:rsid w:val="00FB0D88"/>
    <w:rsid w:val="00FB26B3"/>
    <w:rsid w:val="00FB2D17"/>
    <w:rsid w:val="00FB2F69"/>
    <w:rsid w:val="00FB39F7"/>
    <w:rsid w:val="00FB3BCA"/>
    <w:rsid w:val="00FB45FF"/>
    <w:rsid w:val="00FB47E0"/>
    <w:rsid w:val="00FB5CB1"/>
    <w:rsid w:val="00FB5D97"/>
    <w:rsid w:val="00FB7363"/>
    <w:rsid w:val="00FC1CA5"/>
    <w:rsid w:val="00FC2979"/>
    <w:rsid w:val="00FC45F4"/>
    <w:rsid w:val="00FD1C3C"/>
    <w:rsid w:val="00FD3480"/>
    <w:rsid w:val="00FD38A8"/>
    <w:rsid w:val="00FD6AC8"/>
    <w:rsid w:val="00FD7298"/>
    <w:rsid w:val="00FE308B"/>
    <w:rsid w:val="00FE3EA1"/>
    <w:rsid w:val="00FE4818"/>
    <w:rsid w:val="00FE5D80"/>
    <w:rsid w:val="00FF6ADB"/>
    <w:rsid w:val="00FF7F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7"/>
    <o:shapelayout v:ext="edit">
      <o:idmap v:ext="edit" data="1"/>
    </o:shapelayout>
  </w:shapeDefaults>
  <w:decimalSymbol w:val="."/>
  <w:listSeparator w:val=","/>
  <w15:docId w15:val="{8081DEFF-A442-4695-A556-75477ED72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5D31"/>
    <w:pPr>
      <w:widowControl w:val="0"/>
      <w:jc w:val="both"/>
    </w:pPr>
    <w:rPr>
      <w:kern w:val="2"/>
      <w:sz w:val="21"/>
      <w:szCs w:val="24"/>
    </w:rPr>
  </w:style>
  <w:style w:type="paragraph" w:styleId="1">
    <w:name w:val="heading 1"/>
    <w:basedOn w:val="a"/>
    <w:next w:val="a"/>
    <w:link w:val="1Char"/>
    <w:qFormat/>
    <w:rsid w:val="00A7634D"/>
    <w:pPr>
      <w:keepNext/>
      <w:keepLines/>
      <w:spacing w:before="340" w:after="330" w:line="578" w:lineRule="auto"/>
      <w:outlineLvl w:val="0"/>
    </w:pPr>
    <w:rPr>
      <w:b/>
      <w:bCs/>
      <w:kern w:val="44"/>
      <w:sz w:val="44"/>
      <w:szCs w:val="44"/>
    </w:rPr>
  </w:style>
  <w:style w:type="paragraph" w:styleId="2">
    <w:name w:val="heading 2"/>
    <w:basedOn w:val="a"/>
    <w:next w:val="a0"/>
    <w:qFormat/>
    <w:rsid w:val="00EB72C1"/>
    <w:pPr>
      <w:keepNext/>
      <w:keepLines/>
      <w:spacing w:before="260" w:after="260" w:line="360" w:lineRule="auto"/>
      <w:outlineLvl w:val="1"/>
    </w:pPr>
    <w:rPr>
      <w:rFonts w:ascii="Arial" w:hAnsi="Arial" w:cs="Arial"/>
      <w:b/>
      <w:bCs/>
      <w:sz w:val="24"/>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rsid w:val="00EB72C1"/>
    <w:pPr>
      <w:ind w:firstLineChars="200" w:firstLine="420"/>
    </w:pPr>
  </w:style>
  <w:style w:type="paragraph" w:styleId="a4">
    <w:name w:val="Body Text Indent"/>
    <w:basedOn w:val="a"/>
    <w:rsid w:val="00EB72C1"/>
    <w:pPr>
      <w:widowControl/>
      <w:spacing w:before="100" w:beforeAutospacing="1" w:after="100" w:afterAutospacing="1"/>
      <w:jc w:val="left"/>
    </w:pPr>
    <w:rPr>
      <w:rFonts w:ascii="Arial Unicode MS" w:eastAsia="Arial Unicode MS" w:hAnsi="Arial Unicode MS" w:cs="Arial Unicode MS"/>
      <w:kern w:val="0"/>
      <w:sz w:val="24"/>
    </w:rPr>
  </w:style>
  <w:style w:type="paragraph" w:styleId="a5">
    <w:name w:val="Plain Text"/>
    <w:basedOn w:val="a"/>
    <w:link w:val="Char"/>
    <w:uiPriority w:val="99"/>
    <w:rsid w:val="00EB72C1"/>
    <w:rPr>
      <w:rFonts w:ascii="宋体" w:hAnsi="Courier New"/>
      <w:szCs w:val="21"/>
    </w:rPr>
  </w:style>
  <w:style w:type="paragraph" w:styleId="20">
    <w:name w:val="Body Text Indent 2"/>
    <w:basedOn w:val="a"/>
    <w:rsid w:val="00EB72C1"/>
    <w:pPr>
      <w:spacing w:line="560" w:lineRule="exact"/>
      <w:ind w:firstLineChars="200" w:firstLine="480"/>
    </w:pPr>
    <w:rPr>
      <w:rFonts w:ascii="宋体" w:hAnsi="宋体"/>
      <w:color w:val="FF0000"/>
      <w:sz w:val="24"/>
    </w:rPr>
  </w:style>
  <w:style w:type="paragraph" w:styleId="a6">
    <w:name w:val="footer"/>
    <w:basedOn w:val="a"/>
    <w:rsid w:val="00EB72C1"/>
    <w:pPr>
      <w:tabs>
        <w:tab w:val="center" w:pos="4153"/>
        <w:tab w:val="right" w:pos="8306"/>
      </w:tabs>
      <w:snapToGrid w:val="0"/>
      <w:jc w:val="left"/>
    </w:pPr>
    <w:rPr>
      <w:sz w:val="18"/>
      <w:szCs w:val="18"/>
    </w:rPr>
  </w:style>
  <w:style w:type="character" w:styleId="a7">
    <w:name w:val="page number"/>
    <w:basedOn w:val="a1"/>
    <w:rsid w:val="00EB72C1"/>
  </w:style>
  <w:style w:type="character" w:styleId="a8">
    <w:name w:val="Hyperlink"/>
    <w:rsid w:val="00EB72C1"/>
    <w:rPr>
      <w:color w:val="0000FF"/>
      <w:u w:val="single"/>
    </w:rPr>
  </w:style>
  <w:style w:type="paragraph" w:styleId="3">
    <w:name w:val="Body Text Indent 3"/>
    <w:basedOn w:val="a"/>
    <w:rsid w:val="00EB72C1"/>
    <w:pPr>
      <w:spacing w:line="560" w:lineRule="exact"/>
      <w:ind w:firstLineChars="200" w:firstLine="420"/>
    </w:pPr>
    <w:rPr>
      <w:rFonts w:ascii="Arial" w:hAnsi="Arial" w:cs="Arial"/>
      <w:color w:val="FF0000"/>
    </w:rPr>
  </w:style>
  <w:style w:type="paragraph" w:styleId="a9">
    <w:name w:val="header"/>
    <w:basedOn w:val="a"/>
    <w:link w:val="Char0"/>
    <w:uiPriority w:val="99"/>
    <w:rsid w:val="00EB72C1"/>
    <w:pPr>
      <w:pBdr>
        <w:bottom w:val="single" w:sz="6" w:space="1" w:color="auto"/>
      </w:pBdr>
      <w:tabs>
        <w:tab w:val="center" w:pos="4153"/>
        <w:tab w:val="right" w:pos="8306"/>
      </w:tabs>
      <w:snapToGrid w:val="0"/>
      <w:jc w:val="center"/>
    </w:pPr>
    <w:rPr>
      <w:sz w:val="18"/>
      <w:szCs w:val="18"/>
    </w:rPr>
  </w:style>
  <w:style w:type="character" w:styleId="aa">
    <w:name w:val="FollowedHyperlink"/>
    <w:rsid w:val="00EB72C1"/>
    <w:rPr>
      <w:color w:val="800080"/>
      <w:u w:val="single"/>
    </w:rPr>
  </w:style>
  <w:style w:type="paragraph" w:styleId="ab">
    <w:name w:val="List"/>
    <w:basedOn w:val="ac"/>
    <w:rsid w:val="00EB72C1"/>
    <w:pPr>
      <w:spacing w:after="220" w:line="220" w:lineRule="atLeast"/>
      <w:ind w:left="1440" w:hanging="360"/>
    </w:pPr>
    <w:rPr>
      <w:szCs w:val="20"/>
    </w:rPr>
  </w:style>
  <w:style w:type="paragraph" w:styleId="ac">
    <w:name w:val="Body Text"/>
    <w:basedOn w:val="a"/>
    <w:rsid w:val="00EB72C1"/>
    <w:pPr>
      <w:spacing w:after="120"/>
    </w:pPr>
  </w:style>
  <w:style w:type="paragraph" w:styleId="ad">
    <w:name w:val="Date"/>
    <w:basedOn w:val="a"/>
    <w:next w:val="a"/>
    <w:link w:val="Char1"/>
    <w:uiPriority w:val="99"/>
    <w:rsid w:val="00EB72C1"/>
    <w:rPr>
      <w:sz w:val="24"/>
      <w:szCs w:val="20"/>
    </w:rPr>
  </w:style>
  <w:style w:type="character" w:customStyle="1" w:styleId="c1">
    <w:name w:val="c1"/>
    <w:rsid w:val="00EB72C1"/>
    <w:rPr>
      <w:color w:val="000000"/>
      <w:sz w:val="18"/>
      <w:szCs w:val="18"/>
    </w:rPr>
  </w:style>
  <w:style w:type="paragraph" w:styleId="10">
    <w:name w:val="index 1"/>
    <w:basedOn w:val="a"/>
    <w:next w:val="a"/>
    <w:autoRedefine/>
    <w:semiHidden/>
    <w:rsid w:val="00EB72C1"/>
    <w:pPr>
      <w:jc w:val="right"/>
    </w:pPr>
    <w:rPr>
      <w:color w:val="008000"/>
    </w:rPr>
  </w:style>
  <w:style w:type="paragraph" w:customStyle="1" w:styleId="font5">
    <w:name w:val="font5"/>
    <w:basedOn w:val="a"/>
    <w:rsid w:val="00EB72C1"/>
    <w:pPr>
      <w:widowControl/>
      <w:spacing w:before="100" w:beforeAutospacing="1" w:after="100" w:afterAutospacing="1"/>
      <w:jc w:val="left"/>
    </w:pPr>
    <w:rPr>
      <w:rFonts w:ascii="宋体" w:hAnsi="宋体" w:cs="Arial Unicode MS" w:hint="eastAsia"/>
      <w:kern w:val="0"/>
      <w:sz w:val="18"/>
      <w:szCs w:val="18"/>
    </w:rPr>
  </w:style>
  <w:style w:type="paragraph" w:customStyle="1" w:styleId="xl24">
    <w:name w:val="xl24"/>
    <w:basedOn w:val="a"/>
    <w:rsid w:val="00EB72C1"/>
    <w:pPr>
      <w:widowControl/>
      <w:pBdr>
        <w:top w:val="double" w:sz="6"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0000FF"/>
      <w:kern w:val="0"/>
      <w:sz w:val="29"/>
      <w:szCs w:val="29"/>
    </w:rPr>
  </w:style>
  <w:style w:type="paragraph" w:customStyle="1" w:styleId="xl25">
    <w:name w:val="xl2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left"/>
    </w:pPr>
    <w:rPr>
      <w:rFonts w:ascii="Arial Unicode MS" w:eastAsia="Arial Unicode MS" w:hAnsi="Arial Unicode MS" w:cs="Arial Unicode MS"/>
      <w:b/>
      <w:bCs/>
      <w:color w:val="000000"/>
      <w:kern w:val="0"/>
      <w:sz w:val="24"/>
    </w:rPr>
  </w:style>
  <w:style w:type="paragraph" w:customStyle="1" w:styleId="xl26">
    <w:name w:val="xl2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7">
    <w:name w:val="xl2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12"/>
      <w:szCs w:val="12"/>
    </w:rPr>
  </w:style>
  <w:style w:type="paragraph" w:customStyle="1" w:styleId="xl28">
    <w:name w:val="xl2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29">
    <w:name w:val="xl29"/>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0">
    <w:name w:val="xl30"/>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000000"/>
      <w:kern w:val="0"/>
      <w:sz w:val="24"/>
    </w:rPr>
  </w:style>
  <w:style w:type="paragraph" w:customStyle="1" w:styleId="xl31">
    <w:name w:val="xl31"/>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2">
    <w:name w:val="xl32"/>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3">
    <w:name w:val="xl33"/>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color w:val="000000"/>
      <w:kern w:val="0"/>
      <w:sz w:val="22"/>
      <w:szCs w:val="22"/>
    </w:rPr>
  </w:style>
  <w:style w:type="paragraph" w:customStyle="1" w:styleId="xl34">
    <w:name w:val="xl34"/>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color w:val="000000"/>
      <w:kern w:val="0"/>
      <w:sz w:val="22"/>
      <w:szCs w:val="22"/>
    </w:rPr>
  </w:style>
  <w:style w:type="paragraph" w:customStyle="1" w:styleId="xl35">
    <w:name w:val="xl35"/>
    <w:basedOn w:val="a"/>
    <w:rsid w:val="00EB72C1"/>
    <w:pPr>
      <w:widowControl/>
      <w:pBdr>
        <w:top w:val="single" w:sz="4" w:space="0" w:color="000000"/>
        <w:left w:val="double" w:sz="6"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000000"/>
      <w:kern w:val="0"/>
      <w:sz w:val="23"/>
      <w:szCs w:val="23"/>
    </w:rPr>
  </w:style>
  <w:style w:type="paragraph" w:customStyle="1" w:styleId="xl36">
    <w:name w:val="xl36"/>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customStyle="1" w:styleId="xl37">
    <w:name w:val="xl37"/>
    <w:basedOn w:val="a"/>
    <w:rsid w:val="00EB72C1"/>
    <w:pPr>
      <w:widowControl/>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Unicode MS" w:eastAsia="Arial Unicode MS" w:hAnsi="Arial Unicode MS" w:cs="Arial Unicode MS"/>
      <w:b/>
      <w:bCs/>
      <w:color w:val="FF0000"/>
      <w:kern w:val="0"/>
      <w:sz w:val="23"/>
      <w:szCs w:val="23"/>
    </w:rPr>
  </w:style>
  <w:style w:type="paragraph" w:customStyle="1" w:styleId="xl38">
    <w:name w:val="xl38"/>
    <w:basedOn w:val="a"/>
    <w:rsid w:val="00EB72C1"/>
    <w:pPr>
      <w:widowControl/>
      <w:pBdr>
        <w:top w:val="single" w:sz="4" w:space="0" w:color="000000"/>
        <w:left w:val="single" w:sz="4" w:space="0" w:color="000000"/>
        <w:bottom w:val="single" w:sz="4" w:space="0" w:color="000000"/>
        <w:right w:val="double" w:sz="6" w:space="0" w:color="000000"/>
      </w:pBdr>
      <w:spacing w:before="100" w:beforeAutospacing="1" w:after="100" w:afterAutospacing="1"/>
      <w:jc w:val="center"/>
    </w:pPr>
    <w:rPr>
      <w:rFonts w:ascii="Arial Unicode MS" w:eastAsia="Arial Unicode MS" w:hAnsi="Arial Unicode MS" w:cs="Arial Unicode MS"/>
      <w:b/>
      <w:bCs/>
      <w:color w:val="FF0000"/>
      <w:kern w:val="0"/>
      <w:sz w:val="23"/>
      <w:szCs w:val="23"/>
    </w:rPr>
  </w:style>
  <w:style w:type="paragraph" w:styleId="ae">
    <w:name w:val="Balloon Text"/>
    <w:basedOn w:val="a"/>
    <w:semiHidden/>
    <w:rsid w:val="00EB72C1"/>
    <w:rPr>
      <w:sz w:val="18"/>
      <w:szCs w:val="18"/>
    </w:rPr>
  </w:style>
  <w:style w:type="character" w:styleId="af">
    <w:name w:val="annotation reference"/>
    <w:semiHidden/>
    <w:rsid w:val="00EB72C1"/>
    <w:rPr>
      <w:sz w:val="21"/>
      <w:szCs w:val="21"/>
    </w:rPr>
  </w:style>
  <w:style w:type="paragraph" w:styleId="af0">
    <w:name w:val="annotation text"/>
    <w:basedOn w:val="a"/>
    <w:semiHidden/>
    <w:rsid w:val="00EB72C1"/>
    <w:pPr>
      <w:jc w:val="left"/>
    </w:pPr>
  </w:style>
  <w:style w:type="paragraph" w:styleId="af1">
    <w:name w:val="annotation subject"/>
    <w:basedOn w:val="af0"/>
    <w:next w:val="af0"/>
    <w:semiHidden/>
    <w:rsid w:val="00EB72C1"/>
    <w:rPr>
      <w:b/>
      <w:bCs/>
    </w:rPr>
  </w:style>
  <w:style w:type="paragraph" w:customStyle="1" w:styleId="Char2">
    <w:name w:val="Char"/>
    <w:basedOn w:val="a"/>
    <w:rsid w:val="00EB72C1"/>
  </w:style>
  <w:style w:type="paragraph" w:styleId="af2">
    <w:name w:val="Document Map"/>
    <w:basedOn w:val="a"/>
    <w:semiHidden/>
    <w:rsid w:val="000A549A"/>
    <w:pPr>
      <w:shd w:val="clear" w:color="auto" w:fill="000080"/>
    </w:pPr>
  </w:style>
  <w:style w:type="paragraph" w:customStyle="1" w:styleId="af3">
    <w:name w:val="正文 + (符号) 宋体"/>
    <w:aliases w:val="小四,紧缩量  0.2 磅"/>
    <w:basedOn w:val="a"/>
    <w:rsid w:val="00C22CCE"/>
    <w:pPr>
      <w:autoSpaceDE w:val="0"/>
      <w:autoSpaceDN w:val="0"/>
      <w:adjustRightInd w:val="0"/>
      <w:ind w:rightChars="671" w:right="1409" w:firstLineChars="512" w:firstLine="1229"/>
      <w:jc w:val="distribute"/>
    </w:pPr>
    <w:rPr>
      <w:sz w:val="24"/>
    </w:rPr>
  </w:style>
  <w:style w:type="paragraph" w:styleId="af4">
    <w:name w:val="footnote text"/>
    <w:basedOn w:val="a"/>
    <w:semiHidden/>
    <w:rsid w:val="00547D9C"/>
    <w:pPr>
      <w:snapToGrid w:val="0"/>
      <w:jc w:val="left"/>
    </w:pPr>
    <w:rPr>
      <w:sz w:val="18"/>
      <w:szCs w:val="18"/>
    </w:rPr>
  </w:style>
  <w:style w:type="character" w:styleId="af5">
    <w:name w:val="footnote reference"/>
    <w:semiHidden/>
    <w:rsid w:val="00547D9C"/>
    <w:rPr>
      <w:vertAlign w:val="superscript"/>
    </w:rPr>
  </w:style>
  <w:style w:type="paragraph" w:styleId="af6">
    <w:name w:val="Normal (Web)"/>
    <w:basedOn w:val="a"/>
    <w:rsid w:val="005D45B3"/>
    <w:pPr>
      <w:widowControl/>
      <w:spacing w:before="100" w:beforeAutospacing="1" w:after="100" w:afterAutospacing="1"/>
      <w:jc w:val="left"/>
    </w:pPr>
    <w:rPr>
      <w:rFonts w:ascii="宋体" w:hAnsi="宋体"/>
      <w:kern w:val="0"/>
      <w:sz w:val="24"/>
    </w:rPr>
  </w:style>
  <w:style w:type="table" w:styleId="af7">
    <w:name w:val="Table Grid"/>
    <w:basedOn w:val="a2"/>
    <w:qFormat/>
    <w:rsid w:val="002A5D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3">
    <w:name w:val="Char"/>
    <w:basedOn w:val="a"/>
    <w:rsid w:val="00043ABF"/>
  </w:style>
  <w:style w:type="paragraph" w:customStyle="1" w:styleId="CharCharCharCharCharChar1CharCharChar">
    <w:name w:val="Char Char Char Char Char Char1 Char Char Char"/>
    <w:basedOn w:val="a"/>
    <w:rsid w:val="005166E9"/>
    <w:pPr>
      <w:autoSpaceDE w:val="0"/>
      <w:autoSpaceDN w:val="0"/>
      <w:adjustRightInd w:val="0"/>
      <w:jc w:val="left"/>
      <w:textAlignment w:val="baseline"/>
    </w:pPr>
    <w:rPr>
      <w:rFonts w:ascii="宋体"/>
      <w:kern w:val="0"/>
      <w:sz w:val="34"/>
      <w:szCs w:val="20"/>
    </w:rPr>
  </w:style>
  <w:style w:type="character" w:customStyle="1" w:styleId="Char">
    <w:name w:val="纯文本 Char"/>
    <w:link w:val="a5"/>
    <w:uiPriority w:val="99"/>
    <w:rsid w:val="00A96FD9"/>
    <w:rPr>
      <w:rFonts w:ascii="宋体" w:hAnsi="Courier New"/>
      <w:kern w:val="2"/>
      <w:sz w:val="21"/>
      <w:szCs w:val="21"/>
    </w:rPr>
  </w:style>
  <w:style w:type="character" w:customStyle="1" w:styleId="Char0">
    <w:name w:val="页眉 Char"/>
    <w:basedOn w:val="a1"/>
    <w:link w:val="a9"/>
    <w:uiPriority w:val="99"/>
    <w:rsid w:val="001D1356"/>
    <w:rPr>
      <w:kern w:val="2"/>
      <w:sz w:val="18"/>
      <w:szCs w:val="18"/>
    </w:rPr>
  </w:style>
  <w:style w:type="character" w:customStyle="1" w:styleId="1Char">
    <w:name w:val="标题 1 Char"/>
    <w:basedOn w:val="a1"/>
    <w:link w:val="1"/>
    <w:rsid w:val="00A7634D"/>
    <w:rPr>
      <w:b/>
      <w:bCs/>
      <w:kern w:val="44"/>
      <w:sz w:val="44"/>
      <w:szCs w:val="44"/>
    </w:rPr>
  </w:style>
  <w:style w:type="character" w:customStyle="1" w:styleId="Char1">
    <w:name w:val="日期 Char"/>
    <w:basedOn w:val="a1"/>
    <w:link w:val="ad"/>
    <w:uiPriority w:val="99"/>
    <w:rsid w:val="00C503D3"/>
    <w:rPr>
      <w:kern w:val="2"/>
      <w:sz w:val="24"/>
    </w:rPr>
  </w:style>
  <w:style w:type="character" w:styleId="af8">
    <w:name w:val="Strong"/>
    <w:basedOn w:val="a1"/>
    <w:uiPriority w:val="22"/>
    <w:qFormat/>
    <w:rsid w:val="009779F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69648">
      <w:bodyDiv w:val="1"/>
      <w:marLeft w:val="0"/>
      <w:marRight w:val="0"/>
      <w:marTop w:val="0"/>
      <w:marBottom w:val="0"/>
      <w:divBdr>
        <w:top w:val="none" w:sz="0" w:space="0" w:color="auto"/>
        <w:left w:val="none" w:sz="0" w:space="0" w:color="auto"/>
        <w:bottom w:val="none" w:sz="0" w:space="0" w:color="auto"/>
        <w:right w:val="none" w:sz="0" w:space="0" w:color="auto"/>
      </w:divBdr>
    </w:div>
    <w:div w:id="45183085">
      <w:bodyDiv w:val="1"/>
      <w:marLeft w:val="0"/>
      <w:marRight w:val="0"/>
      <w:marTop w:val="0"/>
      <w:marBottom w:val="0"/>
      <w:divBdr>
        <w:top w:val="none" w:sz="0" w:space="0" w:color="auto"/>
        <w:left w:val="none" w:sz="0" w:space="0" w:color="auto"/>
        <w:bottom w:val="none" w:sz="0" w:space="0" w:color="auto"/>
        <w:right w:val="none" w:sz="0" w:space="0" w:color="auto"/>
      </w:divBdr>
    </w:div>
    <w:div w:id="248806163">
      <w:bodyDiv w:val="1"/>
      <w:marLeft w:val="0"/>
      <w:marRight w:val="0"/>
      <w:marTop w:val="0"/>
      <w:marBottom w:val="0"/>
      <w:divBdr>
        <w:top w:val="none" w:sz="0" w:space="0" w:color="auto"/>
        <w:left w:val="none" w:sz="0" w:space="0" w:color="auto"/>
        <w:bottom w:val="none" w:sz="0" w:space="0" w:color="auto"/>
        <w:right w:val="none" w:sz="0" w:space="0" w:color="auto"/>
      </w:divBdr>
    </w:div>
    <w:div w:id="269166985">
      <w:bodyDiv w:val="1"/>
      <w:marLeft w:val="0"/>
      <w:marRight w:val="0"/>
      <w:marTop w:val="0"/>
      <w:marBottom w:val="0"/>
      <w:divBdr>
        <w:top w:val="none" w:sz="0" w:space="0" w:color="auto"/>
        <w:left w:val="none" w:sz="0" w:space="0" w:color="auto"/>
        <w:bottom w:val="none" w:sz="0" w:space="0" w:color="auto"/>
        <w:right w:val="none" w:sz="0" w:space="0" w:color="auto"/>
      </w:divBdr>
    </w:div>
    <w:div w:id="496727229">
      <w:bodyDiv w:val="1"/>
      <w:marLeft w:val="0"/>
      <w:marRight w:val="0"/>
      <w:marTop w:val="0"/>
      <w:marBottom w:val="0"/>
      <w:divBdr>
        <w:top w:val="none" w:sz="0" w:space="0" w:color="auto"/>
        <w:left w:val="none" w:sz="0" w:space="0" w:color="auto"/>
        <w:bottom w:val="none" w:sz="0" w:space="0" w:color="auto"/>
        <w:right w:val="none" w:sz="0" w:space="0" w:color="auto"/>
      </w:divBdr>
    </w:div>
    <w:div w:id="691229210">
      <w:bodyDiv w:val="1"/>
      <w:marLeft w:val="0"/>
      <w:marRight w:val="0"/>
      <w:marTop w:val="0"/>
      <w:marBottom w:val="0"/>
      <w:divBdr>
        <w:top w:val="none" w:sz="0" w:space="0" w:color="auto"/>
        <w:left w:val="none" w:sz="0" w:space="0" w:color="auto"/>
        <w:bottom w:val="none" w:sz="0" w:space="0" w:color="auto"/>
        <w:right w:val="none" w:sz="0" w:space="0" w:color="auto"/>
      </w:divBdr>
    </w:div>
    <w:div w:id="825586713">
      <w:bodyDiv w:val="1"/>
      <w:marLeft w:val="0"/>
      <w:marRight w:val="0"/>
      <w:marTop w:val="0"/>
      <w:marBottom w:val="0"/>
      <w:divBdr>
        <w:top w:val="none" w:sz="0" w:space="0" w:color="auto"/>
        <w:left w:val="none" w:sz="0" w:space="0" w:color="auto"/>
        <w:bottom w:val="none" w:sz="0" w:space="0" w:color="auto"/>
        <w:right w:val="none" w:sz="0" w:space="0" w:color="auto"/>
      </w:divBdr>
    </w:div>
    <w:div w:id="1050878569">
      <w:bodyDiv w:val="1"/>
      <w:marLeft w:val="0"/>
      <w:marRight w:val="0"/>
      <w:marTop w:val="0"/>
      <w:marBottom w:val="0"/>
      <w:divBdr>
        <w:top w:val="none" w:sz="0" w:space="0" w:color="auto"/>
        <w:left w:val="none" w:sz="0" w:space="0" w:color="auto"/>
        <w:bottom w:val="none" w:sz="0" w:space="0" w:color="auto"/>
        <w:right w:val="none" w:sz="0" w:space="0" w:color="auto"/>
      </w:divBdr>
    </w:div>
    <w:div w:id="1164007311">
      <w:bodyDiv w:val="1"/>
      <w:marLeft w:val="0"/>
      <w:marRight w:val="0"/>
      <w:marTop w:val="0"/>
      <w:marBottom w:val="0"/>
      <w:divBdr>
        <w:top w:val="none" w:sz="0" w:space="0" w:color="auto"/>
        <w:left w:val="none" w:sz="0" w:space="0" w:color="auto"/>
        <w:bottom w:val="none" w:sz="0" w:space="0" w:color="auto"/>
        <w:right w:val="none" w:sz="0" w:space="0" w:color="auto"/>
      </w:divBdr>
    </w:div>
    <w:div w:id="1373310577">
      <w:bodyDiv w:val="1"/>
      <w:marLeft w:val="0"/>
      <w:marRight w:val="0"/>
      <w:marTop w:val="0"/>
      <w:marBottom w:val="0"/>
      <w:divBdr>
        <w:top w:val="none" w:sz="0" w:space="0" w:color="auto"/>
        <w:left w:val="none" w:sz="0" w:space="0" w:color="auto"/>
        <w:bottom w:val="none" w:sz="0" w:space="0" w:color="auto"/>
        <w:right w:val="none" w:sz="0" w:space="0" w:color="auto"/>
      </w:divBdr>
    </w:div>
    <w:div w:id="1450933567">
      <w:bodyDiv w:val="1"/>
      <w:marLeft w:val="0"/>
      <w:marRight w:val="0"/>
      <w:marTop w:val="0"/>
      <w:marBottom w:val="0"/>
      <w:divBdr>
        <w:top w:val="none" w:sz="0" w:space="0" w:color="auto"/>
        <w:left w:val="none" w:sz="0" w:space="0" w:color="auto"/>
        <w:bottom w:val="none" w:sz="0" w:space="0" w:color="auto"/>
        <w:right w:val="none" w:sz="0" w:space="0" w:color="auto"/>
      </w:divBdr>
    </w:div>
    <w:div w:id="1512455957">
      <w:bodyDiv w:val="1"/>
      <w:marLeft w:val="0"/>
      <w:marRight w:val="0"/>
      <w:marTop w:val="0"/>
      <w:marBottom w:val="0"/>
      <w:divBdr>
        <w:top w:val="none" w:sz="0" w:space="0" w:color="auto"/>
        <w:left w:val="none" w:sz="0" w:space="0" w:color="auto"/>
        <w:bottom w:val="none" w:sz="0" w:space="0" w:color="auto"/>
        <w:right w:val="none" w:sz="0" w:space="0" w:color="auto"/>
      </w:divBdr>
    </w:div>
    <w:div w:id="1633444076">
      <w:bodyDiv w:val="1"/>
      <w:marLeft w:val="0"/>
      <w:marRight w:val="0"/>
      <w:marTop w:val="0"/>
      <w:marBottom w:val="0"/>
      <w:divBdr>
        <w:top w:val="none" w:sz="0" w:space="0" w:color="auto"/>
        <w:left w:val="none" w:sz="0" w:space="0" w:color="auto"/>
        <w:bottom w:val="none" w:sz="0" w:space="0" w:color="auto"/>
        <w:right w:val="none" w:sz="0" w:space="0" w:color="auto"/>
      </w:divBdr>
      <w:divsChild>
        <w:div w:id="1453405627">
          <w:marLeft w:val="0"/>
          <w:marRight w:val="0"/>
          <w:marTop w:val="0"/>
          <w:marBottom w:val="0"/>
          <w:divBdr>
            <w:top w:val="none" w:sz="0" w:space="0" w:color="auto"/>
            <w:left w:val="none" w:sz="0" w:space="0" w:color="auto"/>
            <w:bottom w:val="none" w:sz="0" w:space="0" w:color="auto"/>
            <w:right w:val="none" w:sz="0" w:space="0" w:color="auto"/>
          </w:divBdr>
        </w:div>
      </w:divsChild>
    </w:div>
    <w:div w:id="1837266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qdii.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qdii.dot</Template>
  <TotalTime>164</TotalTime>
  <Pages>4</Pages>
  <Words>978</Words>
  <Characters>5579</Characters>
  <Application>Microsoft Office Word</Application>
  <DocSecurity>0</DocSecurity>
  <Lines>46</Lines>
  <Paragraphs>13</Paragraphs>
  <ScaleCrop>false</ScaleCrop>
  <Company>TRT. Ltd. Co.</Company>
  <LinksUpToDate>false</LinksUpToDate>
  <CharactersWithSpaces>6544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bonnieliu</dc:creator>
  <cp:lastModifiedBy>李维</cp:lastModifiedBy>
  <cp:revision>60</cp:revision>
  <cp:lastPrinted>2019-10-17T02:01:00Z</cp:lastPrinted>
  <dcterms:created xsi:type="dcterms:W3CDTF">2014-12-16T02:40:00Z</dcterms:created>
  <dcterms:modified xsi:type="dcterms:W3CDTF">2019-10-17T02:01:00Z</dcterms:modified>
</cp:coreProperties>
</file>