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易方达科技创新混合型证券投资基金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4B02D0" w:rsidRDefault="00D074AE">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4B02D0" w:rsidRDefault="00D074AE">
      <w:pPr>
        <w:spacing w:line="360" w:lineRule="auto"/>
        <w:ind w:firstLineChars="200" w:firstLine="480"/>
        <w:rPr>
          <w:color w:val="000000"/>
          <w:sz w:val="24"/>
          <w:szCs w:val="24"/>
        </w:rPr>
      </w:pPr>
      <w:r>
        <w:rPr>
          <w:color w:val="000000"/>
          <w:sz w:val="24"/>
          <w:szCs w:val="24"/>
        </w:rPr>
        <w:t>基金托管人中国银行股份有限公司根据本基金合同规定，于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4B02D0" w:rsidRDefault="00D074AE">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4B02D0" w:rsidRDefault="00D074AE">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4B02D0" w:rsidRDefault="00D074AE">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易方达科技创新混合</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007346</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007346</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2019</w:t>
            </w:r>
            <w:r w:rsidRPr="00232B03">
              <w:rPr>
                <w:color w:val="000000"/>
                <w:kern w:val="0"/>
                <w:sz w:val="24"/>
                <w:szCs w:val="24"/>
              </w:rPr>
              <w:t>年</w:t>
            </w:r>
            <w:r w:rsidRPr="00232B03">
              <w:rPr>
                <w:color w:val="000000"/>
                <w:kern w:val="0"/>
                <w:sz w:val="24"/>
                <w:szCs w:val="24"/>
              </w:rPr>
              <w:t>4</w:t>
            </w:r>
            <w:r w:rsidRPr="00232B03">
              <w:rPr>
                <w:color w:val="000000"/>
                <w:kern w:val="0"/>
                <w:sz w:val="24"/>
                <w:szCs w:val="24"/>
              </w:rPr>
              <w:t>月</w:t>
            </w:r>
            <w:r w:rsidRPr="00232B03">
              <w:rPr>
                <w:color w:val="000000"/>
                <w:kern w:val="0"/>
                <w:sz w:val="24"/>
                <w:szCs w:val="24"/>
              </w:rPr>
              <w:t>29</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847,779,453.00</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本基金在控制风险的前提下，追求基金资产的长期增值。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综合虑宏观经济环境、政策形势、市场估值与流动性、科创板市场发展情况等因素，确定组合中股票、债券等资产类别的配置比例。本基金界定的科技创新企业是指坚持面向世界科技前沿、面向经济主战场、面向国家重大需求，主要服务于符合</w:t>
            </w:r>
            <w:r w:rsidRPr="00232B03">
              <w:rPr>
                <w:color w:val="000000"/>
                <w:kern w:val="0"/>
                <w:sz w:val="24"/>
                <w:szCs w:val="24"/>
              </w:rPr>
              <w:lastRenderedPageBreak/>
              <w:t>国家战略、突破关键核心技术、市场认可度高的企业，重点关注新一代信息技术高端装备、新材料、新能源、节能环保以及生物医药等高新技术产业和战略性新兴产业。本基金在识别科技创新主题相关企业的基础上，通过自上而下和自下而上相结合的方法，挖掘优质投资标的，构建股票投资组合。债券投资方面，本基金将主要通过类属配置与券种选择两个层次进行投资管理。</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中国战略新兴产业成份指数收益率</w:t>
            </w:r>
            <w:r w:rsidRPr="00232B03">
              <w:rPr>
                <w:color w:val="000000"/>
                <w:kern w:val="0"/>
                <w:sz w:val="24"/>
                <w:szCs w:val="24"/>
              </w:rPr>
              <w:t>×70%+</w:t>
            </w:r>
            <w:r w:rsidRPr="00232B03">
              <w:rPr>
                <w:color w:val="000000"/>
                <w:kern w:val="0"/>
                <w:sz w:val="24"/>
                <w:szCs w:val="24"/>
              </w:rPr>
              <w:t>中证港股通综合指数收益率</w:t>
            </w:r>
            <w:r w:rsidRPr="00232B03">
              <w:rPr>
                <w:color w:val="000000"/>
                <w:kern w:val="0"/>
                <w:sz w:val="24"/>
                <w:szCs w:val="24"/>
              </w:rPr>
              <w:t>×10%+</w:t>
            </w:r>
            <w:r w:rsidRPr="00232B03">
              <w:rPr>
                <w:color w:val="000000"/>
                <w:kern w:val="0"/>
                <w:sz w:val="24"/>
                <w:szCs w:val="24"/>
              </w:rPr>
              <w:t>中债总指数收益率</w:t>
            </w:r>
            <w:r w:rsidRPr="00232B03">
              <w:rPr>
                <w:color w:val="000000"/>
                <w:kern w:val="0"/>
                <w:sz w:val="24"/>
                <w:szCs w:val="24"/>
              </w:rPr>
              <w:t>×20%</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4B02D0" w:rsidRDefault="00D074AE">
            <w:pPr>
              <w:adjustRightInd w:val="0"/>
              <w:spacing w:before="29" w:line="360" w:lineRule="auto"/>
              <w:ind w:left="17"/>
              <w:jc w:val="left"/>
              <w:rPr>
                <w:color w:val="000000"/>
                <w:sz w:val="24"/>
                <w:szCs w:val="24"/>
              </w:rPr>
            </w:pPr>
            <w:r>
              <w:rPr>
                <w:color w:val="000000"/>
                <w:kern w:val="0"/>
                <w:sz w:val="24"/>
                <w:szCs w:val="24"/>
              </w:rPr>
              <w:t>本基金为混合基金，理论上其预期风险与预期收益水平低于股票基金，高于债券基金和货币市场基金。</w:t>
            </w:r>
          </w:p>
          <w:p w:rsidR="004B02D0" w:rsidRDefault="00D074AE">
            <w:pPr>
              <w:adjustRightInd w:val="0"/>
              <w:spacing w:before="29" w:line="360" w:lineRule="auto"/>
              <w:ind w:left="17"/>
              <w:jc w:val="left"/>
              <w:rPr>
                <w:color w:val="000000"/>
                <w:sz w:val="24"/>
                <w:szCs w:val="24"/>
              </w:rPr>
            </w:pPr>
            <w:r>
              <w:rPr>
                <w:color w:val="000000"/>
                <w:kern w:val="0"/>
                <w:sz w:val="24"/>
                <w:szCs w:val="24"/>
              </w:rPr>
              <w:t>本基金可投资于科创板上市的股票，除了需要承担与证券投资基金类似的市场波动风险等一般投资风险之外，本基金还面临投资科创板股票的特殊风险，本基金投资科创板的风险详见招募说明书。</w:t>
            </w:r>
          </w:p>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可通过内地与香港股票市场交易互联互通机制投资于香港证券市场，除了需要承担与境内证券投资基金类似的市场波动风险等一般投资风险之外，本基金还面临汇率风险、投资于香港证券市场的风险、以及通过内地与香港股票市场交易互联互通机制投资的风险等特有风险。本基金通过内地与香港股票市场交易互联互通机制投资的风险详见招募说明书。</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14,014,062.08</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76,806,432.17</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0.0807</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913,855,932.44</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1.0779</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4B02D0" w:rsidRDefault="00D074AE">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4B02D0">
        <w:tc>
          <w:tcPr>
            <w:tcW w:w="1395" w:type="dxa"/>
            <w:vAlign w:val="center"/>
          </w:tcPr>
          <w:p w:rsidR="004B02D0" w:rsidRDefault="00D074AE">
            <w:pPr>
              <w:jc w:val="left"/>
            </w:pPr>
            <w:r>
              <w:rPr>
                <w:color w:val="000000"/>
                <w:kern w:val="0"/>
                <w:sz w:val="24"/>
                <w:szCs w:val="24"/>
              </w:rPr>
              <w:t>过去三个月</w:t>
            </w:r>
          </w:p>
        </w:tc>
        <w:tc>
          <w:tcPr>
            <w:tcW w:w="1092" w:type="dxa"/>
            <w:vAlign w:val="center"/>
          </w:tcPr>
          <w:p w:rsidR="004B02D0" w:rsidRDefault="00D074AE">
            <w:pPr>
              <w:jc w:val="center"/>
            </w:pPr>
            <w:r>
              <w:rPr>
                <w:color w:val="000000"/>
                <w:kern w:val="0"/>
                <w:sz w:val="24"/>
                <w:szCs w:val="24"/>
              </w:rPr>
              <w:t>8.00%</w:t>
            </w:r>
          </w:p>
        </w:tc>
        <w:tc>
          <w:tcPr>
            <w:tcW w:w="1161" w:type="dxa"/>
            <w:vAlign w:val="center"/>
          </w:tcPr>
          <w:p w:rsidR="004B02D0" w:rsidRDefault="00D074AE">
            <w:pPr>
              <w:jc w:val="center"/>
            </w:pPr>
            <w:r>
              <w:rPr>
                <w:color w:val="000000"/>
                <w:kern w:val="0"/>
                <w:sz w:val="24"/>
                <w:szCs w:val="24"/>
              </w:rPr>
              <w:t>0.66%</w:t>
            </w:r>
          </w:p>
        </w:tc>
        <w:tc>
          <w:tcPr>
            <w:tcW w:w="1181" w:type="dxa"/>
            <w:vAlign w:val="center"/>
          </w:tcPr>
          <w:p w:rsidR="004B02D0" w:rsidRDefault="00D074AE">
            <w:pPr>
              <w:jc w:val="center"/>
            </w:pPr>
            <w:r>
              <w:rPr>
                <w:color w:val="000000"/>
                <w:kern w:val="0"/>
                <w:sz w:val="24"/>
                <w:szCs w:val="24"/>
              </w:rPr>
              <w:t>4.60%</w:t>
            </w:r>
          </w:p>
        </w:tc>
        <w:tc>
          <w:tcPr>
            <w:tcW w:w="1188" w:type="dxa"/>
            <w:vAlign w:val="center"/>
          </w:tcPr>
          <w:p w:rsidR="004B02D0" w:rsidRDefault="00D074AE">
            <w:pPr>
              <w:jc w:val="center"/>
            </w:pPr>
            <w:r>
              <w:rPr>
                <w:color w:val="000000"/>
                <w:kern w:val="0"/>
                <w:sz w:val="24"/>
                <w:szCs w:val="24"/>
              </w:rPr>
              <w:t>0.87%</w:t>
            </w:r>
          </w:p>
        </w:tc>
        <w:tc>
          <w:tcPr>
            <w:tcW w:w="1199" w:type="dxa"/>
            <w:vAlign w:val="center"/>
          </w:tcPr>
          <w:p w:rsidR="004B02D0" w:rsidRDefault="00D074AE">
            <w:pPr>
              <w:jc w:val="center"/>
            </w:pPr>
            <w:r>
              <w:rPr>
                <w:color w:val="000000"/>
                <w:kern w:val="0"/>
                <w:sz w:val="24"/>
                <w:szCs w:val="24"/>
              </w:rPr>
              <w:t>3.40%</w:t>
            </w:r>
          </w:p>
        </w:tc>
        <w:tc>
          <w:tcPr>
            <w:tcW w:w="1204" w:type="dxa"/>
            <w:vAlign w:val="center"/>
          </w:tcPr>
          <w:p w:rsidR="004B02D0" w:rsidRDefault="00D074AE">
            <w:pPr>
              <w:jc w:val="center"/>
            </w:pPr>
            <w:r>
              <w:rPr>
                <w:color w:val="000000"/>
                <w:kern w:val="0"/>
                <w:sz w:val="24"/>
                <w:szCs w:val="24"/>
              </w:rPr>
              <w:t>-0.21%</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易方达科技创新混合型证券投资基金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4</w:t>
      </w:r>
      <w:r w:rsidRPr="0074694E">
        <w:rPr>
          <w:rFonts w:ascii="Times New Roman" w:hAnsi="Times New Roman"/>
          <w:sz w:val="24"/>
          <w:szCs w:val="24"/>
        </w:rPr>
        <w:t>月</w:t>
      </w:r>
      <w:r w:rsidRPr="0074694E">
        <w:rPr>
          <w:rFonts w:ascii="Times New Roman" w:hAnsi="Times New Roman"/>
          <w:sz w:val="24"/>
          <w:szCs w:val="24"/>
        </w:rPr>
        <w:t>29</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D074AE"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4B02D0" w:rsidRDefault="00D074AE">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本基金合同于</w:t>
      </w:r>
      <w:r>
        <w:rPr>
          <w:color w:val="000000"/>
          <w:sz w:val="24"/>
          <w:szCs w:val="24"/>
        </w:rPr>
        <w:t>2019</w:t>
      </w:r>
      <w:r>
        <w:rPr>
          <w:color w:val="000000"/>
          <w:sz w:val="24"/>
          <w:szCs w:val="24"/>
        </w:rPr>
        <w:t>年</w:t>
      </w:r>
      <w:r>
        <w:rPr>
          <w:color w:val="000000"/>
          <w:sz w:val="24"/>
          <w:szCs w:val="24"/>
        </w:rPr>
        <w:t>4</w:t>
      </w:r>
      <w:r>
        <w:rPr>
          <w:color w:val="000000"/>
          <w:sz w:val="24"/>
          <w:szCs w:val="24"/>
        </w:rPr>
        <w:t>月</w:t>
      </w:r>
      <w:r>
        <w:rPr>
          <w:color w:val="000000"/>
          <w:sz w:val="24"/>
          <w:szCs w:val="24"/>
        </w:rPr>
        <w:t>29</w:t>
      </w:r>
      <w:r>
        <w:rPr>
          <w:color w:val="000000"/>
          <w:sz w:val="24"/>
          <w:szCs w:val="24"/>
        </w:rPr>
        <w:t>日生效</w:t>
      </w:r>
      <w:r>
        <w:rPr>
          <w:color w:val="000000"/>
          <w:sz w:val="24"/>
          <w:szCs w:val="24"/>
        </w:rPr>
        <w:t>,</w:t>
      </w:r>
      <w:r>
        <w:rPr>
          <w:color w:val="000000"/>
          <w:sz w:val="24"/>
          <w:szCs w:val="24"/>
        </w:rPr>
        <w:t>截至报告期末本基金合同生效未满一年。</w:t>
      </w:r>
    </w:p>
    <w:p w:rsidR="004B02D0" w:rsidRDefault="00D074AE">
      <w:pPr>
        <w:spacing w:line="360" w:lineRule="auto"/>
        <w:ind w:firstLineChars="200" w:firstLine="480"/>
        <w:rPr>
          <w:color w:val="000000"/>
          <w:sz w:val="24"/>
          <w:szCs w:val="24"/>
        </w:rPr>
      </w:pPr>
      <w:r>
        <w:rPr>
          <w:color w:val="000000"/>
          <w:sz w:val="24"/>
          <w:szCs w:val="24"/>
        </w:rPr>
        <w:t>2.</w:t>
      </w:r>
      <w:r>
        <w:rPr>
          <w:color w:val="000000"/>
          <w:sz w:val="24"/>
          <w:szCs w:val="24"/>
        </w:rPr>
        <w:t>按基金合同和招募说明书的约定，自基金合同生效之日起六个月内使基金的投资组合比例符合本基金合同（第十二部分二、投资范围，三、投资策略和四、投资限制）的有关约定。本报告期本基金处于建仓期内。</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3.</w:t>
      </w:r>
      <w:r w:rsidRPr="006C56AA">
        <w:rPr>
          <w:color w:val="000000"/>
          <w:sz w:val="24"/>
          <w:szCs w:val="24"/>
        </w:rPr>
        <w:t>自基金合同生效至报告期末，基金份额净值增长率为</w:t>
      </w:r>
      <w:r w:rsidRPr="006C56AA">
        <w:rPr>
          <w:color w:val="000000"/>
          <w:sz w:val="24"/>
          <w:szCs w:val="24"/>
        </w:rPr>
        <w:t>7.79%</w:t>
      </w:r>
      <w:r w:rsidRPr="006C56AA">
        <w:rPr>
          <w:color w:val="000000"/>
          <w:sz w:val="24"/>
          <w:szCs w:val="24"/>
        </w:rPr>
        <w:t>，同期业绩比较基准收益率为</w:t>
      </w:r>
      <w:r w:rsidRPr="006C56AA">
        <w:rPr>
          <w:color w:val="000000"/>
          <w:sz w:val="24"/>
          <w:szCs w:val="24"/>
        </w:rPr>
        <w:t>1.67%</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4B02D0">
        <w:tc>
          <w:tcPr>
            <w:tcW w:w="567" w:type="dxa"/>
            <w:vAlign w:val="center"/>
          </w:tcPr>
          <w:p w:rsidR="004B02D0" w:rsidRDefault="00D074AE">
            <w:pPr>
              <w:jc w:val="center"/>
            </w:pPr>
            <w:r>
              <w:rPr>
                <w:color w:val="000000"/>
                <w:sz w:val="24"/>
              </w:rPr>
              <w:t>刘武</w:t>
            </w:r>
          </w:p>
        </w:tc>
        <w:tc>
          <w:tcPr>
            <w:tcW w:w="2835" w:type="dxa"/>
            <w:vAlign w:val="center"/>
          </w:tcPr>
          <w:p w:rsidR="004B02D0" w:rsidRDefault="00D074AE">
            <w:pPr>
              <w:jc w:val="center"/>
            </w:pPr>
            <w:r>
              <w:rPr>
                <w:color w:val="000000"/>
                <w:sz w:val="24"/>
              </w:rPr>
              <w:t>本基金的基金经理、易方达新兴成长灵活配置混合型证券投资基金的基金经理</w:t>
            </w:r>
          </w:p>
        </w:tc>
        <w:tc>
          <w:tcPr>
            <w:tcW w:w="851" w:type="dxa"/>
            <w:vAlign w:val="center"/>
          </w:tcPr>
          <w:p w:rsidR="004B02D0" w:rsidRDefault="00D074AE">
            <w:pPr>
              <w:jc w:val="center"/>
            </w:pPr>
            <w:r>
              <w:rPr>
                <w:color w:val="000000"/>
                <w:sz w:val="24"/>
              </w:rPr>
              <w:t>2019-04-29</w:t>
            </w:r>
          </w:p>
        </w:tc>
        <w:tc>
          <w:tcPr>
            <w:tcW w:w="850" w:type="dxa"/>
            <w:vAlign w:val="center"/>
          </w:tcPr>
          <w:p w:rsidR="004B02D0" w:rsidRDefault="00D074AE">
            <w:pPr>
              <w:jc w:val="center"/>
            </w:pPr>
            <w:r>
              <w:rPr>
                <w:color w:val="000000"/>
                <w:sz w:val="24"/>
              </w:rPr>
              <w:t>-</w:t>
            </w:r>
          </w:p>
        </w:tc>
        <w:tc>
          <w:tcPr>
            <w:tcW w:w="851" w:type="dxa"/>
            <w:vAlign w:val="center"/>
          </w:tcPr>
          <w:p w:rsidR="004B02D0" w:rsidRDefault="00D074AE">
            <w:pPr>
              <w:jc w:val="center"/>
            </w:pPr>
            <w:r>
              <w:rPr>
                <w:color w:val="000000"/>
                <w:sz w:val="24"/>
              </w:rPr>
              <w:t>5</w:t>
            </w:r>
            <w:r>
              <w:rPr>
                <w:color w:val="000000"/>
                <w:sz w:val="24"/>
              </w:rPr>
              <w:t>年</w:t>
            </w:r>
          </w:p>
        </w:tc>
        <w:tc>
          <w:tcPr>
            <w:tcW w:w="2977" w:type="dxa"/>
            <w:vAlign w:val="center"/>
          </w:tcPr>
          <w:p w:rsidR="004B02D0" w:rsidRDefault="00D074AE">
            <w:r>
              <w:rPr>
                <w:color w:val="000000"/>
                <w:sz w:val="24"/>
              </w:rPr>
              <w:t>硕士研究生，曾任华夏基金管理有限公司投资研究部研究员，易方达基金管理有限公司行业研究员、投资经理。</w:t>
            </w:r>
          </w:p>
        </w:tc>
      </w:tr>
      <w:tr w:rsidR="004B02D0">
        <w:tc>
          <w:tcPr>
            <w:tcW w:w="567" w:type="dxa"/>
            <w:vAlign w:val="center"/>
          </w:tcPr>
          <w:p w:rsidR="004B02D0" w:rsidRDefault="00D074AE">
            <w:pPr>
              <w:jc w:val="center"/>
            </w:pPr>
            <w:r>
              <w:rPr>
                <w:color w:val="000000"/>
                <w:sz w:val="24"/>
              </w:rPr>
              <w:t>蔡荣成</w:t>
            </w:r>
          </w:p>
        </w:tc>
        <w:tc>
          <w:tcPr>
            <w:tcW w:w="2835" w:type="dxa"/>
            <w:vAlign w:val="center"/>
          </w:tcPr>
          <w:p w:rsidR="004B02D0" w:rsidRDefault="00D074AE">
            <w:pPr>
              <w:jc w:val="center"/>
            </w:pPr>
            <w:r>
              <w:rPr>
                <w:color w:val="000000"/>
                <w:sz w:val="24"/>
              </w:rPr>
              <w:t>本基金的基金经理、行业研究员</w:t>
            </w:r>
          </w:p>
        </w:tc>
        <w:tc>
          <w:tcPr>
            <w:tcW w:w="851" w:type="dxa"/>
            <w:vAlign w:val="center"/>
          </w:tcPr>
          <w:p w:rsidR="004B02D0" w:rsidRDefault="00D074AE">
            <w:pPr>
              <w:jc w:val="center"/>
            </w:pPr>
            <w:r>
              <w:rPr>
                <w:color w:val="000000"/>
                <w:sz w:val="24"/>
              </w:rPr>
              <w:t>2019-04-29</w:t>
            </w:r>
          </w:p>
        </w:tc>
        <w:tc>
          <w:tcPr>
            <w:tcW w:w="850" w:type="dxa"/>
            <w:vAlign w:val="center"/>
          </w:tcPr>
          <w:p w:rsidR="004B02D0" w:rsidRDefault="00D074AE">
            <w:pPr>
              <w:jc w:val="center"/>
            </w:pPr>
            <w:r>
              <w:rPr>
                <w:color w:val="000000"/>
                <w:sz w:val="24"/>
              </w:rPr>
              <w:t>-</w:t>
            </w:r>
          </w:p>
        </w:tc>
        <w:tc>
          <w:tcPr>
            <w:tcW w:w="851" w:type="dxa"/>
            <w:vAlign w:val="center"/>
          </w:tcPr>
          <w:p w:rsidR="004B02D0" w:rsidRDefault="00D074AE">
            <w:pPr>
              <w:jc w:val="center"/>
            </w:pPr>
            <w:r>
              <w:rPr>
                <w:color w:val="000000"/>
                <w:sz w:val="24"/>
              </w:rPr>
              <w:t>4</w:t>
            </w:r>
            <w:r>
              <w:rPr>
                <w:color w:val="000000"/>
                <w:sz w:val="24"/>
              </w:rPr>
              <w:t>年</w:t>
            </w:r>
          </w:p>
        </w:tc>
        <w:tc>
          <w:tcPr>
            <w:tcW w:w="2977" w:type="dxa"/>
            <w:vAlign w:val="center"/>
          </w:tcPr>
          <w:p w:rsidR="004B02D0" w:rsidRDefault="00D074AE">
            <w:r>
              <w:rPr>
                <w:color w:val="000000"/>
                <w:sz w:val="24"/>
              </w:rPr>
              <w:t>硕士研究生，曾任易方达基金管理有限公司行业研究员。</w:t>
            </w:r>
          </w:p>
        </w:tc>
      </w:tr>
    </w:tbl>
    <w:p w:rsidR="004B02D0" w:rsidRDefault="00D074AE">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4B02D0" w:rsidRDefault="00D074AE">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w:t>
      </w:r>
      <w:r>
        <w:rPr>
          <w:color w:val="000000"/>
          <w:sz w:val="24"/>
          <w:szCs w:val="24"/>
        </w:rPr>
        <w:t>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2019</w:t>
      </w:r>
      <w:r w:rsidRPr="006C56AA">
        <w:rPr>
          <w:color w:val="000000"/>
          <w:sz w:val="24"/>
          <w:szCs w:val="24"/>
        </w:rPr>
        <w:t>年三季度上证综指下跌</w:t>
      </w:r>
      <w:r w:rsidRPr="006C56AA">
        <w:rPr>
          <w:color w:val="000000"/>
          <w:sz w:val="24"/>
          <w:szCs w:val="24"/>
        </w:rPr>
        <w:t>2.47%</w:t>
      </w:r>
      <w:r w:rsidRPr="006C56AA">
        <w:rPr>
          <w:color w:val="000000"/>
          <w:sz w:val="24"/>
          <w:szCs w:val="24"/>
        </w:rPr>
        <w:t>，上证</w:t>
      </w:r>
      <w:r w:rsidRPr="006C56AA">
        <w:rPr>
          <w:color w:val="000000"/>
          <w:sz w:val="24"/>
          <w:szCs w:val="24"/>
        </w:rPr>
        <w:t>50</w:t>
      </w:r>
      <w:r w:rsidRPr="006C56AA">
        <w:rPr>
          <w:color w:val="000000"/>
          <w:sz w:val="24"/>
          <w:szCs w:val="24"/>
        </w:rPr>
        <w:t>指数下跌</w:t>
      </w:r>
      <w:r w:rsidRPr="006C56AA">
        <w:rPr>
          <w:color w:val="000000"/>
          <w:sz w:val="24"/>
          <w:szCs w:val="24"/>
        </w:rPr>
        <w:t>1.12%</w:t>
      </w:r>
      <w:r w:rsidRPr="006C56AA">
        <w:rPr>
          <w:color w:val="000000"/>
          <w:sz w:val="24"/>
          <w:szCs w:val="24"/>
        </w:rPr>
        <w:t>，创业板指数上涨</w:t>
      </w:r>
      <w:r w:rsidRPr="006C56AA">
        <w:rPr>
          <w:color w:val="000000"/>
          <w:sz w:val="24"/>
          <w:szCs w:val="24"/>
        </w:rPr>
        <w:t>7.68%</w:t>
      </w:r>
      <w:r w:rsidRPr="006C56AA">
        <w:rPr>
          <w:color w:val="000000"/>
          <w:sz w:val="24"/>
          <w:szCs w:val="24"/>
        </w:rPr>
        <w:t>，大盘蓝筹板块表现较弱，创业板指数上涨幅度较大，新兴成长板块表现优于大盘蓝筹板块。本基金三季度保持稳健的操作思路，</w:t>
      </w:r>
      <w:r w:rsidRPr="006C56AA">
        <w:rPr>
          <w:color w:val="000000"/>
          <w:sz w:val="24"/>
          <w:szCs w:val="24"/>
        </w:rPr>
        <w:t>6</w:t>
      </w:r>
      <w:r w:rsidRPr="006C56AA">
        <w:rPr>
          <w:color w:val="000000"/>
          <w:sz w:val="24"/>
          <w:szCs w:val="24"/>
        </w:rPr>
        <w:t>月底中美贸易摩擦缓和之后，逐步加仓以</w:t>
      </w:r>
      <w:r w:rsidRPr="006C56AA">
        <w:rPr>
          <w:color w:val="000000"/>
          <w:sz w:val="24"/>
          <w:szCs w:val="24"/>
        </w:rPr>
        <w:t>5G</w:t>
      </w:r>
      <w:r w:rsidRPr="006C56AA">
        <w:rPr>
          <w:color w:val="000000"/>
          <w:sz w:val="24"/>
          <w:szCs w:val="24"/>
        </w:rPr>
        <w:t>创新为核心主线的科技股板块。同时基于中长期配置思路，逐步配置云计算、新能源汽车和创新药细分行业中具备较大成长空间的龙头个股。本基金在建仓期内仓位根据净值安全垫的累积逐步增加，到三季度末仓位从</w:t>
      </w:r>
      <w:r w:rsidRPr="006C56AA">
        <w:rPr>
          <w:color w:val="000000"/>
          <w:sz w:val="24"/>
          <w:szCs w:val="24"/>
        </w:rPr>
        <w:t>20-30%</w:t>
      </w:r>
      <w:r w:rsidRPr="006C56AA">
        <w:rPr>
          <w:color w:val="000000"/>
          <w:sz w:val="24"/>
          <w:szCs w:val="24"/>
        </w:rPr>
        <w:t>加到</w:t>
      </w:r>
      <w:r w:rsidRPr="006C56AA">
        <w:rPr>
          <w:color w:val="000000"/>
          <w:sz w:val="24"/>
          <w:szCs w:val="24"/>
        </w:rPr>
        <w:t>50-60%</w:t>
      </w:r>
      <w:r w:rsidRPr="006C56AA">
        <w:rPr>
          <w:color w:val="000000"/>
          <w:sz w:val="24"/>
          <w:szCs w:val="24"/>
        </w:rPr>
        <w:t>。</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1.0779</w:t>
      </w:r>
      <w:r w:rsidRPr="006C56AA">
        <w:rPr>
          <w:color w:val="000000"/>
          <w:sz w:val="24"/>
          <w:szCs w:val="24"/>
        </w:rPr>
        <w:t>元，本报告期份额净值增长率为</w:t>
      </w:r>
      <w:r w:rsidRPr="006C56AA">
        <w:rPr>
          <w:color w:val="000000"/>
          <w:sz w:val="24"/>
          <w:szCs w:val="24"/>
        </w:rPr>
        <w:t>8.00%</w:t>
      </w:r>
      <w:r w:rsidRPr="006C56AA">
        <w:rPr>
          <w:color w:val="000000"/>
          <w:sz w:val="24"/>
          <w:szCs w:val="24"/>
        </w:rPr>
        <w:t>，同期业绩比较基准收益率为</w:t>
      </w:r>
      <w:r w:rsidRPr="006C56AA">
        <w:rPr>
          <w:color w:val="000000"/>
          <w:sz w:val="24"/>
          <w:szCs w:val="24"/>
        </w:rPr>
        <w:t>4.60%</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526,046,354.51</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56.73</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526,046,354.51</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56.73</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400,971,168.90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43.25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183,075.75</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0.02</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927,200,599.16</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注：本基金本报告期末通过港股通交易机制投资的港股市值为</w:t>
      </w:r>
      <w:r w:rsidRPr="006C56AA">
        <w:rPr>
          <w:color w:val="000000"/>
          <w:sz w:val="24"/>
          <w:szCs w:val="24"/>
        </w:rPr>
        <w:t>81,726,579.96</w:t>
      </w:r>
      <w:r w:rsidRPr="006C56AA">
        <w:rPr>
          <w:color w:val="000000"/>
          <w:sz w:val="24"/>
          <w:szCs w:val="24"/>
        </w:rPr>
        <w:t>元，占净值比例</w:t>
      </w:r>
      <w:r w:rsidRPr="006C56AA">
        <w:rPr>
          <w:color w:val="000000"/>
          <w:sz w:val="24"/>
          <w:szCs w:val="24"/>
        </w:rPr>
        <w:t>8.94%</w:t>
      </w:r>
      <w:r w:rsidRPr="006C56AA">
        <w:rPr>
          <w:color w:val="000000"/>
          <w:sz w:val="24"/>
          <w:szCs w:val="24"/>
        </w:rPr>
        <w:t>。</w:t>
      </w:r>
    </w:p>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280,241,058.44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30.67</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96,795,806.31</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10.59</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38,266.20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16,949,115.00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1.85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45,765,288.60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5.01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4,530,240.00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0.50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444,319,774.55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48.62</w:t>
            </w:r>
          </w:p>
        </w:tc>
      </w:tr>
    </w:tbl>
    <w:p w:rsidR="008C2A4F" w:rsidRPr="008C2A4F" w:rsidRDefault="008C2A4F" w:rsidP="008C2A4F">
      <w:pPr>
        <w:jc w:val="left"/>
        <w:rPr>
          <w:rFonts w:eastAsiaTheme="minorEastAsia"/>
          <w:b/>
          <w:bCs/>
          <w:color w:val="000000" w:themeColor="text1"/>
          <w:kern w:val="0"/>
          <w:sz w:val="24"/>
          <w:szCs w:val="24"/>
        </w:rPr>
      </w:pPr>
      <w:r w:rsidRPr="008C2A4F">
        <w:rPr>
          <w:rFonts w:eastAsiaTheme="minorEastAsia"/>
          <w:b/>
          <w:bCs/>
          <w:color w:val="000000" w:themeColor="text1"/>
          <w:kern w:val="0"/>
          <w:sz w:val="24"/>
          <w:szCs w:val="24"/>
        </w:rPr>
        <w:t xml:space="preserve"> 5.2.2</w:t>
      </w:r>
      <w:r w:rsidR="00B912D0">
        <w:rPr>
          <w:rFonts w:eastAsiaTheme="minorEastAsia"/>
          <w:b/>
          <w:bCs/>
          <w:color w:val="000000" w:themeColor="text1"/>
          <w:kern w:val="0"/>
          <w:sz w:val="24"/>
          <w:szCs w:val="24"/>
        </w:rPr>
        <w:t>报告期末按行业分类的</w:t>
      </w:r>
      <w:r w:rsidR="00B912D0">
        <w:rPr>
          <w:rFonts w:eastAsiaTheme="minorEastAsia" w:hint="eastAsia"/>
          <w:b/>
          <w:bCs/>
          <w:color w:val="000000" w:themeColor="text1"/>
          <w:kern w:val="0"/>
          <w:sz w:val="24"/>
          <w:szCs w:val="24"/>
        </w:rPr>
        <w:t>港股通</w:t>
      </w:r>
      <w:r w:rsidRPr="008C2A4F">
        <w:rPr>
          <w:rFonts w:eastAsiaTheme="minorEastAsia"/>
          <w:b/>
          <w:bCs/>
          <w:color w:val="000000" w:themeColor="text1"/>
          <w:kern w:val="0"/>
          <w:sz w:val="24"/>
          <w:szCs w:val="24"/>
        </w:rPr>
        <w:t>投资股票投资组合</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7"/>
        <w:gridCol w:w="3119"/>
        <w:gridCol w:w="3118"/>
      </w:tblGrid>
      <w:tr w:rsidR="008C2A4F" w:rsidRPr="008C2A4F" w:rsidTr="003328D9">
        <w:trPr>
          <w:jc w:val="center"/>
        </w:trPr>
        <w:tc>
          <w:tcPr>
            <w:tcW w:w="2397" w:type="dxa"/>
            <w:vAlign w:val="center"/>
          </w:tcPr>
          <w:p w:rsidR="008C2A4F" w:rsidRPr="008C2A4F" w:rsidRDefault="008C2A4F" w:rsidP="003328D9">
            <w:pPr>
              <w:spacing w:before="29" w:line="360" w:lineRule="auto"/>
              <w:ind w:left="17"/>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3119" w:type="dxa"/>
            <w:vAlign w:val="center"/>
          </w:tcPr>
          <w:p w:rsidR="008C2A4F" w:rsidRPr="008C2A4F" w:rsidRDefault="008C2A4F" w:rsidP="003328D9">
            <w:pPr>
              <w:spacing w:before="29" w:line="360" w:lineRule="auto"/>
              <w:ind w:left="17"/>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公允价值（人民币）</w:t>
            </w:r>
          </w:p>
        </w:tc>
        <w:tc>
          <w:tcPr>
            <w:tcW w:w="3118" w:type="dxa"/>
            <w:vAlign w:val="center"/>
          </w:tcPr>
          <w:p w:rsidR="008C2A4F" w:rsidRPr="008C2A4F" w:rsidRDefault="008C2A4F" w:rsidP="003328D9">
            <w:pPr>
              <w:spacing w:before="29" w:line="360" w:lineRule="auto"/>
              <w:ind w:left="17"/>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r w:rsidRPr="008C2A4F">
              <w:rPr>
                <w:rFonts w:eastAsiaTheme="minorEastAsia"/>
                <w:color w:val="000000" w:themeColor="text1"/>
                <w:kern w:val="0"/>
                <w:sz w:val="24"/>
                <w:szCs w:val="24"/>
              </w:rPr>
              <w:t>%</w:t>
            </w:r>
            <w:r w:rsidRPr="008C2A4F">
              <w:rPr>
                <w:rFonts w:eastAsiaTheme="minorEastAsia"/>
                <w:color w:val="000000" w:themeColor="text1"/>
                <w:kern w:val="0"/>
                <w:sz w:val="24"/>
                <w:szCs w:val="24"/>
              </w:rPr>
              <w:t>）</w:t>
            </w:r>
          </w:p>
        </w:tc>
      </w:tr>
      <w:tr w:rsidR="004B02D0">
        <w:trPr>
          <w:jc w:val="center"/>
        </w:trPr>
        <w:tc>
          <w:tcPr>
            <w:tcW w:w="2397" w:type="dxa"/>
            <w:vAlign w:val="center"/>
          </w:tcPr>
          <w:p w:rsidR="004B02D0" w:rsidRDefault="00D074AE">
            <w:pPr>
              <w:jc w:val="center"/>
            </w:pPr>
            <w:r>
              <w:rPr>
                <w:rFonts w:eastAsiaTheme="minorEastAsia"/>
                <w:color w:val="000000" w:themeColor="text1"/>
                <w:kern w:val="0"/>
                <w:sz w:val="24"/>
                <w:szCs w:val="24"/>
              </w:rPr>
              <w:t>能源</w:t>
            </w:r>
          </w:p>
        </w:tc>
        <w:tc>
          <w:tcPr>
            <w:tcW w:w="3119" w:type="dxa"/>
            <w:vAlign w:val="center"/>
          </w:tcPr>
          <w:p w:rsidR="004B02D0" w:rsidRDefault="00D074AE">
            <w:pPr>
              <w:jc w:val="center"/>
            </w:pPr>
            <w:r>
              <w:rPr>
                <w:rFonts w:eastAsiaTheme="minorEastAsia"/>
                <w:color w:val="000000" w:themeColor="text1"/>
                <w:kern w:val="0"/>
                <w:sz w:val="24"/>
                <w:szCs w:val="24"/>
              </w:rPr>
              <w:t>-</w:t>
            </w:r>
          </w:p>
        </w:tc>
        <w:tc>
          <w:tcPr>
            <w:tcW w:w="3118" w:type="dxa"/>
            <w:vAlign w:val="center"/>
          </w:tcPr>
          <w:p w:rsidR="004B02D0" w:rsidRDefault="00D074AE">
            <w:pPr>
              <w:jc w:val="center"/>
            </w:pPr>
            <w:r>
              <w:rPr>
                <w:rFonts w:eastAsiaTheme="minorEastAsia"/>
                <w:color w:val="000000" w:themeColor="text1"/>
                <w:kern w:val="0"/>
                <w:sz w:val="24"/>
                <w:szCs w:val="24"/>
              </w:rPr>
              <w:t>-</w:t>
            </w:r>
          </w:p>
        </w:tc>
      </w:tr>
      <w:tr w:rsidR="004B02D0">
        <w:trPr>
          <w:jc w:val="center"/>
        </w:trPr>
        <w:tc>
          <w:tcPr>
            <w:tcW w:w="2397" w:type="dxa"/>
            <w:vAlign w:val="center"/>
          </w:tcPr>
          <w:p w:rsidR="004B02D0" w:rsidRDefault="00D074AE">
            <w:pPr>
              <w:jc w:val="center"/>
            </w:pPr>
            <w:r>
              <w:rPr>
                <w:rFonts w:eastAsiaTheme="minorEastAsia"/>
                <w:color w:val="000000" w:themeColor="text1"/>
                <w:kern w:val="0"/>
                <w:sz w:val="24"/>
                <w:szCs w:val="24"/>
              </w:rPr>
              <w:t>材料</w:t>
            </w:r>
          </w:p>
        </w:tc>
        <w:tc>
          <w:tcPr>
            <w:tcW w:w="3119" w:type="dxa"/>
            <w:vAlign w:val="center"/>
          </w:tcPr>
          <w:p w:rsidR="004B02D0" w:rsidRDefault="00D074AE">
            <w:pPr>
              <w:jc w:val="center"/>
            </w:pPr>
            <w:r>
              <w:rPr>
                <w:rFonts w:eastAsiaTheme="minorEastAsia"/>
                <w:color w:val="000000" w:themeColor="text1"/>
                <w:kern w:val="0"/>
                <w:sz w:val="24"/>
                <w:szCs w:val="24"/>
              </w:rPr>
              <w:t>-</w:t>
            </w:r>
          </w:p>
        </w:tc>
        <w:tc>
          <w:tcPr>
            <w:tcW w:w="3118" w:type="dxa"/>
            <w:vAlign w:val="center"/>
          </w:tcPr>
          <w:p w:rsidR="004B02D0" w:rsidRDefault="00D074AE">
            <w:pPr>
              <w:jc w:val="center"/>
            </w:pPr>
            <w:r>
              <w:rPr>
                <w:rFonts w:eastAsiaTheme="minorEastAsia"/>
                <w:color w:val="000000" w:themeColor="text1"/>
                <w:kern w:val="0"/>
                <w:sz w:val="24"/>
                <w:szCs w:val="24"/>
              </w:rPr>
              <w:t>-</w:t>
            </w:r>
          </w:p>
        </w:tc>
      </w:tr>
      <w:tr w:rsidR="004B02D0">
        <w:trPr>
          <w:jc w:val="center"/>
        </w:trPr>
        <w:tc>
          <w:tcPr>
            <w:tcW w:w="2397" w:type="dxa"/>
            <w:vAlign w:val="center"/>
          </w:tcPr>
          <w:p w:rsidR="004B02D0" w:rsidRDefault="00D074AE">
            <w:pPr>
              <w:jc w:val="center"/>
            </w:pPr>
            <w:r>
              <w:rPr>
                <w:rFonts w:eastAsiaTheme="minorEastAsia"/>
                <w:color w:val="000000" w:themeColor="text1"/>
                <w:kern w:val="0"/>
                <w:sz w:val="24"/>
                <w:szCs w:val="24"/>
              </w:rPr>
              <w:t>工业</w:t>
            </w:r>
          </w:p>
        </w:tc>
        <w:tc>
          <w:tcPr>
            <w:tcW w:w="3119" w:type="dxa"/>
            <w:vAlign w:val="center"/>
          </w:tcPr>
          <w:p w:rsidR="004B02D0" w:rsidRDefault="00D074AE">
            <w:pPr>
              <w:jc w:val="center"/>
            </w:pPr>
            <w:r>
              <w:rPr>
                <w:rFonts w:eastAsiaTheme="minorEastAsia"/>
                <w:color w:val="000000" w:themeColor="text1"/>
                <w:kern w:val="0"/>
                <w:sz w:val="24"/>
                <w:szCs w:val="24"/>
              </w:rPr>
              <w:t>-</w:t>
            </w:r>
          </w:p>
        </w:tc>
        <w:tc>
          <w:tcPr>
            <w:tcW w:w="3118" w:type="dxa"/>
            <w:vAlign w:val="center"/>
          </w:tcPr>
          <w:p w:rsidR="004B02D0" w:rsidRDefault="00D074AE">
            <w:pPr>
              <w:jc w:val="center"/>
            </w:pPr>
            <w:r>
              <w:rPr>
                <w:rFonts w:eastAsiaTheme="minorEastAsia"/>
                <w:color w:val="000000" w:themeColor="text1"/>
                <w:kern w:val="0"/>
                <w:sz w:val="24"/>
                <w:szCs w:val="24"/>
              </w:rPr>
              <w:t>-</w:t>
            </w:r>
          </w:p>
        </w:tc>
      </w:tr>
      <w:tr w:rsidR="004B02D0">
        <w:trPr>
          <w:jc w:val="center"/>
        </w:trPr>
        <w:tc>
          <w:tcPr>
            <w:tcW w:w="2397" w:type="dxa"/>
            <w:vAlign w:val="center"/>
          </w:tcPr>
          <w:p w:rsidR="004B02D0" w:rsidRDefault="00D074AE">
            <w:pPr>
              <w:jc w:val="center"/>
            </w:pPr>
            <w:r>
              <w:rPr>
                <w:rFonts w:eastAsiaTheme="minorEastAsia"/>
                <w:color w:val="000000" w:themeColor="text1"/>
                <w:kern w:val="0"/>
                <w:sz w:val="24"/>
                <w:szCs w:val="24"/>
              </w:rPr>
              <w:t>非必需消费品</w:t>
            </w:r>
          </w:p>
        </w:tc>
        <w:tc>
          <w:tcPr>
            <w:tcW w:w="3119" w:type="dxa"/>
            <w:vAlign w:val="center"/>
          </w:tcPr>
          <w:p w:rsidR="004B02D0" w:rsidRDefault="00D074AE">
            <w:pPr>
              <w:jc w:val="center"/>
            </w:pPr>
            <w:r>
              <w:rPr>
                <w:rFonts w:eastAsiaTheme="minorEastAsia"/>
                <w:color w:val="000000" w:themeColor="text1"/>
                <w:kern w:val="0"/>
                <w:sz w:val="24"/>
                <w:szCs w:val="24"/>
              </w:rPr>
              <w:t>16,982,539.15</w:t>
            </w:r>
          </w:p>
        </w:tc>
        <w:tc>
          <w:tcPr>
            <w:tcW w:w="3118" w:type="dxa"/>
            <w:vAlign w:val="center"/>
          </w:tcPr>
          <w:p w:rsidR="004B02D0" w:rsidRDefault="00D074AE">
            <w:pPr>
              <w:jc w:val="center"/>
            </w:pPr>
            <w:r>
              <w:rPr>
                <w:rFonts w:eastAsiaTheme="minorEastAsia"/>
                <w:color w:val="000000" w:themeColor="text1"/>
                <w:kern w:val="0"/>
                <w:sz w:val="24"/>
                <w:szCs w:val="24"/>
              </w:rPr>
              <w:t>1.86</w:t>
            </w:r>
          </w:p>
        </w:tc>
      </w:tr>
      <w:tr w:rsidR="004B02D0">
        <w:trPr>
          <w:jc w:val="center"/>
        </w:trPr>
        <w:tc>
          <w:tcPr>
            <w:tcW w:w="2397" w:type="dxa"/>
            <w:vAlign w:val="center"/>
          </w:tcPr>
          <w:p w:rsidR="004B02D0" w:rsidRDefault="00D074AE">
            <w:pPr>
              <w:jc w:val="center"/>
            </w:pPr>
            <w:r>
              <w:rPr>
                <w:rFonts w:eastAsiaTheme="minorEastAsia"/>
                <w:color w:val="000000" w:themeColor="text1"/>
                <w:kern w:val="0"/>
                <w:sz w:val="24"/>
                <w:szCs w:val="24"/>
              </w:rPr>
              <w:t>必需消费品</w:t>
            </w:r>
          </w:p>
        </w:tc>
        <w:tc>
          <w:tcPr>
            <w:tcW w:w="3119" w:type="dxa"/>
            <w:vAlign w:val="center"/>
          </w:tcPr>
          <w:p w:rsidR="004B02D0" w:rsidRDefault="00D074AE">
            <w:pPr>
              <w:jc w:val="center"/>
            </w:pPr>
            <w:r>
              <w:rPr>
                <w:rFonts w:eastAsiaTheme="minorEastAsia"/>
                <w:color w:val="000000" w:themeColor="text1"/>
                <w:kern w:val="0"/>
                <w:sz w:val="24"/>
                <w:szCs w:val="24"/>
              </w:rPr>
              <w:t>-</w:t>
            </w:r>
          </w:p>
        </w:tc>
        <w:tc>
          <w:tcPr>
            <w:tcW w:w="3118" w:type="dxa"/>
            <w:vAlign w:val="center"/>
          </w:tcPr>
          <w:p w:rsidR="004B02D0" w:rsidRDefault="00D074AE">
            <w:pPr>
              <w:jc w:val="center"/>
            </w:pPr>
            <w:r>
              <w:rPr>
                <w:rFonts w:eastAsiaTheme="minorEastAsia"/>
                <w:color w:val="000000" w:themeColor="text1"/>
                <w:kern w:val="0"/>
                <w:sz w:val="24"/>
                <w:szCs w:val="24"/>
              </w:rPr>
              <w:t>-</w:t>
            </w:r>
          </w:p>
        </w:tc>
      </w:tr>
      <w:tr w:rsidR="004B02D0">
        <w:trPr>
          <w:jc w:val="center"/>
        </w:trPr>
        <w:tc>
          <w:tcPr>
            <w:tcW w:w="2397" w:type="dxa"/>
            <w:vAlign w:val="center"/>
          </w:tcPr>
          <w:p w:rsidR="004B02D0" w:rsidRDefault="00D074AE">
            <w:pPr>
              <w:jc w:val="center"/>
            </w:pPr>
            <w:r>
              <w:rPr>
                <w:rFonts w:eastAsiaTheme="minorEastAsia"/>
                <w:color w:val="000000" w:themeColor="text1"/>
                <w:kern w:val="0"/>
                <w:sz w:val="24"/>
                <w:szCs w:val="24"/>
              </w:rPr>
              <w:t>保健</w:t>
            </w:r>
          </w:p>
        </w:tc>
        <w:tc>
          <w:tcPr>
            <w:tcW w:w="3119" w:type="dxa"/>
            <w:vAlign w:val="center"/>
          </w:tcPr>
          <w:p w:rsidR="004B02D0" w:rsidRDefault="00D074AE">
            <w:pPr>
              <w:jc w:val="center"/>
            </w:pPr>
            <w:r>
              <w:rPr>
                <w:rFonts w:eastAsiaTheme="minorEastAsia"/>
                <w:color w:val="000000" w:themeColor="text1"/>
                <w:kern w:val="0"/>
                <w:sz w:val="24"/>
                <w:szCs w:val="24"/>
              </w:rPr>
              <w:t>-</w:t>
            </w:r>
          </w:p>
        </w:tc>
        <w:tc>
          <w:tcPr>
            <w:tcW w:w="3118" w:type="dxa"/>
            <w:vAlign w:val="center"/>
          </w:tcPr>
          <w:p w:rsidR="004B02D0" w:rsidRDefault="00D074AE">
            <w:pPr>
              <w:jc w:val="center"/>
            </w:pPr>
            <w:r>
              <w:rPr>
                <w:rFonts w:eastAsiaTheme="minorEastAsia"/>
                <w:color w:val="000000" w:themeColor="text1"/>
                <w:kern w:val="0"/>
                <w:sz w:val="24"/>
                <w:szCs w:val="24"/>
              </w:rPr>
              <w:t>-</w:t>
            </w:r>
          </w:p>
        </w:tc>
      </w:tr>
      <w:tr w:rsidR="004B02D0">
        <w:trPr>
          <w:jc w:val="center"/>
        </w:trPr>
        <w:tc>
          <w:tcPr>
            <w:tcW w:w="2397" w:type="dxa"/>
            <w:vAlign w:val="center"/>
          </w:tcPr>
          <w:p w:rsidR="004B02D0" w:rsidRDefault="00D074AE">
            <w:pPr>
              <w:jc w:val="center"/>
            </w:pPr>
            <w:r>
              <w:rPr>
                <w:rFonts w:eastAsiaTheme="minorEastAsia"/>
                <w:color w:val="000000" w:themeColor="text1"/>
                <w:kern w:val="0"/>
                <w:sz w:val="24"/>
                <w:szCs w:val="24"/>
              </w:rPr>
              <w:t>金融</w:t>
            </w:r>
          </w:p>
        </w:tc>
        <w:tc>
          <w:tcPr>
            <w:tcW w:w="3119" w:type="dxa"/>
            <w:vAlign w:val="center"/>
          </w:tcPr>
          <w:p w:rsidR="004B02D0" w:rsidRDefault="00D074AE">
            <w:pPr>
              <w:jc w:val="center"/>
            </w:pPr>
            <w:r>
              <w:rPr>
                <w:rFonts w:eastAsiaTheme="minorEastAsia"/>
                <w:color w:val="000000" w:themeColor="text1"/>
                <w:kern w:val="0"/>
                <w:sz w:val="24"/>
                <w:szCs w:val="24"/>
              </w:rPr>
              <w:t>-</w:t>
            </w:r>
          </w:p>
        </w:tc>
        <w:tc>
          <w:tcPr>
            <w:tcW w:w="3118" w:type="dxa"/>
            <w:vAlign w:val="center"/>
          </w:tcPr>
          <w:p w:rsidR="004B02D0" w:rsidRDefault="00D074AE">
            <w:pPr>
              <w:jc w:val="center"/>
            </w:pPr>
            <w:r>
              <w:rPr>
                <w:rFonts w:eastAsiaTheme="minorEastAsia"/>
                <w:color w:val="000000" w:themeColor="text1"/>
                <w:kern w:val="0"/>
                <w:sz w:val="24"/>
                <w:szCs w:val="24"/>
              </w:rPr>
              <w:t>-</w:t>
            </w:r>
          </w:p>
        </w:tc>
      </w:tr>
      <w:tr w:rsidR="004B02D0">
        <w:trPr>
          <w:jc w:val="center"/>
        </w:trPr>
        <w:tc>
          <w:tcPr>
            <w:tcW w:w="2397" w:type="dxa"/>
            <w:vAlign w:val="center"/>
          </w:tcPr>
          <w:p w:rsidR="004B02D0" w:rsidRDefault="00D074AE">
            <w:pPr>
              <w:jc w:val="center"/>
            </w:pPr>
            <w:r>
              <w:rPr>
                <w:rFonts w:eastAsiaTheme="minorEastAsia"/>
                <w:color w:val="000000" w:themeColor="text1"/>
                <w:kern w:val="0"/>
                <w:sz w:val="24"/>
                <w:szCs w:val="24"/>
              </w:rPr>
              <w:t>信息技术</w:t>
            </w:r>
          </w:p>
        </w:tc>
        <w:tc>
          <w:tcPr>
            <w:tcW w:w="3119" w:type="dxa"/>
            <w:vAlign w:val="center"/>
          </w:tcPr>
          <w:p w:rsidR="004B02D0" w:rsidRDefault="00D074AE">
            <w:pPr>
              <w:jc w:val="center"/>
            </w:pPr>
            <w:r>
              <w:rPr>
                <w:rFonts w:eastAsiaTheme="minorEastAsia"/>
                <w:color w:val="000000" w:themeColor="text1"/>
                <w:kern w:val="0"/>
                <w:sz w:val="24"/>
                <w:szCs w:val="24"/>
              </w:rPr>
              <w:t>64,744,040.81</w:t>
            </w:r>
          </w:p>
        </w:tc>
        <w:tc>
          <w:tcPr>
            <w:tcW w:w="3118" w:type="dxa"/>
            <w:vAlign w:val="center"/>
          </w:tcPr>
          <w:p w:rsidR="004B02D0" w:rsidRDefault="00D074AE">
            <w:pPr>
              <w:jc w:val="center"/>
            </w:pPr>
            <w:r>
              <w:rPr>
                <w:rFonts w:eastAsiaTheme="minorEastAsia"/>
                <w:color w:val="000000" w:themeColor="text1"/>
                <w:kern w:val="0"/>
                <w:sz w:val="24"/>
                <w:szCs w:val="24"/>
              </w:rPr>
              <w:t>7.08</w:t>
            </w:r>
          </w:p>
        </w:tc>
      </w:tr>
      <w:tr w:rsidR="004B02D0">
        <w:trPr>
          <w:jc w:val="center"/>
        </w:trPr>
        <w:tc>
          <w:tcPr>
            <w:tcW w:w="2397" w:type="dxa"/>
            <w:vAlign w:val="center"/>
          </w:tcPr>
          <w:p w:rsidR="004B02D0" w:rsidRDefault="00D074AE">
            <w:pPr>
              <w:jc w:val="center"/>
            </w:pPr>
            <w:r>
              <w:rPr>
                <w:rFonts w:eastAsiaTheme="minorEastAsia"/>
                <w:color w:val="000000" w:themeColor="text1"/>
                <w:kern w:val="0"/>
                <w:sz w:val="24"/>
                <w:szCs w:val="24"/>
              </w:rPr>
              <w:t>电信服务</w:t>
            </w:r>
          </w:p>
        </w:tc>
        <w:tc>
          <w:tcPr>
            <w:tcW w:w="3119" w:type="dxa"/>
            <w:vAlign w:val="center"/>
          </w:tcPr>
          <w:p w:rsidR="004B02D0" w:rsidRDefault="00D074AE">
            <w:pPr>
              <w:jc w:val="center"/>
            </w:pPr>
            <w:r>
              <w:rPr>
                <w:rFonts w:eastAsiaTheme="minorEastAsia"/>
                <w:color w:val="000000" w:themeColor="text1"/>
                <w:kern w:val="0"/>
                <w:sz w:val="24"/>
                <w:szCs w:val="24"/>
              </w:rPr>
              <w:t>-</w:t>
            </w:r>
          </w:p>
        </w:tc>
        <w:tc>
          <w:tcPr>
            <w:tcW w:w="3118" w:type="dxa"/>
            <w:vAlign w:val="center"/>
          </w:tcPr>
          <w:p w:rsidR="004B02D0" w:rsidRDefault="00D074AE">
            <w:pPr>
              <w:jc w:val="center"/>
            </w:pPr>
            <w:r>
              <w:rPr>
                <w:rFonts w:eastAsiaTheme="minorEastAsia"/>
                <w:color w:val="000000" w:themeColor="text1"/>
                <w:kern w:val="0"/>
                <w:sz w:val="24"/>
                <w:szCs w:val="24"/>
              </w:rPr>
              <w:t>-</w:t>
            </w:r>
          </w:p>
        </w:tc>
      </w:tr>
      <w:tr w:rsidR="004B02D0">
        <w:trPr>
          <w:jc w:val="center"/>
        </w:trPr>
        <w:tc>
          <w:tcPr>
            <w:tcW w:w="2397" w:type="dxa"/>
            <w:vAlign w:val="center"/>
          </w:tcPr>
          <w:p w:rsidR="004B02D0" w:rsidRDefault="00D074AE">
            <w:pPr>
              <w:jc w:val="center"/>
            </w:pPr>
            <w:r>
              <w:rPr>
                <w:rFonts w:eastAsiaTheme="minorEastAsia"/>
                <w:color w:val="000000" w:themeColor="text1"/>
                <w:kern w:val="0"/>
                <w:sz w:val="24"/>
                <w:szCs w:val="24"/>
              </w:rPr>
              <w:t>公用事业</w:t>
            </w:r>
          </w:p>
        </w:tc>
        <w:tc>
          <w:tcPr>
            <w:tcW w:w="3119" w:type="dxa"/>
            <w:vAlign w:val="center"/>
          </w:tcPr>
          <w:p w:rsidR="004B02D0" w:rsidRDefault="00D074AE">
            <w:pPr>
              <w:jc w:val="center"/>
            </w:pPr>
            <w:r>
              <w:rPr>
                <w:rFonts w:eastAsiaTheme="minorEastAsia"/>
                <w:color w:val="000000" w:themeColor="text1"/>
                <w:kern w:val="0"/>
                <w:sz w:val="24"/>
                <w:szCs w:val="24"/>
              </w:rPr>
              <w:t>-</w:t>
            </w:r>
          </w:p>
        </w:tc>
        <w:tc>
          <w:tcPr>
            <w:tcW w:w="3118" w:type="dxa"/>
            <w:vAlign w:val="center"/>
          </w:tcPr>
          <w:p w:rsidR="004B02D0" w:rsidRDefault="00D074AE">
            <w:pPr>
              <w:jc w:val="center"/>
            </w:pPr>
            <w:r>
              <w:rPr>
                <w:rFonts w:eastAsiaTheme="minorEastAsia"/>
                <w:color w:val="000000" w:themeColor="text1"/>
                <w:kern w:val="0"/>
                <w:sz w:val="24"/>
                <w:szCs w:val="24"/>
              </w:rPr>
              <w:t>-</w:t>
            </w:r>
          </w:p>
        </w:tc>
      </w:tr>
      <w:tr w:rsidR="004B02D0">
        <w:trPr>
          <w:jc w:val="center"/>
        </w:trPr>
        <w:tc>
          <w:tcPr>
            <w:tcW w:w="2397" w:type="dxa"/>
            <w:vAlign w:val="center"/>
          </w:tcPr>
          <w:p w:rsidR="004B02D0" w:rsidRDefault="00D074AE">
            <w:pPr>
              <w:jc w:val="center"/>
            </w:pPr>
            <w:r>
              <w:rPr>
                <w:rFonts w:eastAsiaTheme="minorEastAsia"/>
                <w:color w:val="000000" w:themeColor="text1"/>
                <w:kern w:val="0"/>
                <w:sz w:val="24"/>
                <w:szCs w:val="24"/>
              </w:rPr>
              <w:t>房地产</w:t>
            </w:r>
          </w:p>
        </w:tc>
        <w:tc>
          <w:tcPr>
            <w:tcW w:w="3119" w:type="dxa"/>
            <w:vAlign w:val="center"/>
          </w:tcPr>
          <w:p w:rsidR="004B02D0" w:rsidRDefault="00D074AE">
            <w:pPr>
              <w:jc w:val="center"/>
            </w:pPr>
            <w:r>
              <w:rPr>
                <w:rFonts w:eastAsiaTheme="minorEastAsia"/>
                <w:color w:val="000000" w:themeColor="text1"/>
                <w:kern w:val="0"/>
                <w:sz w:val="24"/>
                <w:szCs w:val="24"/>
              </w:rPr>
              <w:t>-</w:t>
            </w:r>
          </w:p>
        </w:tc>
        <w:tc>
          <w:tcPr>
            <w:tcW w:w="3118" w:type="dxa"/>
            <w:vAlign w:val="center"/>
          </w:tcPr>
          <w:p w:rsidR="004B02D0" w:rsidRDefault="00D074AE">
            <w:pPr>
              <w:jc w:val="center"/>
            </w:pPr>
            <w:r>
              <w:rPr>
                <w:rFonts w:eastAsiaTheme="minorEastAsia"/>
                <w:color w:val="000000" w:themeColor="text1"/>
                <w:kern w:val="0"/>
                <w:sz w:val="24"/>
                <w:szCs w:val="24"/>
              </w:rPr>
              <w:t>-</w:t>
            </w:r>
          </w:p>
        </w:tc>
      </w:tr>
      <w:tr w:rsidR="008C2A4F" w:rsidRPr="008C2A4F" w:rsidTr="003328D9">
        <w:trPr>
          <w:jc w:val="center"/>
        </w:trPr>
        <w:tc>
          <w:tcPr>
            <w:tcW w:w="2397" w:type="dxa"/>
            <w:vAlign w:val="center"/>
          </w:tcPr>
          <w:p w:rsidR="008C2A4F" w:rsidRPr="008C2A4F" w:rsidRDefault="008C2A4F" w:rsidP="003328D9">
            <w:pPr>
              <w:spacing w:before="29" w:line="360" w:lineRule="auto"/>
              <w:ind w:left="17"/>
              <w:jc w:val="center"/>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3119" w:type="dxa"/>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81,726,579.96</w:t>
            </w:r>
          </w:p>
        </w:tc>
        <w:tc>
          <w:tcPr>
            <w:tcW w:w="3118" w:type="dxa"/>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8.94</w:t>
            </w:r>
          </w:p>
        </w:tc>
      </w:tr>
    </w:tbl>
    <w:p w:rsidR="00750D48" w:rsidRPr="008C2A4F" w:rsidRDefault="008C2A4F" w:rsidP="008C2A4F">
      <w:pPr>
        <w:spacing w:line="360" w:lineRule="auto"/>
        <w:ind w:firstLineChars="200" w:firstLine="480"/>
        <w:rPr>
          <w:color w:val="000000"/>
          <w:sz w:val="24"/>
          <w:szCs w:val="24"/>
        </w:rPr>
      </w:pPr>
      <w:r w:rsidRPr="00403A06">
        <w:rPr>
          <w:color w:val="000000"/>
          <w:sz w:val="24"/>
          <w:szCs w:val="24"/>
        </w:rPr>
        <w:t>注：以上分类采用全球行业分类标准（</w:t>
      </w:r>
      <w:r w:rsidRPr="00403A06">
        <w:rPr>
          <w:color w:val="000000"/>
          <w:sz w:val="24"/>
          <w:szCs w:val="24"/>
        </w:rPr>
        <w:t>GICS</w:t>
      </w:r>
      <w:r w:rsidRPr="00403A06">
        <w:rPr>
          <w:color w:val="000000"/>
          <w:sz w:val="24"/>
          <w:szCs w:val="24"/>
        </w:rPr>
        <w:t>）。</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4B02D0">
        <w:tc>
          <w:tcPr>
            <w:tcW w:w="851" w:type="dxa"/>
            <w:vAlign w:val="center"/>
          </w:tcPr>
          <w:p w:rsidR="004B02D0" w:rsidRDefault="00D074AE">
            <w:pPr>
              <w:jc w:val="center"/>
            </w:pPr>
            <w:r>
              <w:rPr>
                <w:color w:val="000000"/>
                <w:kern w:val="0"/>
                <w:sz w:val="24"/>
                <w:szCs w:val="24"/>
              </w:rPr>
              <w:t>1</w:t>
            </w:r>
          </w:p>
        </w:tc>
        <w:tc>
          <w:tcPr>
            <w:tcW w:w="1276" w:type="dxa"/>
            <w:vAlign w:val="center"/>
          </w:tcPr>
          <w:p w:rsidR="004B02D0" w:rsidRDefault="00D074AE">
            <w:pPr>
              <w:jc w:val="center"/>
            </w:pPr>
            <w:r>
              <w:rPr>
                <w:color w:val="000000"/>
                <w:kern w:val="0"/>
                <w:sz w:val="24"/>
                <w:szCs w:val="24"/>
              </w:rPr>
              <w:t>300207</w:t>
            </w:r>
          </w:p>
        </w:tc>
        <w:tc>
          <w:tcPr>
            <w:tcW w:w="1418" w:type="dxa"/>
            <w:vAlign w:val="center"/>
          </w:tcPr>
          <w:p w:rsidR="004B02D0" w:rsidRDefault="00D074AE">
            <w:pPr>
              <w:jc w:val="center"/>
            </w:pPr>
            <w:r>
              <w:rPr>
                <w:color w:val="000000"/>
                <w:kern w:val="0"/>
                <w:sz w:val="24"/>
                <w:szCs w:val="24"/>
              </w:rPr>
              <w:t>欣旺达</w:t>
            </w:r>
          </w:p>
        </w:tc>
        <w:tc>
          <w:tcPr>
            <w:tcW w:w="1701" w:type="dxa"/>
            <w:vAlign w:val="center"/>
          </w:tcPr>
          <w:p w:rsidR="004B02D0" w:rsidRDefault="00D074AE">
            <w:pPr>
              <w:jc w:val="right"/>
            </w:pPr>
            <w:r>
              <w:rPr>
                <w:color w:val="000000"/>
                <w:kern w:val="0"/>
                <w:sz w:val="24"/>
                <w:szCs w:val="24"/>
              </w:rPr>
              <w:t>3,718,166</w:t>
            </w:r>
          </w:p>
        </w:tc>
        <w:tc>
          <w:tcPr>
            <w:tcW w:w="1984" w:type="dxa"/>
            <w:vAlign w:val="center"/>
          </w:tcPr>
          <w:p w:rsidR="004B02D0" w:rsidRDefault="00D074AE">
            <w:pPr>
              <w:jc w:val="right"/>
            </w:pPr>
            <w:r>
              <w:rPr>
                <w:color w:val="000000"/>
                <w:kern w:val="0"/>
                <w:sz w:val="24"/>
                <w:szCs w:val="24"/>
              </w:rPr>
              <w:t>56,330,214.90</w:t>
            </w:r>
          </w:p>
        </w:tc>
        <w:tc>
          <w:tcPr>
            <w:tcW w:w="1559" w:type="dxa"/>
            <w:vAlign w:val="center"/>
          </w:tcPr>
          <w:p w:rsidR="004B02D0" w:rsidRDefault="00D074AE">
            <w:pPr>
              <w:jc w:val="right"/>
            </w:pPr>
            <w:r>
              <w:rPr>
                <w:color w:val="000000"/>
                <w:kern w:val="0"/>
                <w:sz w:val="24"/>
                <w:szCs w:val="24"/>
              </w:rPr>
              <w:t>6.16</w:t>
            </w:r>
          </w:p>
        </w:tc>
      </w:tr>
      <w:tr w:rsidR="004B02D0">
        <w:tc>
          <w:tcPr>
            <w:tcW w:w="851" w:type="dxa"/>
            <w:vAlign w:val="center"/>
          </w:tcPr>
          <w:p w:rsidR="004B02D0" w:rsidRDefault="00D074AE">
            <w:pPr>
              <w:jc w:val="center"/>
            </w:pPr>
            <w:r>
              <w:rPr>
                <w:color w:val="000000"/>
                <w:kern w:val="0"/>
                <w:sz w:val="24"/>
                <w:szCs w:val="24"/>
              </w:rPr>
              <w:t>2</w:t>
            </w:r>
          </w:p>
        </w:tc>
        <w:tc>
          <w:tcPr>
            <w:tcW w:w="1276" w:type="dxa"/>
            <w:vAlign w:val="center"/>
          </w:tcPr>
          <w:p w:rsidR="004B02D0" w:rsidRDefault="00D074AE">
            <w:pPr>
              <w:jc w:val="center"/>
            </w:pPr>
            <w:r>
              <w:rPr>
                <w:color w:val="000000"/>
                <w:kern w:val="0"/>
                <w:sz w:val="24"/>
                <w:szCs w:val="24"/>
              </w:rPr>
              <w:t>300253</w:t>
            </w:r>
          </w:p>
        </w:tc>
        <w:tc>
          <w:tcPr>
            <w:tcW w:w="1418" w:type="dxa"/>
            <w:vAlign w:val="center"/>
          </w:tcPr>
          <w:p w:rsidR="004B02D0" w:rsidRDefault="00D074AE">
            <w:pPr>
              <w:jc w:val="center"/>
            </w:pPr>
            <w:r>
              <w:rPr>
                <w:color w:val="000000"/>
                <w:kern w:val="0"/>
                <w:sz w:val="24"/>
                <w:szCs w:val="24"/>
              </w:rPr>
              <w:t>卫宁健康</w:t>
            </w:r>
          </w:p>
        </w:tc>
        <w:tc>
          <w:tcPr>
            <w:tcW w:w="1701" w:type="dxa"/>
            <w:vAlign w:val="center"/>
          </w:tcPr>
          <w:p w:rsidR="004B02D0" w:rsidRDefault="00D074AE">
            <w:pPr>
              <w:jc w:val="right"/>
            </w:pPr>
            <w:r>
              <w:rPr>
                <w:color w:val="000000"/>
                <w:kern w:val="0"/>
                <w:sz w:val="24"/>
                <w:szCs w:val="24"/>
              </w:rPr>
              <w:t>3,321,068</w:t>
            </w:r>
          </w:p>
        </w:tc>
        <w:tc>
          <w:tcPr>
            <w:tcW w:w="1984" w:type="dxa"/>
            <w:vAlign w:val="center"/>
          </w:tcPr>
          <w:p w:rsidR="004B02D0" w:rsidRDefault="00D074AE">
            <w:pPr>
              <w:jc w:val="right"/>
            </w:pPr>
            <w:r>
              <w:rPr>
                <w:color w:val="000000"/>
                <w:kern w:val="0"/>
                <w:sz w:val="24"/>
                <w:szCs w:val="24"/>
              </w:rPr>
              <w:t>52,738,559.84</w:t>
            </w:r>
          </w:p>
        </w:tc>
        <w:tc>
          <w:tcPr>
            <w:tcW w:w="1559" w:type="dxa"/>
            <w:vAlign w:val="center"/>
          </w:tcPr>
          <w:p w:rsidR="004B02D0" w:rsidRDefault="00D074AE">
            <w:pPr>
              <w:jc w:val="right"/>
            </w:pPr>
            <w:r>
              <w:rPr>
                <w:color w:val="000000"/>
                <w:kern w:val="0"/>
                <w:sz w:val="24"/>
                <w:szCs w:val="24"/>
              </w:rPr>
              <w:t>5.77</w:t>
            </w:r>
          </w:p>
        </w:tc>
      </w:tr>
      <w:tr w:rsidR="004B02D0">
        <w:tc>
          <w:tcPr>
            <w:tcW w:w="851" w:type="dxa"/>
            <w:vAlign w:val="center"/>
          </w:tcPr>
          <w:p w:rsidR="004B02D0" w:rsidRDefault="00D074AE">
            <w:pPr>
              <w:jc w:val="center"/>
            </w:pPr>
            <w:r>
              <w:rPr>
                <w:color w:val="000000"/>
                <w:kern w:val="0"/>
                <w:sz w:val="24"/>
                <w:szCs w:val="24"/>
              </w:rPr>
              <w:t>3</w:t>
            </w:r>
          </w:p>
        </w:tc>
        <w:tc>
          <w:tcPr>
            <w:tcW w:w="1276" w:type="dxa"/>
            <w:vAlign w:val="center"/>
          </w:tcPr>
          <w:p w:rsidR="004B02D0" w:rsidRDefault="00D074AE">
            <w:pPr>
              <w:jc w:val="center"/>
            </w:pPr>
            <w:r>
              <w:rPr>
                <w:color w:val="000000"/>
                <w:kern w:val="0"/>
                <w:sz w:val="24"/>
                <w:szCs w:val="24"/>
              </w:rPr>
              <w:t>603259</w:t>
            </w:r>
          </w:p>
        </w:tc>
        <w:tc>
          <w:tcPr>
            <w:tcW w:w="1418" w:type="dxa"/>
            <w:vAlign w:val="center"/>
          </w:tcPr>
          <w:p w:rsidR="004B02D0" w:rsidRDefault="00D074AE">
            <w:pPr>
              <w:jc w:val="center"/>
            </w:pPr>
            <w:r>
              <w:rPr>
                <w:color w:val="000000"/>
                <w:kern w:val="0"/>
                <w:sz w:val="24"/>
                <w:szCs w:val="24"/>
              </w:rPr>
              <w:t>药明康德</w:t>
            </w:r>
          </w:p>
        </w:tc>
        <w:tc>
          <w:tcPr>
            <w:tcW w:w="1701" w:type="dxa"/>
            <w:vAlign w:val="center"/>
          </w:tcPr>
          <w:p w:rsidR="004B02D0" w:rsidRDefault="00D074AE">
            <w:pPr>
              <w:jc w:val="right"/>
            </w:pPr>
            <w:r>
              <w:rPr>
                <w:color w:val="000000"/>
                <w:kern w:val="0"/>
                <w:sz w:val="24"/>
                <w:szCs w:val="24"/>
              </w:rPr>
              <w:t>527,858</w:t>
            </w:r>
          </w:p>
        </w:tc>
        <w:tc>
          <w:tcPr>
            <w:tcW w:w="1984" w:type="dxa"/>
            <w:vAlign w:val="center"/>
          </w:tcPr>
          <w:p w:rsidR="004B02D0" w:rsidRDefault="00D074AE">
            <w:pPr>
              <w:jc w:val="right"/>
            </w:pPr>
            <w:r>
              <w:rPr>
                <w:color w:val="000000"/>
                <w:kern w:val="0"/>
                <w:sz w:val="24"/>
                <w:szCs w:val="24"/>
              </w:rPr>
              <w:t>45,765,288.60</w:t>
            </w:r>
          </w:p>
        </w:tc>
        <w:tc>
          <w:tcPr>
            <w:tcW w:w="1559" w:type="dxa"/>
            <w:vAlign w:val="center"/>
          </w:tcPr>
          <w:p w:rsidR="004B02D0" w:rsidRDefault="00D074AE">
            <w:pPr>
              <w:jc w:val="right"/>
            </w:pPr>
            <w:r>
              <w:rPr>
                <w:color w:val="000000"/>
                <w:kern w:val="0"/>
                <w:sz w:val="24"/>
                <w:szCs w:val="24"/>
              </w:rPr>
              <w:t>5.01</w:t>
            </w:r>
          </w:p>
        </w:tc>
      </w:tr>
      <w:tr w:rsidR="004B02D0">
        <w:tc>
          <w:tcPr>
            <w:tcW w:w="851" w:type="dxa"/>
            <w:vAlign w:val="center"/>
          </w:tcPr>
          <w:p w:rsidR="004B02D0" w:rsidRDefault="00D074AE">
            <w:pPr>
              <w:jc w:val="center"/>
            </w:pPr>
            <w:r>
              <w:rPr>
                <w:color w:val="000000"/>
                <w:kern w:val="0"/>
                <w:sz w:val="24"/>
                <w:szCs w:val="24"/>
              </w:rPr>
              <w:t>4</w:t>
            </w:r>
          </w:p>
        </w:tc>
        <w:tc>
          <w:tcPr>
            <w:tcW w:w="1276" w:type="dxa"/>
            <w:vAlign w:val="center"/>
          </w:tcPr>
          <w:p w:rsidR="004B02D0" w:rsidRDefault="00D074AE">
            <w:pPr>
              <w:jc w:val="center"/>
            </w:pPr>
            <w:r>
              <w:rPr>
                <w:color w:val="000000"/>
                <w:kern w:val="0"/>
                <w:sz w:val="24"/>
                <w:szCs w:val="24"/>
              </w:rPr>
              <w:t>002850</w:t>
            </w:r>
          </w:p>
        </w:tc>
        <w:tc>
          <w:tcPr>
            <w:tcW w:w="1418" w:type="dxa"/>
            <w:vAlign w:val="center"/>
          </w:tcPr>
          <w:p w:rsidR="004B02D0" w:rsidRDefault="00D074AE">
            <w:pPr>
              <w:jc w:val="center"/>
            </w:pPr>
            <w:r>
              <w:rPr>
                <w:color w:val="000000"/>
                <w:kern w:val="0"/>
                <w:sz w:val="24"/>
                <w:szCs w:val="24"/>
              </w:rPr>
              <w:t>科达利</w:t>
            </w:r>
          </w:p>
        </w:tc>
        <w:tc>
          <w:tcPr>
            <w:tcW w:w="1701" w:type="dxa"/>
            <w:vAlign w:val="center"/>
          </w:tcPr>
          <w:p w:rsidR="004B02D0" w:rsidRDefault="00D074AE">
            <w:pPr>
              <w:jc w:val="right"/>
            </w:pPr>
            <w:r>
              <w:rPr>
                <w:color w:val="000000"/>
                <w:kern w:val="0"/>
                <w:sz w:val="24"/>
                <w:szCs w:val="24"/>
              </w:rPr>
              <w:t>1,368,788</w:t>
            </w:r>
          </w:p>
        </w:tc>
        <w:tc>
          <w:tcPr>
            <w:tcW w:w="1984" w:type="dxa"/>
            <w:vAlign w:val="center"/>
          </w:tcPr>
          <w:p w:rsidR="004B02D0" w:rsidRDefault="00D074AE">
            <w:pPr>
              <w:jc w:val="right"/>
            </w:pPr>
            <w:r>
              <w:rPr>
                <w:color w:val="000000"/>
                <w:kern w:val="0"/>
                <w:sz w:val="24"/>
                <w:szCs w:val="24"/>
              </w:rPr>
              <w:t>44,074,973.60</w:t>
            </w:r>
          </w:p>
        </w:tc>
        <w:tc>
          <w:tcPr>
            <w:tcW w:w="1559" w:type="dxa"/>
            <w:vAlign w:val="center"/>
          </w:tcPr>
          <w:p w:rsidR="004B02D0" w:rsidRDefault="00D074AE">
            <w:pPr>
              <w:jc w:val="right"/>
            </w:pPr>
            <w:r>
              <w:rPr>
                <w:color w:val="000000"/>
                <w:kern w:val="0"/>
                <w:sz w:val="24"/>
                <w:szCs w:val="24"/>
              </w:rPr>
              <w:t>4.82</w:t>
            </w:r>
          </w:p>
        </w:tc>
      </w:tr>
      <w:tr w:rsidR="004B02D0">
        <w:tc>
          <w:tcPr>
            <w:tcW w:w="851" w:type="dxa"/>
            <w:vAlign w:val="center"/>
          </w:tcPr>
          <w:p w:rsidR="004B02D0" w:rsidRDefault="00D074AE">
            <w:pPr>
              <w:jc w:val="center"/>
            </w:pPr>
            <w:r>
              <w:rPr>
                <w:color w:val="000000"/>
                <w:kern w:val="0"/>
                <w:sz w:val="24"/>
                <w:szCs w:val="24"/>
              </w:rPr>
              <w:t>5</w:t>
            </w:r>
          </w:p>
        </w:tc>
        <w:tc>
          <w:tcPr>
            <w:tcW w:w="1276" w:type="dxa"/>
            <w:vAlign w:val="center"/>
          </w:tcPr>
          <w:p w:rsidR="004B02D0" w:rsidRDefault="00D074AE">
            <w:pPr>
              <w:jc w:val="center"/>
            </w:pPr>
            <w:r>
              <w:rPr>
                <w:color w:val="000000"/>
                <w:kern w:val="0"/>
                <w:sz w:val="24"/>
                <w:szCs w:val="24"/>
              </w:rPr>
              <w:t>300496</w:t>
            </w:r>
          </w:p>
        </w:tc>
        <w:tc>
          <w:tcPr>
            <w:tcW w:w="1418" w:type="dxa"/>
            <w:vAlign w:val="center"/>
          </w:tcPr>
          <w:p w:rsidR="004B02D0" w:rsidRDefault="00D074AE">
            <w:pPr>
              <w:jc w:val="center"/>
            </w:pPr>
            <w:r>
              <w:rPr>
                <w:color w:val="000000"/>
                <w:kern w:val="0"/>
                <w:sz w:val="24"/>
                <w:szCs w:val="24"/>
              </w:rPr>
              <w:t>中科创达</w:t>
            </w:r>
          </w:p>
        </w:tc>
        <w:tc>
          <w:tcPr>
            <w:tcW w:w="1701" w:type="dxa"/>
            <w:vAlign w:val="center"/>
          </w:tcPr>
          <w:p w:rsidR="004B02D0" w:rsidRDefault="00D074AE">
            <w:pPr>
              <w:jc w:val="right"/>
            </w:pPr>
            <w:r>
              <w:rPr>
                <w:color w:val="000000"/>
                <w:kern w:val="0"/>
                <w:sz w:val="24"/>
                <w:szCs w:val="24"/>
              </w:rPr>
              <w:t>1,196,798</w:t>
            </w:r>
          </w:p>
        </w:tc>
        <w:tc>
          <w:tcPr>
            <w:tcW w:w="1984" w:type="dxa"/>
            <w:vAlign w:val="center"/>
          </w:tcPr>
          <w:p w:rsidR="004B02D0" w:rsidRDefault="00D074AE">
            <w:pPr>
              <w:jc w:val="right"/>
            </w:pPr>
            <w:r>
              <w:rPr>
                <w:color w:val="000000"/>
                <w:kern w:val="0"/>
                <w:sz w:val="24"/>
                <w:szCs w:val="24"/>
              </w:rPr>
              <w:t>43,683,127.00</w:t>
            </w:r>
          </w:p>
        </w:tc>
        <w:tc>
          <w:tcPr>
            <w:tcW w:w="1559" w:type="dxa"/>
            <w:vAlign w:val="center"/>
          </w:tcPr>
          <w:p w:rsidR="004B02D0" w:rsidRDefault="00D074AE">
            <w:pPr>
              <w:jc w:val="right"/>
            </w:pPr>
            <w:r>
              <w:rPr>
                <w:color w:val="000000"/>
                <w:kern w:val="0"/>
                <w:sz w:val="24"/>
                <w:szCs w:val="24"/>
              </w:rPr>
              <w:t>4.78</w:t>
            </w:r>
          </w:p>
        </w:tc>
      </w:tr>
      <w:tr w:rsidR="004B02D0">
        <w:tc>
          <w:tcPr>
            <w:tcW w:w="851" w:type="dxa"/>
            <w:vAlign w:val="center"/>
          </w:tcPr>
          <w:p w:rsidR="004B02D0" w:rsidRDefault="00D074AE">
            <w:pPr>
              <w:jc w:val="center"/>
            </w:pPr>
            <w:r>
              <w:rPr>
                <w:color w:val="000000"/>
                <w:kern w:val="0"/>
                <w:sz w:val="24"/>
                <w:szCs w:val="24"/>
              </w:rPr>
              <w:t>6</w:t>
            </w:r>
          </w:p>
        </w:tc>
        <w:tc>
          <w:tcPr>
            <w:tcW w:w="1276" w:type="dxa"/>
            <w:vAlign w:val="center"/>
          </w:tcPr>
          <w:p w:rsidR="004B02D0" w:rsidRDefault="00D074AE">
            <w:pPr>
              <w:jc w:val="center"/>
            </w:pPr>
            <w:r>
              <w:rPr>
                <w:color w:val="000000"/>
                <w:kern w:val="0"/>
                <w:sz w:val="24"/>
                <w:szCs w:val="24"/>
              </w:rPr>
              <w:t>002812</w:t>
            </w:r>
          </w:p>
        </w:tc>
        <w:tc>
          <w:tcPr>
            <w:tcW w:w="1418" w:type="dxa"/>
            <w:vAlign w:val="center"/>
          </w:tcPr>
          <w:p w:rsidR="004B02D0" w:rsidRDefault="00D074AE">
            <w:pPr>
              <w:jc w:val="center"/>
            </w:pPr>
            <w:r>
              <w:rPr>
                <w:color w:val="000000"/>
                <w:kern w:val="0"/>
                <w:sz w:val="24"/>
                <w:szCs w:val="24"/>
              </w:rPr>
              <w:t>恩捷股份</w:t>
            </w:r>
          </w:p>
        </w:tc>
        <w:tc>
          <w:tcPr>
            <w:tcW w:w="1701" w:type="dxa"/>
            <w:vAlign w:val="center"/>
          </w:tcPr>
          <w:p w:rsidR="004B02D0" w:rsidRDefault="00D074AE">
            <w:pPr>
              <w:jc w:val="right"/>
            </w:pPr>
            <w:r>
              <w:rPr>
                <w:color w:val="000000"/>
                <w:kern w:val="0"/>
                <w:sz w:val="24"/>
                <w:szCs w:val="24"/>
              </w:rPr>
              <w:t>1,175,844</w:t>
            </w:r>
          </w:p>
        </w:tc>
        <w:tc>
          <w:tcPr>
            <w:tcW w:w="1984" w:type="dxa"/>
            <w:vAlign w:val="center"/>
          </w:tcPr>
          <w:p w:rsidR="004B02D0" w:rsidRDefault="00D074AE">
            <w:pPr>
              <w:jc w:val="right"/>
            </w:pPr>
            <w:r>
              <w:rPr>
                <w:color w:val="000000"/>
                <w:kern w:val="0"/>
                <w:sz w:val="24"/>
                <w:szCs w:val="24"/>
              </w:rPr>
              <w:t>39,214,397.40</w:t>
            </w:r>
          </w:p>
        </w:tc>
        <w:tc>
          <w:tcPr>
            <w:tcW w:w="1559" w:type="dxa"/>
            <w:vAlign w:val="center"/>
          </w:tcPr>
          <w:p w:rsidR="004B02D0" w:rsidRDefault="00D074AE">
            <w:pPr>
              <w:jc w:val="right"/>
            </w:pPr>
            <w:r>
              <w:rPr>
                <w:color w:val="000000"/>
                <w:kern w:val="0"/>
                <w:sz w:val="24"/>
                <w:szCs w:val="24"/>
              </w:rPr>
              <w:t>4.29</w:t>
            </w:r>
          </w:p>
        </w:tc>
      </w:tr>
      <w:tr w:rsidR="004B02D0">
        <w:tc>
          <w:tcPr>
            <w:tcW w:w="851" w:type="dxa"/>
            <w:vAlign w:val="center"/>
          </w:tcPr>
          <w:p w:rsidR="004B02D0" w:rsidRDefault="00D074AE">
            <w:pPr>
              <w:jc w:val="center"/>
            </w:pPr>
            <w:r>
              <w:rPr>
                <w:color w:val="000000"/>
                <w:kern w:val="0"/>
                <w:sz w:val="24"/>
                <w:szCs w:val="24"/>
              </w:rPr>
              <w:t>7</w:t>
            </w:r>
          </w:p>
        </w:tc>
        <w:tc>
          <w:tcPr>
            <w:tcW w:w="1276" w:type="dxa"/>
            <w:vAlign w:val="center"/>
          </w:tcPr>
          <w:p w:rsidR="004B02D0" w:rsidRDefault="00D074AE">
            <w:pPr>
              <w:jc w:val="center"/>
            </w:pPr>
            <w:r>
              <w:rPr>
                <w:color w:val="000000"/>
                <w:kern w:val="0"/>
                <w:sz w:val="24"/>
                <w:szCs w:val="24"/>
              </w:rPr>
              <w:t>03888</w:t>
            </w:r>
          </w:p>
        </w:tc>
        <w:tc>
          <w:tcPr>
            <w:tcW w:w="1418" w:type="dxa"/>
            <w:vAlign w:val="center"/>
          </w:tcPr>
          <w:p w:rsidR="004B02D0" w:rsidRDefault="00D074AE">
            <w:pPr>
              <w:jc w:val="center"/>
            </w:pPr>
            <w:r>
              <w:rPr>
                <w:color w:val="000000"/>
                <w:kern w:val="0"/>
                <w:sz w:val="24"/>
                <w:szCs w:val="24"/>
              </w:rPr>
              <w:t>金山软件</w:t>
            </w:r>
          </w:p>
        </w:tc>
        <w:tc>
          <w:tcPr>
            <w:tcW w:w="1701" w:type="dxa"/>
            <w:vAlign w:val="center"/>
          </w:tcPr>
          <w:p w:rsidR="004B02D0" w:rsidRDefault="00D074AE">
            <w:pPr>
              <w:jc w:val="right"/>
            </w:pPr>
            <w:r>
              <w:rPr>
                <w:color w:val="000000"/>
                <w:kern w:val="0"/>
                <w:sz w:val="24"/>
                <w:szCs w:val="24"/>
              </w:rPr>
              <w:t>2,558,000</w:t>
            </w:r>
          </w:p>
        </w:tc>
        <w:tc>
          <w:tcPr>
            <w:tcW w:w="1984" w:type="dxa"/>
            <w:vAlign w:val="center"/>
          </w:tcPr>
          <w:p w:rsidR="004B02D0" w:rsidRDefault="00D074AE">
            <w:pPr>
              <w:jc w:val="right"/>
            </w:pPr>
            <w:r>
              <w:rPr>
                <w:color w:val="000000"/>
                <w:kern w:val="0"/>
                <w:sz w:val="24"/>
                <w:szCs w:val="24"/>
              </w:rPr>
              <w:t>38,394,163.89</w:t>
            </w:r>
          </w:p>
        </w:tc>
        <w:tc>
          <w:tcPr>
            <w:tcW w:w="1559" w:type="dxa"/>
            <w:vAlign w:val="center"/>
          </w:tcPr>
          <w:p w:rsidR="004B02D0" w:rsidRDefault="00D074AE">
            <w:pPr>
              <w:jc w:val="right"/>
            </w:pPr>
            <w:r>
              <w:rPr>
                <w:color w:val="000000"/>
                <w:kern w:val="0"/>
                <w:sz w:val="24"/>
                <w:szCs w:val="24"/>
              </w:rPr>
              <w:t>4.20</w:t>
            </w:r>
          </w:p>
        </w:tc>
      </w:tr>
      <w:tr w:rsidR="004B02D0">
        <w:tc>
          <w:tcPr>
            <w:tcW w:w="851" w:type="dxa"/>
            <w:vAlign w:val="center"/>
          </w:tcPr>
          <w:p w:rsidR="004B02D0" w:rsidRDefault="00D074AE">
            <w:pPr>
              <w:jc w:val="center"/>
            </w:pPr>
            <w:r>
              <w:rPr>
                <w:color w:val="000000"/>
                <w:kern w:val="0"/>
                <w:sz w:val="24"/>
                <w:szCs w:val="24"/>
              </w:rPr>
              <w:t>8</w:t>
            </w:r>
          </w:p>
        </w:tc>
        <w:tc>
          <w:tcPr>
            <w:tcW w:w="1276" w:type="dxa"/>
            <w:vAlign w:val="center"/>
          </w:tcPr>
          <w:p w:rsidR="004B02D0" w:rsidRDefault="00D074AE">
            <w:pPr>
              <w:jc w:val="center"/>
            </w:pPr>
            <w:r>
              <w:rPr>
                <w:color w:val="000000"/>
                <w:kern w:val="0"/>
                <w:sz w:val="24"/>
                <w:szCs w:val="24"/>
              </w:rPr>
              <w:t>300037</w:t>
            </w:r>
          </w:p>
        </w:tc>
        <w:tc>
          <w:tcPr>
            <w:tcW w:w="1418" w:type="dxa"/>
            <w:vAlign w:val="center"/>
          </w:tcPr>
          <w:p w:rsidR="004B02D0" w:rsidRDefault="00D074AE">
            <w:pPr>
              <w:jc w:val="center"/>
            </w:pPr>
            <w:r>
              <w:rPr>
                <w:color w:val="000000"/>
                <w:kern w:val="0"/>
                <w:sz w:val="24"/>
                <w:szCs w:val="24"/>
              </w:rPr>
              <w:t>新宙邦</w:t>
            </w:r>
          </w:p>
        </w:tc>
        <w:tc>
          <w:tcPr>
            <w:tcW w:w="1701" w:type="dxa"/>
            <w:vAlign w:val="center"/>
          </w:tcPr>
          <w:p w:rsidR="004B02D0" w:rsidRDefault="00D074AE">
            <w:pPr>
              <w:jc w:val="right"/>
            </w:pPr>
            <w:r>
              <w:rPr>
                <w:color w:val="000000"/>
                <w:kern w:val="0"/>
                <w:sz w:val="24"/>
                <w:szCs w:val="24"/>
              </w:rPr>
              <w:t>966,002</w:t>
            </w:r>
          </w:p>
        </w:tc>
        <w:tc>
          <w:tcPr>
            <w:tcW w:w="1984" w:type="dxa"/>
            <w:vAlign w:val="center"/>
          </w:tcPr>
          <w:p w:rsidR="004B02D0" w:rsidRDefault="00D074AE">
            <w:pPr>
              <w:jc w:val="right"/>
            </w:pPr>
            <w:r>
              <w:rPr>
                <w:color w:val="000000"/>
                <w:kern w:val="0"/>
                <w:sz w:val="24"/>
                <w:szCs w:val="24"/>
              </w:rPr>
              <w:t>24,459,170.64</w:t>
            </w:r>
          </w:p>
        </w:tc>
        <w:tc>
          <w:tcPr>
            <w:tcW w:w="1559" w:type="dxa"/>
            <w:vAlign w:val="center"/>
          </w:tcPr>
          <w:p w:rsidR="004B02D0" w:rsidRDefault="00D074AE">
            <w:pPr>
              <w:jc w:val="right"/>
            </w:pPr>
            <w:r>
              <w:rPr>
                <w:color w:val="000000"/>
                <w:kern w:val="0"/>
                <w:sz w:val="24"/>
                <w:szCs w:val="24"/>
              </w:rPr>
              <w:t>2.68</w:t>
            </w:r>
          </w:p>
        </w:tc>
      </w:tr>
      <w:tr w:rsidR="004B02D0">
        <w:tc>
          <w:tcPr>
            <w:tcW w:w="851" w:type="dxa"/>
            <w:vAlign w:val="center"/>
          </w:tcPr>
          <w:p w:rsidR="004B02D0" w:rsidRDefault="00D074AE">
            <w:pPr>
              <w:jc w:val="center"/>
            </w:pPr>
            <w:r>
              <w:rPr>
                <w:color w:val="000000"/>
                <w:kern w:val="0"/>
                <w:sz w:val="24"/>
                <w:szCs w:val="24"/>
              </w:rPr>
              <w:t>9</w:t>
            </w:r>
          </w:p>
        </w:tc>
        <w:tc>
          <w:tcPr>
            <w:tcW w:w="1276" w:type="dxa"/>
            <w:vAlign w:val="center"/>
          </w:tcPr>
          <w:p w:rsidR="004B02D0" w:rsidRDefault="00D074AE">
            <w:pPr>
              <w:jc w:val="center"/>
            </w:pPr>
            <w:r>
              <w:rPr>
                <w:color w:val="000000"/>
                <w:kern w:val="0"/>
                <w:sz w:val="24"/>
                <w:szCs w:val="24"/>
              </w:rPr>
              <w:t>300661</w:t>
            </w:r>
          </w:p>
        </w:tc>
        <w:tc>
          <w:tcPr>
            <w:tcW w:w="1418" w:type="dxa"/>
            <w:vAlign w:val="center"/>
          </w:tcPr>
          <w:p w:rsidR="004B02D0" w:rsidRDefault="00D074AE">
            <w:pPr>
              <w:jc w:val="center"/>
            </w:pPr>
            <w:r>
              <w:rPr>
                <w:color w:val="000000"/>
                <w:kern w:val="0"/>
                <w:sz w:val="24"/>
                <w:szCs w:val="24"/>
              </w:rPr>
              <w:t>圣邦股份</w:t>
            </w:r>
          </w:p>
        </w:tc>
        <w:tc>
          <w:tcPr>
            <w:tcW w:w="1701" w:type="dxa"/>
            <w:vAlign w:val="center"/>
          </w:tcPr>
          <w:p w:rsidR="004B02D0" w:rsidRDefault="00D074AE">
            <w:pPr>
              <w:jc w:val="right"/>
            </w:pPr>
            <w:r>
              <w:rPr>
                <w:color w:val="000000"/>
                <w:kern w:val="0"/>
                <w:sz w:val="24"/>
                <w:szCs w:val="24"/>
              </w:rPr>
              <w:t>124,769</w:t>
            </w:r>
          </w:p>
        </w:tc>
        <w:tc>
          <w:tcPr>
            <w:tcW w:w="1984" w:type="dxa"/>
            <w:vAlign w:val="center"/>
          </w:tcPr>
          <w:p w:rsidR="004B02D0" w:rsidRDefault="00D074AE">
            <w:pPr>
              <w:jc w:val="right"/>
            </w:pPr>
            <w:r>
              <w:rPr>
                <w:color w:val="000000"/>
                <w:kern w:val="0"/>
                <w:sz w:val="24"/>
                <w:szCs w:val="24"/>
              </w:rPr>
              <w:t>21,401,626.57</w:t>
            </w:r>
          </w:p>
        </w:tc>
        <w:tc>
          <w:tcPr>
            <w:tcW w:w="1559" w:type="dxa"/>
            <w:vAlign w:val="center"/>
          </w:tcPr>
          <w:p w:rsidR="004B02D0" w:rsidRDefault="00D074AE">
            <w:pPr>
              <w:jc w:val="right"/>
            </w:pPr>
            <w:r>
              <w:rPr>
                <w:color w:val="000000"/>
                <w:kern w:val="0"/>
                <w:sz w:val="24"/>
                <w:szCs w:val="24"/>
              </w:rPr>
              <w:t>2.34</w:t>
            </w:r>
          </w:p>
        </w:tc>
      </w:tr>
      <w:tr w:rsidR="004B02D0">
        <w:tc>
          <w:tcPr>
            <w:tcW w:w="851" w:type="dxa"/>
            <w:vAlign w:val="center"/>
          </w:tcPr>
          <w:p w:rsidR="004B02D0" w:rsidRDefault="00D074AE">
            <w:pPr>
              <w:jc w:val="center"/>
            </w:pPr>
            <w:r>
              <w:rPr>
                <w:color w:val="000000"/>
                <w:kern w:val="0"/>
                <w:sz w:val="24"/>
                <w:szCs w:val="24"/>
              </w:rPr>
              <w:t>10</w:t>
            </w:r>
          </w:p>
        </w:tc>
        <w:tc>
          <w:tcPr>
            <w:tcW w:w="1276" w:type="dxa"/>
            <w:vAlign w:val="center"/>
          </w:tcPr>
          <w:p w:rsidR="004B02D0" w:rsidRDefault="00D074AE">
            <w:pPr>
              <w:jc w:val="center"/>
            </w:pPr>
            <w:r>
              <w:rPr>
                <w:color w:val="000000"/>
                <w:kern w:val="0"/>
                <w:sz w:val="24"/>
                <w:szCs w:val="24"/>
              </w:rPr>
              <w:t>00268</w:t>
            </w:r>
          </w:p>
        </w:tc>
        <w:tc>
          <w:tcPr>
            <w:tcW w:w="1418" w:type="dxa"/>
            <w:vAlign w:val="center"/>
          </w:tcPr>
          <w:p w:rsidR="004B02D0" w:rsidRDefault="00D074AE">
            <w:pPr>
              <w:jc w:val="center"/>
            </w:pPr>
            <w:r>
              <w:rPr>
                <w:color w:val="000000"/>
                <w:kern w:val="0"/>
                <w:sz w:val="24"/>
                <w:szCs w:val="24"/>
              </w:rPr>
              <w:t>金蝶国际</w:t>
            </w:r>
          </w:p>
        </w:tc>
        <w:tc>
          <w:tcPr>
            <w:tcW w:w="1701" w:type="dxa"/>
            <w:vAlign w:val="center"/>
          </w:tcPr>
          <w:p w:rsidR="004B02D0" w:rsidRDefault="00D074AE">
            <w:pPr>
              <w:jc w:val="right"/>
            </w:pPr>
            <w:r>
              <w:rPr>
                <w:color w:val="000000"/>
                <w:kern w:val="0"/>
                <w:sz w:val="24"/>
                <w:szCs w:val="24"/>
              </w:rPr>
              <w:t>2,785,000</w:t>
            </w:r>
          </w:p>
        </w:tc>
        <w:tc>
          <w:tcPr>
            <w:tcW w:w="1984" w:type="dxa"/>
            <w:vAlign w:val="center"/>
          </w:tcPr>
          <w:p w:rsidR="004B02D0" w:rsidRDefault="00D074AE">
            <w:pPr>
              <w:jc w:val="right"/>
            </w:pPr>
            <w:r>
              <w:rPr>
                <w:color w:val="000000"/>
                <w:kern w:val="0"/>
                <w:sz w:val="24"/>
                <w:szCs w:val="24"/>
              </w:rPr>
              <w:t>20,749,928.24</w:t>
            </w:r>
          </w:p>
        </w:tc>
        <w:tc>
          <w:tcPr>
            <w:tcW w:w="1559" w:type="dxa"/>
            <w:vAlign w:val="center"/>
          </w:tcPr>
          <w:p w:rsidR="004B02D0" w:rsidRDefault="00D074AE">
            <w:pPr>
              <w:jc w:val="right"/>
            </w:pPr>
            <w:r>
              <w:rPr>
                <w:color w:val="000000"/>
                <w:kern w:val="0"/>
                <w:sz w:val="24"/>
                <w:szCs w:val="24"/>
              </w:rPr>
              <w:t>2.27</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p w:rsidR="00750D48" w:rsidRPr="00232B03" w:rsidRDefault="00CA4677" w:rsidP="00403A06">
      <w:pPr>
        <w:spacing w:line="360" w:lineRule="auto"/>
        <w:ind w:firstLineChars="200" w:firstLine="480"/>
        <w:rPr>
          <w:color w:val="000000"/>
          <w:sz w:val="24"/>
          <w:szCs w:val="24"/>
        </w:rPr>
      </w:pPr>
      <w:r w:rsidRPr="00403A06">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140,222.47</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42,853.28</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183,075.75</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988,540,350.68</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140,760,897.68</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847,779,453.00</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rsidR="004B02D0" w:rsidRDefault="00D074AE">
      <w:pPr>
        <w:spacing w:line="360" w:lineRule="auto"/>
        <w:ind w:firstLineChars="200" w:firstLine="480"/>
        <w:rPr>
          <w:color w:val="000000"/>
          <w:sz w:val="24"/>
          <w:szCs w:val="24"/>
        </w:rPr>
      </w:pPr>
      <w:r>
        <w:rPr>
          <w:color w:val="000000"/>
          <w:sz w:val="24"/>
          <w:szCs w:val="24"/>
        </w:rPr>
        <w:t>1.</w:t>
      </w:r>
      <w:r>
        <w:rPr>
          <w:color w:val="000000"/>
          <w:sz w:val="24"/>
          <w:szCs w:val="24"/>
        </w:rPr>
        <w:t>中国证监会准予易方达科技创新混合型证券投资基金注册的文件；</w:t>
      </w:r>
    </w:p>
    <w:p w:rsidR="004B02D0" w:rsidRDefault="00D074AE">
      <w:pPr>
        <w:spacing w:line="360" w:lineRule="auto"/>
        <w:ind w:firstLineChars="200" w:firstLine="480"/>
        <w:rPr>
          <w:color w:val="000000"/>
          <w:sz w:val="24"/>
          <w:szCs w:val="24"/>
        </w:rPr>
      </w:pPr>
      <w:r>
        <w:rPr>
          <w:color w:val="000000"/>
          <w:sz w:val="24"/>
          <w:szCs w:val="24"/>
        </w:rPr>
        <w:t>2.</w:t>
      </w:r>
      <w:r>
        <w:rPr>
          <w:color w:val="000000"/>
          <w:sz w:val="24"/>
          <w:szCs w:val="24"/>
        </w:rPr>
        <w:t>《易方达科技创新混合型证券投资基金基金合同》；</w:t>
      </w:r>
    </w:p>
    <w:p w:rsidR="004B02D0" w:rsidRDefault="00D074AE">
      <w:pPr>
        <w:spacing w:line="360" w:lineRule="auto"/>
        <w:ind w:firstLineChars="200" w:firstLine="480"/>
        <w:rPr>
          <w:color w:val="000000"/>
          <w:sz w:val="24"/>
          <w:szCs w:val="24"/>
        </w:rPr>
      </w:pPr>
      <w:r>
        <w:rPr>
          <w:color w:val="000000"/>
          <w:sz w:val="24"/>
          <w:szCs w:val="24"/>
        </w:rPr>
        <w:t>3.</w:t>
      </w:r>
      <w:r>
        <w:rPr>
          <w:color w:val="000000"/>
          <w:sz w:val="24"/>
          <w:szCs w:val="24"/>
        </w:rPr>
        <w:t>《易方达科技创新混合型证券投资基金托管协议》；</w:t>
      </w:r>
    </w:p>
    <w:p w:rsidR="004B02D0" w:rsidRDefault="00D074AE">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D074AE">
      <w:rPr>
        <w:rStyle w:val="a7"/>
        <w:noProof/>
      </w:rPr>
      <w:t>1</w:t>
    </w:r>
    <w:r>
      <w:rPr>
        <w:rStyle w:val="a7"/>
      </w:rPr>
      <w:fldChar w:fldCharType="end"/>
    </w:r>
    <w:r>
      <w:rPr>
        <w:rStyle w:val="a7"/>
        <w:rFonts w:hint="eastAsia"/>
      </w:rPr>
      <w:t>页共</w:t>
    </w:r>
    <w:r w:rsidR="00D074AE">
      <w:fldChar w:fldCharType="begin"/>
    </w:r>
    <w:r w:rsidR="00D074AE">
      <w:instrText xml:space="preserve"> NUMPAGES  \* Arabic  \* MERGEFORMAT </w:instrText>
    </w:r>
    <w:r w:rsidR="00D074AE">
      <w:fldChar w:fldCharType="separate"/>
    </w:r>
    <w:r w:rsidR="00D074AE" w:rsidRPr="00D074AE">
      <w:rPr>
        <w:rStyle w:val="a7"/>
        <w:noProof/>
      </w:rPr>
      <w:t>3</w:t>
    </w:r>
    <w:r w:rsidR="00D074AE">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D074AE">
      <w:rPr>
        <w:rStyle w:val="a7"/>
        <w:noProof/>
      </w:rPr>
      <w:t>11</w:t>
    </w:r>
    <w:r>
      <w:rPr>
        <w:rStyle w:val="a7"/>
      </w:rPr>
      <w:fldChar w:fldCharType="end"/>
    </w:r>
    <w:r>
      <w:rPr>
        <w:rStyle w:val="a7"/>
        <w:rFonts w:hint="eastAsia"/>
      </w:rPr>
      <w:t>页共</w:t>
    </w:r>
    <w:fldSimple w:instr=" NUMPAGES  \* Arabic  \* MERGEFORMAT ">
      <w:r w:rsidR="00D074AE" w:rsidRPr="00D074AE">
        <w:rPr>
          <w:rStyle w:val="a7"/>
          <w:noProof/>
        </w:rPr>
        <w:t>11</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易方达科技创新混合型证券投资基金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02D0"/>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074AE"/>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5410C-9EA4-45B8-8917-522FD9C58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914</Words>
  <Characters>5212</Characters>
  <Application>Microsoft Office Word</Application>
  <DocSecurity>0</DocSecurity>
  <Lines>43</Lines>
  <Paragraphs>12</Paragraphs>
  <ScaleCrop>false</ScaleCrop>
  <Company/>
  <LinksUpToDate>false</LinksUpToDate>
  <CharactersWithSpaces>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2019-10-16T13:56:00Z</cp:lastPrinted>
  <dcterms:created xsi:type="dcterms:W3CDTF">2012-10-16T06:07:00Z</dcterms:created>
  <dcterms:modified xsi:type="dcterms:W3CDTF">2019-10-16T13:56:00Z</dcterms:modified>
</cp:coreProperties>
</file>