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6DD" w:rsidRPr="0078105B" w:rsidRDefault="00F016DD" w:rsidP="009A2283">
      <w:pPr>
        <w:autoSpaceDE w:val="0"/>
        <w:autoSpaceDN w:val="0"/>
        <w:adjustRightInd w:val="0"/>
        <w:spacing w:line="360" w:lineRule="auto"/>
        <w:jc w:val="left"/>
        <w:rPr>
          <w:rFonts w:ascii="宋体" w:cs="Arial"/>
          <w:color w:val="000000"/>
          <w:kern w:val="0"/>
          <w:sz w:val="24"/>
        </w:rPr>
      </w:pPr>
      <w:bookmarkStart w:id="0" w:name="_GoBack"/>
      <w:bookmarkEnd w:id="0"/>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FC13C8">
      <w:pPr>
        <w:spacing w:line="360" w:lineRule="auto"/>
        <w:jc w:val="center"/>
        <w:rPr>
          <w:rFonts w:ascii="宋体" w:hAnsi="宋体"/>
          <w:b/>
          <w:sz w:val="36"/>
          <w:szCs w:val="36"/>
        </w:rPr>
      </w:pPr>
      <w:r w:rsidRPr="0078105B">
        <w:rPr>
          <w:rFonts w:ascii="宋体" w:hAnsi="宋体"/>
          <w:b/>
          <w:sz w:val="36"/>
          <w:szCs w:val="36"/>
        </w:rPr>
        <w:t>易方达中债1-3年国开行债券指数证券投资基金</w:t>
      </w:r>
    </w:p>
    <w:p w:rsidR="00F016DD" w:rsidRPr="0078105B" w:rsidRDefault="00F016DD" w:rsidP="00FC13C8">
      <w:pPr>
        <w:spacing w:line="360" w:lineRule="auto"/>
        <w:jc w:val="center"/>
        <w:rPr>
          <w:rFonts w:ascii="宋体" w:hAnsi="宋体"/>
          <w:b/>
          <w:sz w:val="36"/>
          <w:szCs w:val="36"/>
        </w:rPr>
      </w:pPr>
      <w:r w:rsidRPr="0078105B">
        <w:rPr>
          <w:rFonts w:ascii="宋体" w:hAnsi="宋体"/>
          <w:b/>
          <w:sz w:val="36"/>
          <w:szCs w:val="36"/>
        </w:rPr>
        <w:t>2019年第3季度报告</w:t>
      </w:r>
    </w:p>
    <w:p w:rsidR="00F016DD" w:rsidRPr="00DA451D" w:rsidRDefault="00F016DD" w:rsidP="00FC13C8">
      <w:pPr>
        <w:spacing w:line="360" w:lineRule="auto"/>
        <w:jc w:val="center"/>
        <w:rPr>
          <w:rFonts w:ascii="宋体" w:hAnsi="宋体"/>
          <w:b/>
          <w:sz w:val="24"/>
        </w:rPr>
      </w:pPr>
      <w:r w:rsidRPr="00DA451D">
        <w:rPr>
          <w:rFonts w:ascii="宋体" w:hAnsi="宋体"/>
          <w:b/>
          <w:sz w:val="24"/>
        </w:rPr>
        <w:t>2019年9月30日</w:t>
      </w: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E27360">
      <w:pPr>
        <w:spacing w:line="360" w:lineRule="auto"/>
        <w:jc w:val="center"/>
        <w:rPr>
          <w:rFonts w:ascii="宋体"/>
          <w:b/>
          <w:color w:val="000000"/>
          <w:sz w:val="24"/>
        </w:rPr>
      </w:pPr>
    </w:p>
    <w:p w:rsidR="00F016DD" w:rsidRPr="0078105B" w:rsidRDefault="00F016DD" w:rsidP="00E27360">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rPr>
          <w:rFonts w:ascii="宋体"/>
          <w:b/>
          <w:color w:val="000000"/>
          <w:sz w:val="24"/>
        </w:rPr>
      </w:pPr>
    </w:p>
    <w:p w:rsidR="00F016DD" w:rsidRPr="0078105B" w:rsidRDefault="00F016DD" w:rsidP="00174038">
      <w:pPr>
        <w:spacing w:line="360" w:lineRule="auto"/>
        <w:ind w:firstLineChars="900" w:firstLine="2168"/>
        <w:rPr>
          <w:rFonts w:ascii="宋体" w:hAnsi="宋体"/>
          <w:b/>
          <w:color w:val="000000"/>
          <w:sz w:val="24"/>
        </w:rPr>
      </w:pPr>
      <w:r w:rsidRPr="0078105B">
        <w:rPr>
          <w:rFonts w:ascii="宋体" w:hAnsi="宋体" w:hint="eastAsia"/>
          <w:b/>
          <w:color w:val="000000"/>
          <w:sz w:val="24"/>
        </w:rPr>
        <w:t>基金管理人：</w:t>
      </w:r>
      <w:r w:rsidRPr="0078105B">
        <w:rPr>
          <w:rFonts w:ascii="宋体" w:hAnsi="宋体"/>
          <w:b/>
          <w:color w:val="000000"/>
          <w:sz w:val="24"/>
        </w:rPr>
        <w:t>易方达基金管理有限公司</w:t>
      </w:r>
    </w:p>
    <w:p w:rsidR="00F016DD" w:rsidRPr="0078105B" w:rsidRDefault="00F016DD" w:rsidP="00174038">
      <w:pPr>
        <w:spacing w:line="360" w:lineRule="auto"/>
        <w:ind w:firstLineChars="900" w:firstLine="2168"/>
        <w:rPr>
          <w:rFonts w:ascii="宋体" w:hAnsi="宋体"/>
          <w:b/>
          <w:color w:val="000000"/>
          <w:sz w:val="24"/>
        </w:rPr>
      </w:pPr>
      <w:r w:rsidRPr="0078105B">
        <w:rPr>
          <w:rFonts w:ascii="宋体" w:hAnsi="宋体" w:hint="eastAsia"/>
          <w:b/>
          <w:color w:val="000000"/>
          <w:sz w:val="24"/>
        </w:rPr>
        <w:t>基金托管人：</w:t>
      </w:r>
      <w:r w:rsidRPr="0078105B">
        <w:rPr>
          <w:rFonts w:ascii="宋体" w:hAnsi="宋体"/>
          <w:b/>
          <w:color w:val="000000"/>
          <w:sz w:val="24"/>
        </w:rPr>
        <w:t>中国银行股份有限公司</w:t>
      </w:r>
    </w:p>
    <w:p w:rsidR="00F016DD" w:rsidRPr="0078105B" w:rsidRDefault="00F016DD" w:rsidP="00174038">
      <w:pPr>
        <w:spacing w:line="360" w:lineRule="auto"/>
        <w:ind w:firstLineChars="900" w:firstLine="2168"/>
        <w:rPr>
          <w:rFonts w:ascii="宋体"/>
          <w:sz w:val="24"/>
        </w:rPr>
        <w:sectPr w:rsidR="00F016DD" w:rsidRPr="0078105B" w:rsidSect="00F7094A">
          <w:headerReference w:type="default" r:id="rId7"/>
          <w:footerReference w:type="default" r:id="rId8"/>
          <w:pgSz w:w="11926" w:h="15840"/>
          <w:pgMar w:top="1418" w:right="1418" w:bottom="851" w:left="1418" w:header="851" w:footer="992" w:gutter="0"/>
          <w:cols w:space="720"/>
          <w:noEndnote/>
        </w:sectPr>
      </w:pPr>
      <w:r w:rsidRPr="0078105B">
        <w:rPr>
          <w:rFonts w:ascii="宋体" w:hAnsi="宋体" w:hint="eastAsia"/>
          <w:b/>
          <w:color w:val="000000"/>
          <w:sz w:val="24"/>
        </w:rPr>
        <w:t>报告送出日期：</w:t>
      </w:r>
      <w:r w:rsidRPr="0078105B">
        <w:rPr>
          <w:rFonts w:ascii="宋体" w:hAnsi="宋体"/>
          <w:b/>
          <w:color w:val="000000"/>
          <w:sz w:val="24"/>
        </w:rPr>
        <w:t>二〇一九年十月二十四日</w:t>
      </w:r>
    </w:p>
    <w:p w:rsidR="00F016DD" w:rsidRPr="0078105B" w:rsidRDefault="00F016DD" w:rsidP="00B54884">
      <w:pPr>
        <w:pStyle w:val="1"/>
        <w:spacing w:beforeLines="100" w:before="312" w:afterLines="100" w:after="312" w:line="360" w:lineRule="auto"/>
        <w:jc w:val="center"/>
        <w:rPr>
          <w:rFonts w:ascii="宋体" w:cs="Arial"/>
          <w:b w:val="0"/>
          <w:color w:val="000000"/>
          <w:kern w:val="0"/>
          <w:sz w:val="24"/>
          <w:szCs w:val="24"/>
        </w:rPr>
      </w:pPr>
      <w:r w:rsidRPr="0078105B">
        <w:rPr>
          <w:rFonts w:ascii="宋体" w:hAnsi="宋体" w:cs="Arial" w:hint="eastAsia"/>
          <w:color w:val="000000"/>
          <w:kern w:val="0"/>
          <w:sz w:val="24"/>
          <w:szCs w:val="24"/>
        </w:rPr>
        <w:lastRenderedPageBreak/>
        <w:t>§</w:t>
      </w:r>
      <w:r w:rsidRPr="0078105B">
        <w:rPr>
          <w:rFonts w:ascii="宋体" w:hAnsi="宋体" w:cs="Arial"/>
          <w:color w:val="000000"/>
          <w:kern w:val="0"/>
          <w:sz w:val="24"/>
          <w:szCs w:val="24"/>
        </w:rPr>
        <w:t xml:space="preserve">1  </w:t>
      </w:r>
      <w:r w:rsidRPr="0078105B">
        <w:rPr>
          <w:rFonts w:ascii="宋体" w:hAnsi="宋体" w:cs="Arial" w:hint="eastAsia"/>
          <w:color w:val="000000"/>
          <w:kern w:val="0"/>
          <w:sz w:val="24"/>
          <w:szCs w:val="24"/>
        </w:rPr>
        <w:t>重要提示</w:t>
      </w:r>
    </w:p>
    <w:p w:rsidR="002354AD" w:rsidRDefault="00DE7037">
      <w:pPr>
        <w:spacing w:line="360" w:lineRule="auto"/>
        <w:ind w:firstLineChars="200" w:firstLine="480"/>
        <w:rPr>
          <w:color w:val="000000"/>
          <w:sz w:val="24"/>
        </w:rPr>
      </w:pPr>
      <w:r>
        <w:rPr>
          <w:color w:val="000000"/>
          <w:sz w:val="24"/>
        </w:rPr>
        <w:t>基金管理人的董事会及董事保证本报告所载资料不存在虚假记载、误导性陈述或重大遗漏，并对其内容的真实性、准确性和完整性承担个别及连带责任。</w:t>
      </w:r>
      <w:r>
        <w:rPr>
          <w:color w:val="000000"/>
          <w:sz w:val="24"/>
        </w:rPr>
        <w:t xml:space="preserve"> </w:t>
      </w:r>
    </w:p>
    <w:p w:rsidR="002354AD" w:rsidRDefault="00DE7037">
      <w:pPr>
        <w:spacing w:line="360" w:lineRule="auto"/>
        <w:ind w:firstLineChars="200" w:firstLine="480"/>
        <w:rPr>
          <w:color w:val="000000"/>
          <w:sz w:val="24"/>
        </w:rPr>
      </w:pPr>
      <w:r>
        <w:rPr>
          <w:color w:val="000000"/>
          <w:sz w:val="24"/>
        </w:rPr>
        <w:t>基金托管人中国银行股份有限公司根据本基金合同规定，于</w:t>
      </w:r>
      <w:r>
        <w:rPr>
          <w:color w:val="000000"/>
          <w:sz w:val="24"/>
        </w:rPr>
        <w:t>2019</w:t>
      </w:r>
      <w:r>
        <w:rPr>
          <w:color w:val="000000"/>
          <w:sz w:val="24"/>
        </w:rPr>
        <w:t>年</w:t>
      </w:r>
      <w:r>
        <w:rPr>
          <w:color w:val="000000"/>
          <w:sz w:val="24"/>
        </w:rPr>
        <w:t>10</w:t>
      </w:r>
      <w:r>
        <w:rPr>
          <w:color w:val="000000"/>
          <w:sz w:val="24"/>
        </w:rPr>
        <w:t>月</w:t>
      </w:r>
      <w:r>
        <w:rPr>
          <w:color w:val="000000"/>
          <w:sz w:val="24"/>
        </w:rPr>
        <w:t>22</w:t>
      </w:r>
      <w:r>
        <w:rPr>
          <w:color w:val="000000"/>
          <w:sz w:val="24"/>
        </w:rPr>
        <w:t>日复核了本报告中的财务指标、净值表现和投资组合报告等内容，保证复核内容不存在虚假记载、误导性陈述或者重大遗漏。</w:t>
      </w:r>
      <w:r>
        <w:rPr>
          <w:color w:val="000000"/>
          <w:sz w:val="24"/>
        </w:rPr>
        <w:t xml:space="preserve"> </w:t>
      </w:r>
    </w:p>
    <w:p w:rsidR="002354AD" w:rsidRDefault="00DE7037">
      <w:pPr>
        <w:spacing w:line="360"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2354AD" w:rsidRDefault="00DE7037">
      <w:pPr>
        <w:spacing w:line="360" w:lineRule="auto"/>
        <w:ind w:firstLineChars="200" w:firstLine="480"/>
        <w:rPr>
          <w:color w:val="000000"/>
          <w:sz w:val="24"/>
        </w:rPr>
      </w:pPr>
      <w:r>
        <w:rPr>
          <w:color w:val="000000"/>
          <w:sz w:val="24"/>
        </w:rPr>
        <w:t>基金的过往业绩并不代表其未来表现。投资有风险，</w:t>
      </w:r>
      <w:r>
        <w:rPr>
          <w:color w:val="000000"/>
          <w:sz w:val="24"/>
        </w:rPr>
        <w:t>投资者在作出投资决策前应仔细阅读本基金的招募说明书。</w:t>
      </w:r>
      <w:r>
        <w:rPr>
          <w:color w:val="000000"/>
          <w:sz w:val="24"/>
        </w:rPr>
        <w:t xml:space="preserve"> </w:t>
      </w:r>
    </w:p>
    <w:p w:rsidR="002354AD" w:rsidRDefault="00DE7037">
      <w:pPr>
        <w:spacing w:line="360" w:lineRule="auto"/>
        <w:ind w:firstLineChars="200" w:firstLine="480"/>
        <w:rPr>
          <w:color w:val="000000"/>
          <w:sz w:val="24"/>
        </w:rPr>
      </w:pPr>
      <w:r>
        <w:rPr>
          <w:color w:val="000000"/>
          <w:sz w:val="24"/>
        </w:rPr>
        <w:t>本报告中财务资料未经审计。</w:t>
      </w:r>
    </w:p>
    <w:p w:rsidR="00F016DD" w:rsidRPr="00C30CFF" w:rsidRDefault="00F016DD" w:rsidP="00C30CFF">
      <w:pPr>
        <w:spacing w:line="360" w:lineRule="auto"/>
        <w:ind w:firstLineChars="200" w:firstLine="480"/>
        <w:rPr>
          <w:color w:val="000000"/>
          <w:sz w:val="24"/>
        </w:rPr>
      </w:pPr>
      <w:r w:rsidRPr="00C30CFF">
        <w:rPr>
          <w:color w:val="000000"/>
          <w:sz w:val="24"/>
        </w:rPr>
        <w:t>本报告期自</w:t>
      </w:r>
      <w:r w:rsidRPr="00C30CFF">
        <w:rPr>
          <w:color w:val="000000"/>
          <w:sz w:val="24"/>
        </w:rPr>
        <w:t>2019</w:t>
      </w:r>
      <w:r w:rsidRPr="00C30CFF">
        <w:rPr>
          <w:color w:val="000000"/>
          <w:sz w:val="24"/>
        </w:rPr>
        <w:t>年</w:t>
      </w:r>
      <w:r w:rsidRPr="00C30CFF">
        <w:rPr>
          <w:color w:val="000000"/>
          <w:sz w:val="24"/>
        </w:rPr>
        <w:t>7</w:t>
      </w:r>
      <w:r w:rsidRPr="00C30CFF">
        <w:rPr>
          <w:color w:val="000000"/>
          <w:sz w:val="24"/>
        </w:rPr>
        <w:t>月</w:t>
      </w:r>
      <w:r w:rsidRPr="00C30CFF">
        <w:rPr>
          <w:color w:val="000000"/>
          <w:sz w:val="24"/>
        </w:rPr>
        <w:t>1</w:t>
      </w:r>
      <w:r w:rsidRPr="00C30CFF">
        <w:rPr>
          <w:color w:val="000000"/>
          <w:sz w:val="24"/>
        </w:rPr>
        <w:t>日起至</w:t>
      </w:r>
      <w:r w:rsidRPr="00C30CFF">
        <w:rPr>
          <w:color w:val="000000"/>
          <w:sz w:val="24"/>
        </w:rPr>
        <w:t>9</w:t>
      </w:r>
      <w:r w:rsidRPr="00C30CFF">
        <w:rPr>
          <w:color w:val="000000"/>
          <w:sz w:val="24"/>
        </w:rPr>
        <w:t>月</w:t>
      </w:r>
      <w:r w:rsidRPr="00C30CFF">
        <w:rPr>
          <w:color w:val="000000"/>
          <w:sz w:val="24"/>
        </w:rPr>
        <w:t>30</w:t>
      </w:r>
      <w:r w:rsidRPr="00C30CFF">
        <w:rPr>
          <w:color w:val="000000"/>
          <w:sz w:val="24"/>
        </w:rPr>
        <w:t>日止。</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2  </w:t>
      </w:r>
      <w:r w:rsidRPr="0078105B">
        <w:rPr>
          <w:rFonts w:ascii="宋体" w:hAnsi="宋体" w:cs="Arial"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2739"/>
        <w:gridCol w:w="2790"/>
      </w:tblGrid>
      <w:tr w:rsidR="00F016DD" w:rsidRPr="0078105B" w:rsidTr="00414367">
        <w:tc>
          <w:tcPr>
            <w:tcW w:w="2835" w:type="dxa"/>
          </w:tcPr>
          <w:p w:rsidR="00F016DD" w:rsidRPr="00C30CFF" w:rsidRDefault="00F016DD" w:rsidP="00E205AA">
            <w:pPr>
              <w:adjustRightInd w:val="0"/>
              <w:spacing w:before="29" w:line="360" w:lineRule="auto"/>
              <w:ind w:left="17"/>
              <w:jc w:val="left"/>
              <w:rPr>
                <w:kern w:val="0"/>
                <w:sz w:val="24"/>
              </w:rPr>
            </w:pPr>
            <w:r w:rsidRPr="00C30CFF">
              <w:rPr>
                <w:kern w:val="0"/>
                <w:sz w:val="24"/>
              </w:rPr>
              <w:t>基金简称</w:t>
            </w:r>
          </w:p>
        </w:tc>
        <w:tc>
          <w:tcPr>
            <w:tcW w:w="5529" w:type="dxa"/>
            <w:gridSpan w:val="2"/>
          </w:tcPr>
          <w:p w:rsidR="00F016DD" w:rsidRPr="00C30CFF" w:rsidRDefault="00F016DD" w:rsidP="00E205AA">
            <w:pPr>
              <w:adjustRightInd w:val="0"/>
              <w:spacing w:before="29" w:line="360" w:lineRule="auto"/>
              <w:ind w:left="17"/>
              <w:jc w:val="left"/>
              <w:rPr>
                <w:color w:val="000000"/>
                <w:kern w:val="0"/>
                <w:sz w:val="24"/>
              </w:rPr>
            </w:pPr>
            <w:r w:rsidRPr="00C30CFF">
              <w:rPr>
                <w:color w:val="000000"/>
                <w:kern w:val="0"/>
                <w:sz w:val="24"/>
              </w:rPr>
              <w:t>易方达中债</w:t>
            </w:r>
            <w:r w:rsidRPr="00C30CFF">
              <w:rPr>
                <w:color w:val="000000"/>
                <w:kern w:val="0"/>
                <w:sz w:val="24"/>
              </w:rPr>
              <w:t>1-3</w:t>
            </w:r>
            <w:r w:rsidRPr="00C30CFF">
              <w:rPr>
                <w:color w:val="000000"/>
                <w:kern w:val="0"/>
                <w:sz w:val="24"/>
              </w:rPr>
              <w:t>年国开行债券指数</w:t>
            </w:r>
          </w:p>
        </w:tc>
      </w:tr>
      <w:tr w:rsidR="00F016DD" w:rsidRPr="0078105B" w:rsidTr="00414367">
        <w:tc>
          <w:tcPr>
            <w:tcW w:w="2835" w:type="dxa"/>
          </w:tcPr>
          <w:p w:rsidR="00F016DD" w:rsidRPr="00C30CFF" w:rsidRDefault="00F016DD" w:rsidP="00E205AA">
            <w:pPr>
              <w:adjustRightInd w:val="0"/>
              <w:spacing w:before="29" w:line="360" w:lineRule="auto"/>
              <w:ind w:left="17"/>
              <w:jc w:val="left"/>
              <w:rPr>
                <w:kern w:val="0"/>
                <w:sz w:val="24"/>
              </w:rPr>
            </w:pPr>
            <w:r w:rsidRPr="00C30CFF">
              <w:rPr>
                <w:kern w:val="0"/>
                <w:sz w:val="24"/>
              </w:rPr>
              <w:t>基金主代码</w:t>
            </w:r>
          </w:p>
        </w:tc>
        <w:tc>
          <w:tcPr>
            <w:tcW w:w="5529" w:type="dxa"/>
            <w:gridSpan w:val="2"/>
          </w:tcPr>
          <w:p w:rsidR="00F016DD" w:rsidRPr="00C30CFF" w:rsidRDefault="00F016DD" w:rsidP="00E205AA">
            <w:pPr>
              <w:adjustRightInd w:val="0"/>
              <w:spacing w:before="29" w:line="360" w:lineRule="auto"/>
              <w:ind w:left="17"/>
              <w:jc w:val="left"/>
              <w:rPr>
                <w:color w:val="000000"/>
                <w:kern w:val="0"/>
                <w:sz w:val="24"/>
              </w:rPr>
            </w:pPr>
            <w:r w:rsidRPr="00C30CFF">
              <w:rPr>
                <w:color w:val="000000"/>
                <w:kern w:val="0"/>
                <w:sz w:val="24"/>
              </w:rPr>
              <w:t>007169</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基金运作方式</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契约型开放式</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基金合同生效日</w:t>
            </w:r>
          </w:p>
        </w:tc>
        <w:tc>
          <w:tcPr>
            <w:tcW w:w="5529" w:type="dxa"/>
            <w:gridSpan w:val="2"/>
          </w:tcPr>
          <w:p w:rsidR="00F016DD" w:rsidRPr="00C30CFF" w:rsidRDefault="00F016DD" w:rsidP="00121533">
            <w:pPr>
              <w:adjustRightInd w:val="0"/>
              <w:spacing w:before="29" w:line="360" w:lineRule="auto"/>
              <w:ind w:left="17"/>
              <w:jc w:val="left"/>
              <w:rPr>
                <w:color w:val="000000"/>
                <w:kern w:val="0"/>
                <w:sz w:val="24"/>
              </w:rPr>
            </w:pPr>
            <w:r w:rsidRPr="00C30CFF">
              <w:rPr>
                <w:color w:val="000000"/>
                <w:kern w:val="0"/>
                <w:sz w:val="24"/>
              </w:rPr>
              <w:t>2019</w:t>
            </w:r>
            <w:r w:rsidRPr="00C30CFF">
              <w:rPr>
                <w:color w:val="000000"/>
                <w:kern w:val="0"/>
                <w:sz w:val="24"/>
              </w:rPr>
              <w:t>年</w:t>
            </w:r>
            <w:r w:rsidRPr="00C30CFF">
              <w:rPr>
                <w:color w:val="000000"/>
                <w:kern w:val="0"/>
                <w:sz w:val="24"/>
              </w:rPr>
              <w:t>4</w:t>
            </w:r>
            <w:r w:rsidRPr="00C30CFF">
              <w:rPr>
                <w:color w:val="000000"/>
                <w:kern w:val="0"/>
                <w:sz w:val="24"/>
              </w:rPr>
              <w:t>月</w:t>
            </w:r>
            <w:r w:rsidRPr="00C30CFF">
              <w:rPr>
                <w:color w:val="000000"/>
                <w:kern w:val="0"/>
                <w:sz w:val="24"/>
              </w:rPr>
              <w:t>29</w:t>
            </w:r>
            <w:r w:rsidRPr="00C30CFF">
              <w:rPr>
                <w:color w:val="000000"/>
                <w:kern w:val="0"/>
                <w:sz w:val="24"/>
              </w:rPr>
              <w:t>日</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报告期末基金份额总额</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4,422,291,649.75</w:t>
            </w:r>
            <w:r w:rsidRPr="00C30CFF">
              <w:rPr>
                <w:color w:val="000000"/>
                <w:kern w:val="0"/>
                <w:sz w:val="24"/>
              </w:rPr>
              <w:t>份</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投资目标</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本基金通过指数化投资，争取获得与标的指数相似的总回报，追求跟踪偏离度及跟踪误差的最小化。</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投资策略</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为指数基金，主要采用抽样复制和动态最优化的方法，投资于标的指数中具有代表性和流动性的成份券和备选成份券，或选择非成份券作为替代，构造与标的指数风险收益特征相似的资产组合，以实现对标的指数的有效跟踪。本基金根据债券的剩余期限将标的指数成份券划分层级，按照分层抽样</w:t>
            </w:r>
            <w:r w:rsidRPr="00C30CFF">
              <w:rPr>
                <w:color w:val="000000"/>
                <w:kern w:val="0"/>
                <w:sz w:val="24"/>
              </w:rPr>
              <w:lastRenderedPageBreak/>
              <w:t>的原理，确定各层级成份券及其权重。分层完成后，本基金在各层级成份券内利用动态最优化等方法筛选出与各层级总体风险收益特征（例如久期、凸性等）相近的且流动性较好（主要考虑发行规模、日均成交金额、期间成交天数等指标）的个券组合，或部分投资于非成份券，以更好的实现对标的指数的跟踪。</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lastRenderedPageBreak/>
              <w:t>业绩比较基准</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中债</w:t>
            </w:r>
            <w:r w:rsidRPr="00C30CFF">
              <w:rPr>
                <w:color w:val="000000"/>
                <w:kern w:val="0"/>
                <w:sz w:val="24"/>
              </w:rPr>
              <w:t>-1-3</w:t>
            </w:r>
            <w:r w:rsidRPr="00C30CFF">
              <w:rPr>
                <w:color w:val="000000"/>
                <w:kern w:val="0"/>
                <w:sz w:val="24"/>
              </w:rPr>
              <w:t>年国开行债券指数收益率</w:t>
            </w:r>
            <w:r w:rsidRPr="00C30CFF">
              <w:rPr>
                <w:color w:val="000000"/>
                <w:kern w:val="0"/>
                <w:sz w:val="24"/>
              </w:rPr>
              <w:t>×95%+</w:t>
            </w:r>
            <w:r w:rsidRPr="00C30CFF">
              <w:rPr>
                <w:color w:val="000000"/>
                <w:kern w:val="0"/>
                <w:sz w:val="24"/>
              </w:rPr>
              <w:t>银行活期存款利率</w:t>
            </w:r>
            <w:r w:rsidRPr="00C30CFF">
              <w:rPr>
                <w:color w:val="000000"/>
                <w:kern w:val="0"/>
                <w:sz w:val="24"/>
              </w:rPr>
              <w:t>(</w:t>
            </w:r>
            <w:r w:rsidRPr="00C30CFF">
              <w:rPr>
                <w:color w:val="000000"/>
                <w:kern w:val="0"/>
                <w:sz w:val="24"/>
              </w:rPr>
              <w:t>税后</w:t>
            </w:r>
            <w:r w:rsidRPr="00C30CFF">
              <w:rPr>
                <w:color w:val="000000"/>
                <w:kern w:val="0"/>
                <w:sz w:val="24"/>
              </w:rPr>
              <w:t>)×5%</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风险收益特征</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本基金为债券型基金，其长期平均风险和预期收益率理论上低于股票型基金、混合型基金，高于货币市场基金。</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基金管理人</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易方达基金管理有限公司</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基金托管人</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中国银行股份有限公司</w:t>
            </w:r>
          </w:p>
        </w:tc>
      </w:tr>
      <w:tr w:rsidR="00F016DD" w:rsidRPr="0078105B" w:rsidTr="00414367">
        <w:tc>
          <w:tcPr>
            <w:tcW w:w="2835" w:type="dxa"/>
          </w:tcPr>
          <w:p w:rsidR="00F016DD" w:rsidRPr="00C30CFF" w:rsidRDefault="00F016DD" w:rsidP="003F13CD">
            <w:pPr>
              <w:adjustRightInd w:val="0"/>
              <w:spacing w:before="29" w:line="360" w:lineRule="auto"/>
              <w:ind w:left="17"/>
              <w:jc w:val="left"/>
              <w:rPr>
                <w:kern w:val="0"/>
                <w:sz w:val="24"/>
              </w:rPr>
            </w:pPr>
            <w:r w:rsidRPr="00C30CFF">
              <w:rPr>
                <w:color w:val="000000"/>
                <w:sz w:val="24"/>
              </w:rPr>
              <w:t>下属</w:t>
            </w:r>
            <w:r w:rsidR="003F13CD" w:rsidRPr="00C30CFF">
              <w:rPr>
                <w:color w:val="000000"/>
                <w:sz w:val="24"/>
              </w:rPr>
              <w:t>分</w:t>
            </w:r>
            <w:r w:rsidRPr="00C30CFF">
              <w:rPr>
                <w:color w:val="000000"/>
                <w:sz w:val="24"/>
              </w:rPr>
              <w:t>级基金的基金简称</w:t>
            </w:r>
          </w:p>
        </w:tc>
        <w:tc>
          <w:tcPr>
            <w:tcW w:w="2739" w:type="dxa"/>
            <w:vAlign w:val="center"/>
          </w:tcPr>
          <w:p w:rsidR="00F016DD" w:rsidRPr="00C30CFF" w:rsidRDefault="00F016DD" w:rsidP="00950413">
            <w:pPr>
              <w:jc w:val="left"/>
              <w:rPr>
                <w:sz w:val="24"/>
              </w:rPr>
            </w:pPr>
            <w:r w:rsidRPr="00C30CFF">
              <w:rPr>
                <w:sz w:val="24"/>
              </w:rPr>
              <w:t>易方达中债</w:t>
            </w:r>
            <w:r w:rsidRPr="00C30CFF">
              <w:rPr>
                <w:sz w:val="24"/>
              </w:rPr>
              <w:t>1-3</w:t>
            </w:r>
            <w:r w:rsidRPr="00C30CFF">
              <w:rPr>
                <w:sz w:val="24"/>
              </w:rPr>
              <w:t>年国开行债券指数</w:t>
            </w:r>
            <w:r w:rsidRPr="00C30CFF">
              <w:rPr>
                <w:sz w:val="24"/>
              </w:rPr>
              <w:t>A</w:t>
            </w:r>
          </w:p>
        </w:tc>
        <w:tc>
          <w:tcPr>
            <w:tcW w:w="2790" w:type="dxa"/>
            <w:vAlign w:val="center"/>
          </w:tcPr>
          <w:p w:rsidR="00F016DD" w:rsidRPr="00C30CFF" w:rsidRDefault="00F016DD" w:rsidP="00950413">
            <w:pPr>
              <w:jc w:val="left"/>
              <w:rPr>
                <w:sz w:val="24"/>
              </w:rPr>
            </w:pPr>
            <w:r w:rsidRPr="00C30CFF">
              <w:rPr>
                <w:sz w:val="24"/>
              </w:rPr>
              <w:t>易方达中债</w:t>
            </w:r>
            <w:r w:rsidRPr="00C30CFF">
              <w:rPr>
                <w:sz w:val="24"/>
              </w:rPr>
              <w:t>1-3</w:t>
            </w:r>
            <w:r w:rsidRPr="00C30CFF">
              <w:rPr>
                <w:sz w:val="24"/>
              </w:rPr>
              <w:t>年国开行债券指数</w:t>
            </w:r>
            <w:r w:rsidRPr="00C30CFF">
              <w:rPr>
                <w:sz w:val="24"/>
              </w:rPr>
              <w:t>C</w:t>
            </w:r>
          </w:p>
        </w:tc>
      </w:tr>
      <w:tr w:rsidR="00F016DD" w:rsidRPr="004D29A9" w:rsidTr="00414367">
        <w:tc>
          <w:tcPr>
            <w:tcW w:w="2835" w:type="dxa"/>
          </w:tcPr>
          <w:p w:rsidR="00F016DD" w:rsidRPr="00C30CFF" w:rsidRDefault="00F016DD" w:rsidP="003F13CD">
            <w:pPr>
              <w:adjustRightInd w:val="0"/>
              <w:spacing w:before="29" w:line="360" w:lineRule="auto"/>
              <w:ind w:left="17"/>
              <w:jc w:val="left"/>
              <w:rPr>
                <w:color w:val="000000"/>
                <w:sz w:val="24"/>
              </w:rPr>
            </w:pPr>
            <w:r w:rsidRPr="00C30CFF">
              <w:rPr>
                <w:color w:val="000000"/>
                <w:sz w:val="24"/>
              </w:rPr>
              <w:t>下属</w:t>
            </w:r>
            <w:r w:rsidR="003F13CD" w:rsidRPr="00C30CFF">
              <w:rPr>
                <w:color w:val="000000"/>
                <w:sz w:val="24"/>
              </w:rPr>
              <w:t>分</w:t>
            </w:r>
            <w:r w:rsidRPr="00C30CFF">
              <w:rPr>
                <w:color w:val="000000"/>
                <w:sz w:val="24"/>
              </w:rPr>
              <w:t>级基金的交易代码</w:t>
            </w:r>
          </w:p>
        </w:tc>
        <w:tc>
          <w:tcPr>
            <w:tcW w:w="2739" w:type="dxa"/>
            <w:vAlign w:val="center"/>
          </w:tcPr>
          <w:p w:rsidR="00F016DD" w:rsidRPr="00C30CFF" w:rsidRDefault="00F016DD" w:rsidP="00950413">
            <w:pPr>
              <w:jc w:val="left"/>
              <w:rPr>
                <w:color w:val="000000"/>
                <w:sz w:val="24"/>
              </w:rPr>
            </w:pPr>
            <w:r w:rsidRPr="00C30CFF">
              <w:rPr>
                <w:color w:val="000000"/>
                <w:sz w:val="24"/>
              </w:rPr>
              <w:t>007169</w:t>
            </w:r>
          </w:p>
        </w:tc>
        <w:tc>
          <w:tcPr>
            <w:tcW w:w="2790" w:type="dxa"/>
            <w:vAlign w:val="center"/>
          </w:tcPr>
          <w:p w:rsidR="00F016DD" w:rsidRPr="00C30CFF" w:rsidRDefault="00F016DD" w:rsidP="00950413">
            <w:pPr>
              <w:jc w:val="left"/>
              <w:rPr>
                <w:color w:val="000000"/>
                <w:sz w:val="24"/>
              </w:rPr>
            </w:pPr>
            <w:r w:rsidRPr="00C30CFF">
              <w:rPr>
                <w:color w:val="000000"/>
                <w:sz w:val="24"/>
              </w:rPr>
              <w:t>007170</w:t>
            </w:r>
          </w:p>
        </w:tc>
      </w:tr>
      <w:tr w:rsidR="00F016DD" w:rsidRPr="0078105B" w:rsidTr="00414367">
        <w:tc>
          <w:tcPr>
            <w:tcW w:w="2835" w:type="dxa"/>
          </w:tcPr>
          <w:p w:rsidR="00F016DD" w:rsidRPr="00C30CFF" w:rsidRDefault="00F016DD" w:rsidP="00162D92">
            <w:pPr>
              <w:adjustRightInd w:val="0"/>
              <w:spacing w:before="29" w:line="360" w:lineRule="auto"/>
              <w:ind w:left="17"/>
              <w:jc w:val="left"/>
              <w:rPr>
                <w:color w:val="000000"/>
                <w:sz w:val="24"/>
              </w:rPr>
            </w:pPr>
            <w:r w:rsidRPr="00C30CFF">
              <w:rPr>
                <w:color w:val="000000"/>
                <w:sz w:val="24"/>
              </w:rPr>
              <w:t>报告期末下属</w:t>
            </w:r>
            <w:r w:rsidR="00162D92" w:rsidRPr="00C30CFF">
              <w:rPr>
                <w:color w:val="000000"/>
                <w:sz w:val="24"/>
              </w:rPr>
              <w:t>分</w:t>
            </w:r>
            <w:r w:rsidRPr="00C30CFF">
              <w:rPr>
                <w:color w:val="000000"/>
                <w:sz w:val="24"/>
              </w:rPr>
              <w:t>级基金的份额总额</w:t>
            </w:r>
          </w:p>
        </w:tc>
        <w:tc>
          <w:tcPr>
            <w:tcW w:w="2739" w:type="dxa"/>
            <w:vAlign w:val="center"/>
          </w:tcPr>
          <w:p w:rsidR="00F016DD" w:rsidRPr="00C30CFF" w:rsidRDefault="00F016DD" w:rsidP="00950413">
            <w:pPr>
              <w:jc w:val="left"/>
              <w:rPr>
                <w:sz w:val="24"/>
              </w:rPr>
            </w:pPr>
            <w:r w:rsidRPr="00C30CFF">
              <w:rPr>
                <w:sz w:val="24"/>
              </w:rPr>
              <w:t>4,415,874,083.95</w:t>
            </w:r>
            <w:r w:rsidRPr="00C30CFF">
              <w:rPr>
                <w:color w:val="000000"/>
                <w:kern w:val="0"/>
                <w:sz w:val="24"/>
              </w:rPr>
              <w:t>份</w:t>
            </w:r>
          </w:p>
        </w:tc>
        <w:tc>
          <w:tcPr>
            <w:tcW w:w="2790" w:type="dxa"/>
            <w:vAlign w:val="center"/>
          </w:tcPr>
          <w:p w:rsidR="00F016DD" w:rsidRPr="00C30CFF" w:rsidRDefault="00F016DD" w:rsidP="00950413">
            <w:pPr>
              <w:jc w:val="left"/>
              <w:rPr>
                <w:sz w:val="24"/>
              </w:rPr>
            </w:pPr>
            <w:r w:rsidRPr="00C30CFF">
              <w:rPr>
                <w:sz w:val="24"/>
              </w:rPr>
              <w:t>6,417,565.80</w:t>
            </w:r>
            <w:r w:rsidRPr="00C30CFF">
              <w:rPr>
                <w:color w:val="000000"/>
                <w:kern w:val="0"/>
                <w:sz w:val="24"/>
              </w:rPr>
              <w:t>份</w:t>
            </w:r>
          </w:p>
        </w:tc>
      </w:tr>
    </w:tbl>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3  </w:t>
      </w:r>
      <w:r w:rsidRPr="0078105B">
        <w:rPr>
          <w:rFonts w:ascii="宋体" w:hAnsi="宋体" w:cs="Arial" w:hint="eastAsia"/>
          <w:color w:val="000000"/>
          <w:kern w:val="0"/>
          <w:sz w:val="24"/>
          <w:szCs w:val="24"/>
        </w:rPr>
        <w:t>主要财务指标和基金净值表现</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3.1 </w:t>
      </w:r>
      <w:r w:rsidRPr="0078105B">
        <w:rPr>
          <w:rFonts w:ascii="宋体" w:hAnsi="宋体" w:cs="Arial" w:hint="eastAsia"/>
          <w:b/>
          <w:color w:val="000000"/>
          <w:kern w:val="0"/>
          <w:sz w:val="24"/>
        </w:rPr>
        <w:t>主要财务指标</w:t>
      </w:r>
    </w:p>
    <w:p w:rsidR="00F016DD" w:rsidRPr="00FA472B" w:rsidRDefault="00F016DD" w:rsidP="00E27360">
      <w:pPr>
        <w:autoSpaceDE w:val="0"/>
        <w:autoSpaceDN w:val="0"/>
        <w:adjustRightInd w:val="0"/>
        <w:spacing w:before="29" w:line="288" w:lineRule="auto"/>
        <w:ind w:left="15" w:right="480"/>
        <w:jc w:val="right"/>
        <w:rPr>
          <w:rFonts w:ascii="宋体" w:hAnsi="宋体" w:cs="Arial"/>
          <w:color w:val="000000"/>
          <w:kern w:val="0"/>
          <w:sz w:val="24"/>
        </w:rPr>
      </w:pPr>
      <w:r w:rsidRPr="00FA472B">
        <w:rPr>
          <w:rFonts w:ascii="宋体" w:hAnsi="宋体" w:cs="Arial" w:hint="eastAsia"/>
          <w:color w:val="000000"/>
          <w:kern w:val="0"/>
          <w:sz w:val="24"/>
        </w:rPr>
        <w:t>单位：人民币元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2481"/>
        <w:gridCol w:w="2481"/>
      </w:tblGrid>
      <w:tr w:rsidR="00F016DD" w:rsidRPr="00FA472B" w:rsidTr="008B5312">
        <w:tc>
          <w:tcPr>
            <w:tcW w:w="3402" w:type="dxa"/>
            <w:vMerge w:val="restart"/>
            <w:vAlign w:val="center"/>
          </w:tcPr>
          <w:p w:rsidR="00F016DD" w:rsidRPr="00FA472B" w:rsidRDefault="00F016DD" w:rsidP="00E205AA">
            <w:pPr>
              <w:adjustRightInd w:val="0"/>
              <w:spacing w:before="29" w:line="360" w:lineRule="auto"/>
              <w:ind w:left="17"/>
              <w:jc w:val="center"/>
              <w:rPr>
                <w:kern w:val="0"/>
                <w:sz w:val="24"/>
              </w:rPr>
            </w:pPr>
            <w:r w:rsidRPr="00FA472B">
              <w:rPr>
                <w:kern w:val="0"/>
                <w:sz w:val="24"/>
              </w:rPr>
              <w:t>主要财务指标</w:t>
            </w:r>
          </w:p>
        </w:tc>
        <w:tc>
          <w:tcPr>
            <w:tcW w:w="4962" w:type="dxa"/>
            <w:gridSpan w:val="2"/>
            <w:vAlign w:val="center"/>
          </w:tcPr>
          <w:p w:rsidR="00F016DD" w:rsidRPr="00FA472B" w:rsidRDefault="00F016DD" w:rsidP="00E205AA">
            <w:pPr>
              <w:adjustRightInd w:val="0"/>
              <w:spacing w:before="29" w:line="360" w:lineRule="auto"/>
              <w:ind w:left="17"/>
              <w:jc w:val="center"/>
              <w:rPr>
                <w:color w:val="000000"/>
                <w:sz w:val="24"/>
              </w:rPr>
            </w:pPr>
            <w:r w:rsidRPr="00FA472B">
              <w:rPr>
                <w:color w:val="000000"/>
                <w:sz w:val="24"/>
              </w:rPr>
              <w:t>报告期</w:t>
            </w:r>
          </w:p>
          <w:p w:rsidR="00F016DD" w:rsidRPr="00FA472B" w:rsidRDefault="00F016DD" w:rsidP="00E205AA">
            <w:pPr>
              <w:adjustRightInd w:val="0"/>
              <w:spacing w:before="29" w:line="360" w:lineRule="auto"/>
              <w:ind w:left="17"/>
              <w:jc w:val="center"/>
              <w:rPr>
                <w:color w:val="000000"/>
                <w:sz w:val="24"/>
              </w:rPr>
            </w:pPr>
            <w:r w:rsidRPr="00FA472B">
              <w:rPr>
                <w:color w:val="000000"/>
                <w:sz w:val="24"/>
              </w:rPr>
              <w:t>(2019</w:t>
            </w:r>
            <w:r w:rsidRPr="00FA472B">
              <w:rPr>
                <w:color w:val="000000"/>
                <w:sz w:val="24"/>
              </w:rPr>
              <w:t>年</w:t>
            </w:r>
            <w:r w:rsidRPr="00FA472B">
              <w:rPr>
                <w:color w:val="000000"/>
                <w:sz w:val="24"/>
              </w:rPr>
              <w:t>7</w:t>
            </w:r>
            <w:r w:rsidRPr="00FA472B">
              <w:rPr>
                <w:color w:val="000000"/>
                <w:sz w:val="24"/>
              </w:rPr>
              <w:t>月</w:t>
            </w:r>
            <w:r w:rsidRPr="00FA472B">
              <w:rPr>
                <w:color w:val="000000"/>
                <w:sz w:val="24"/>
              </w:rPr>
              <w:t>1</w:t>
            </w:r>
            <w:r w:rsidRPr="00FA472B">
              <w:rPr>
                <w:color w:val="000000"/>
                <w:sz w:val="24"/>
              </w:rPr>
              <w:t>日</w:t>
            </w:r>
            <w:r w:rsidRPr="00FA472B">
              <w:rPr>
                <w:color w:val="000000"/>
                <w:sz w:val="24"/>
              </w:rPr>
              <w:t>-2019</w:t>
            </w:r>
            <w:r w:rsidRPr="00FA472B">
              <w:rPr>
                <w:color w:val="000000"/>
                <w:sz w:val="24"/>
              </w:rPr>
              <w:t>年</w:t>
            </w:r>
            <w:r w:rsidRPr="00FA472B">
              <w:rPr>
                <w:color w:val="000000"/>
                <w:sz w:val="24"/>
              </w:rPr>
              <w:t>9</w:t>
            </w:r>
            <w:r w:rsidRPr="00FA472B">
              <w:rPr>
                <w:color w:val="000000"/>
                <w:sz w:val="24"/>
              </w:rPr>
              <w:t>月</w:t>
            </w:r>
            <w:r w:rsidRPr="00FA472B">
              <w:rPr>
                <w:color w:val="000000"/>
                <w:sz w:val="24"/>
              </w:rPr>
              <w:t>30</w:t>
            </w:r>
            <w:r w:rsidRPr="00FA472B">
              <w:rPr>
                <w:color w:val="000000"/>
                <w:sz w:val="24"/>
              </w:rPr>
              <w:t>日</w:t>
            </w:r>
            <w:r w:rsidRPr="00FA472B">
              <w:rPr>
                <w:color w:val="000000"/>
                <w:sz w:val="24"/>
              </w:rPr>
              <w:t>)</w:t>
            </w:r>
          </w:p>
        </w:tc>
      </w:tr>
      <w:tr w:rsidR="00F016DD" w:rsidRPr="00FA472B" w:rsidTr="008B5312">
        <w:tc>
          <w:tcPr>
            <w:tcW w:w="3402" w:type="dxa"/>
            <w:vMerge/>
            <w:vAlign w:val="center"/>
          </w:tcPr>
          <w:p w:rsidR="00F016DD" w:rsidRPr="00FA472B" w:rsidRDefault="00F016DD" w:rsidP="00E205AA">
            <w:pPr>
              <w:adjustRightInd w:val="0"/>
              <w:spacing w:before="29" w:line="360" w:lineRule="auto"/>
              <w:ind w:left="17"/>
              <w:jc w:val="center"/>
              <w:rPr>
                <w:kern w:val="0"/>
                <w:sz w:val="24"/>
              </w:rPr>
            </w:pPr>
          </w:p>
        </w:tc>
        <w:tc>
          <w:tcPr>
            <w:tcW w:w="2481" w:type="dxa"/>
            <w:vAlign w:val="center"/>
          </w:tcPr>
          <w:p w:rsidR="00F016DD" w:rsidRPr="00FA472B" w:rsidRDefault="00F016DD" w:rsidP="00E205AA">
            <w:pPr>
              <w:adjustRightInd w:val="0"/>
              <w:spacing w:before="29" w:line="360" w:lineRule="auto"/>
              <w:ind w:left="17"/>
              <w:jc w:val="center"/>
              <w:rPr>
                <w:color w:val="000000"/>
                <w:sz w:val="24"/>
              </w:rPr>
            </w:pPr>
            <w:r w:rsidRPr="00FA472B">
              <w:rPr>
                <w:sz w:val="24"/>
              </w:rPr>
              <w:t>易方达中债</w:t>
            </w:r>
            <w:r w:rsidRPr="00FA472B">
              <w:rPr>
                <w:sz w:val="24"/>
              </w:rPr>
              <w:t>1-3</w:t>
            </w:r>
            <w:r w:rsidRPr="00FA472B">
              <w:rPr>
                <w:sz w:val="24"/>
              </w:rPr>
              <w:t>年国开行债券指数</w:t>
            </w:r>
            <w:r w:rsidRPr="00FA472B">
              <w:rPr>
                <w:sz w:val="24"/>
              </w:rPr>
              <w:t>A</w:t>
            </w:r>
          </w:p>
        </w:tc>
        <w:tc>
          <w:tcPr>
            <w:tcW w:w="2481" w:type="dxa"/>
            <w:vAlign w:val="center"/>
          </w:tcPr>
          <w:p w:rsidR="00F016DD" w:rsidRPr="00FA472B" w:rsidRDefault="00F016DD" w:rsidP="00E205AA">
            <w:pPr>
              <w:adjustRightInd w:val="0"/>
              <w:spacing w:before="29" w:line="360" w:lineRule="auto"/>
              <w:ind w:left="17"/>
              <w:jc w:val="center"/>
              <w:rPr>
                <w:color w:val="000000"/>
                <w:sz w:val="24"/>
              </w:rPr>
            </w:pPr>
            <w:r w:rsidRPr="00FA472B">
              <w:rPr>
                <w:sz w:val="24"/>
              </w:rPr>
              <w:t>易方达中债</w:t>
            </w:r>
            <w:r w:rsidRPr="00FA472B">
              <w:rPr>
                <w:sz w:val="24"/>
              </w:rPr>
              <w:t>1-3</w:t>
            </w:r>
            <w:r w:rsidRPr="00FA472B">
              <w:rPr>
                <w:sz w:val="24"/>
              </w:rPr>
              <w:t>年国开行债券指数</w:t>
            </w:r>
            <w:r w:rsidRPr="00FA472B">
              <w:rPr>
                <w:sz w:val="24"/>
              </w:rPr>
              <w:t>C</w:t>
            </w:r>
          </w:p>
        </w:tc>
      </w:tr>
      <w:tr w:rsidR="00F016DD" w:rsidRPr="00FA472B" w:rsidTr="00973B57">
        <w:tc>
          <w:tcPr>
            <w:tcW w:w="3402" w:type="dxa"/>
          </w:tcPr>
          <w:p w:rsidR="00F016DD" w:rsidRPr="00FA472B" w:rsidRDefault="00F016DD" w:rsidP="00973B57">
            <w:pPr>
              <w:adjustRightInd w:val="0"/>
              <w:spacing w:before="29" w:line="360" w:lineRule="auto"/>
              <w:ind w:left="17"/>
              <w:rPr>
                <w:kern w:val="0"/>
                <w:sz w:val="24"/>
              </w:rPr>
            </w:pPr>
            <w:r w:rsidRPr="00FA472B">
              <w:rPr>
                <w:kern w:val="0"/>
                <w:sz w:val="24"/>
              </w:rPr>
              <w:lastRenderedPageBreak/>
              <w:t>1.</w:t>
            </w:r>
            <w:r w:rsidRPr="00FA472B">
              <w:rPr>
                <w:kern w:val="0"/>
                <w:sz w:val="24"/>
              </w:rPr>
              <w:t>本期已实现收益</w:t>
            </w:r>
          </w:p>
        </w:tc>
        <w:tc>
          <w:tcPr>
            <w:tcW w:w="2481" w:type="dxa"/>
            <w:vAlign w:val="bottom"/>
          </w:tcPr>
          <w:p w:rsidR="00F016DD" w:rsidRPr="00FA472B" w:rsidRDefault="00F016DD" w:rsidP="00973B57">
            <w:pPr>
              <w:adjustRightInd w:val="0"/>
              <w:spacing w:before="29" w:line="360" w:lineRule="auto"/>
              <w:ind w:left="17"/>
              <w:jc w:val="right"/>
              <w:rPr>
                <w:color w:val="000000"/>
                <w:sz w:val="24"/>
              </w:rPr>
            </w:pPr>
            <w:r w:rsidRPr="00FA472B">
              <w:rPr>
                <w:color w:val="000000"/>
                <w:sz w:val="24"/>
              </w:rPr>
              <w:t>43,030,417.72</w:t>
            </w:r>
          </w:p>
        </w:tc>
        <w:tc>
          <w:tcPr>
            <w:tcW w:w="2481" w:type="dxa"/>
            <w:vAlign w:val="bottom"/>
          </w:tcPr>
          <w:p w:rsidR="00F016DD" w:rsidRPr="00FA472B" w:rsidRDefault="00F016DD" w:rsidP="0037768B">
            <w:pPr>
              <w:adjustRightInd w:val="0"/>
              <w:spacing w:before="29" w:line="360" w:lineRule="auto"/>
              <w:ind w:left="17"/>
              <w:jc w:val="right"/>
              <w:rPr>
                <w:color w:val="000000"/>
                <w:sz w:val="24"/>
              </w:rPr>
            </w:pPr>
            <w:r w:rsidRPr="00FA472B">
              <w:rPr>
                <w:color w:val="000000"/>
                <w:sz w:val="24"/>
              </w:rPr>
              <w:t>40,450.07</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2.</w:t>
            </w:r>
            <w:r w:rsidRPr="00FA472B">
              <w:rPr>
                <w:kern w:val="0"/>
                <w:sz w:val="24"/>
              </w:rPr>
              <w:t>本期利润</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42,653,577.24</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38,399.26</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3.</w:t>
            </w:r>
            <w:r w:rsidRPr="00FA472B">
              <w:rPr>
                <w:kern w:val="0"/>
                <w:sz w:val="24"/>
              </w:rPr>
              <w:t>加权平均基金份额本期利润</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0.0101</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0.0092</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4.</w:t>
            </w:r>
            <w:r w:rsidRPr="00FA472B">
              <w:rPr>
                <w:kern w:val="0"/>
                <w:sz w:val="24"/>
              </w:rPr>
              <w:t>期末基金资产净值</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4,433,004,098.31</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6,444,593.96</w:t>
            </w:r>
          </w:p>
        </w:tc>
      </w:tr>
      <w:tr w:rsidR="00F016DD" w:rsidRPr="00FA472B" w:rsidTr="009A5C1D">
        <w:trPr>
          <w:trHeight w:val="158"/>
        </w:trPr>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5.</w:t>
            </w:r>
            <w:r w:rsidRPr="00FA472B">
              <w:rPr>
                <w:kern w:val="0"/>
                <w:sz w:val="24"/>
              </w:rPr>
              <w:t>期末基金份额净值</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1.0039</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1.0042</w:t>
            </w:r>
          </w:p>
        </w:tc>
      </w:tr>
    </w:tbl>
    <w:p w:rsidR="002354AD" w:rsidRDefault="00DE7037">
      <w:pPr>
        <w:spacing w:line="360" w:lineRule="auto"/>
        <w:ind w:firstLineChars="200" w:firstLine="480"/>
        <w:rPr>
          <w:color w:val="000000"/>
          <w:sz w:val="24"/>
        </w:rPr>
      </w:pPr>
      <w:r>
        <w:rPr>
          <w:color w:val="000000"/>
          <w:sz w:val="24"/>
        </w:rPr>
        <w:t>注：</w:t>
      </w:r>
      <w:r>
        <w:rPr>
          <w:color w:val="000000"/>
          <w:sz w:val="24"/>
        </w:rPr>
        <w:t>1.</w:t>
      </w:r>
      <w:r>
        <w:rPr>
          <w:color w:val="000000"/>
          <w:sz w:val="24"/>
        </w:rPr>
        <w:t>所述基金业绩指标不包括持有人认购或交易基金的各项费用</w:t>
      </w:r>
      <w:r>
        <w:rPr>
          <w:color w:val="000000"/>
          <w:sz w:val="24"/>
        </w:rPr>
        <w:t>,</w:t>
      </w:r>
      <w:r>
        <w:rPr>
          <w:color w:val="000000"/>
          <w:sz w:val="24"/>
        </w:rPr>
        <w:t>计入费用后实际收益水平要低于所列数字。</w:t>
      </w:r>
    </w:p>
    <w:p w:rsidR="00F016DD" w:rsidRPr="00C30CFF" w:rsidRDefault="00F016DD" w:rsidP="00C30CFF">
      <w:pPr>
        <w:spacing w:line="360" w:lineRule="auto"/>
        <w:ind w:firstLineChars="200" w:firstLine="480"/>
        <w:rPr>
          <w:color w:val="000000"/>
          <w:sz w:val="24"/>
        </w:rPr>
      </w:pPr>
      <w:r w:rsidRPr="00C30CFF">
        <w:rPr>
          <w:color w:val="000000"/>
          <w:sz w:val="24"/>
        </w:rPr>
        <w:t>2.</w:t>
      </w:r>
      <w:r w:rsidRPr="00C30CFF">
        <w:rPr>
          <w:color w:val="000000"/>
          <w:sz w:val="24"/>
        </w:rPr>
        <w:t>本期已实现收益指基金本期利息收入、投资收益、其他收入</w:t>
      </w:r>
      <w:r w:rsidRPr="00C30CFF">
        <w:rPr>
          <w:color w:val="000000"/>
          <w:sz w:val="24"/>
        </w:rPr>
        <w:t>(</w:t>
      </w:r>
      <w:r w:rsidRPr="00C30CFF">
        <w:rPr>
          <w:color w:val="000000"/>
          <w:sz w:val="24"/>
        </w:rPr>
        <w:t>不含公允价值变动收益</w:t>
      </w:r>
      <w:r w:rsidRPr="00C30CFF">
        <w:rPr>
          <w:color w:val="000000"/>
          <w:sz w:val="24"/>
        </w:rPr>
        <w:t>)</w:t>
      </w:r>
      <w:r w:rsidRPr="00C30CFF">
        <w:rPr>
          <w:color w:val="000000"/>
          <w:sz w:val="24"/>
        </w:rPr>
        <w:t>扣除相关费用后的余额</w:t>
      </w:r>
      <w:r w:rsidRPr="00C30CFF">
        <w:rPr>
          <w:color w:val="000000"/>
          <w:sz w:val="24"/>
        </w:rPr>
        <w:t>,</w:t>
      </w:r>
      <w:r w:rsidRPr="00C30CFF">
        <w:rPr>
          <w:color w:val="000000"/>
          <w:sz w:val="24"/>
        </w:rPr>
        <w:t>本期利润为本期已实现收益加上本期公允价值变动收益。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3.2 </w:t>
      </w:r>
      <w:r w:rsidRPr="0078105B">
        <w:rPr>
          <w:rFonts w:ascii="宋体" w:hAnsi="宋体" w:cs="Arial" w:hint="eastAsia"/>
          <w:b/>
          <w:color w:val="000000"/>
          <w:kern w:val="0"/>
          <w:sz w:val="24"/>
        </w:rPr>
        <w:t>基金净值表现</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3.2.1</w:t>
      </w:r>
      <w:r w:rsidRPr="0078105B">
        <w:rPr>
          <w:rFonts w:ascii="宋体" w:hAnsi="宋体" w:cs="Arial" w:hint="eastAsia"/>
          <w:b/>
          <w:color w:val="000000"/>
          <w:kern w:val="0"/>
          <w:sz w:val="24"/>
        </w:rPr>
        <w:t>本报告期基金份额净值增长率及其与同期业绩比较基准收益率的比较</w:t>
      </w:r>
    </w:p>
    <w:p w:rsidR="00F016DD" w:rsidRPr="0078105B" w:rsidRDefault="00F016DD" w:rsidP="00174038">
      <w:pPr>
        <w:spacing w:line="360" w:lineRule="auto"/>
        <w:ind w:firstLineChars="150" w:firstLine="361"/>
        <w:rPr>
          <w:rFonts w:ascii="宋体"/>
          <w:b/>
          <w:sz w:val="24"/>
        </w:rPr>
      </w:pPr>
      <w:r w:rsidRPr="0078105B">
        <w:rPr>
          <w:rFonts w:ascii="宋体" w:hAnsi="宋体" w:cs="Arial"/>
          <w:b/>
          <w:color w:val="000000"/>
          <w:kern w:val="0"/>
          <w:sz w:val="24"/>
        </w:rPr>
        <w:t>易方达中债1-3年国开行债券指数A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90"/>
        <w:gridCol w:w="1291"/>
        <w:gridCol w:w="1291"/>
        <w:gridCol w:w="1291"/>
        <w:gridCol w:w="1291"/>
        <w:gridCol w:w="1291"/>
        <w:gridCol w:w="1291"/>
      </w:tblGrid>
      <w:tr w:rsidR="00F016DD" w:rsidRPr="0078105B" w:rsidTr="00414367">
        <w:tc>
          <w:tcPr>
            <w:tcW w:w="1290"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阶段</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净值增长率</w:t>
            </w:r>
            <w:r w:rsidRPr="00414367">
              <w:rPr>
                <w:rFonts w:ascii="宋体" w:hAnsi="宋体" w:cs="宋体" w:hint="eastAsia"/>
                <w:color w:val="000000"/>
                <w:sz w:val="24"/>
              </w:rPr>
              <w:t>①</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净值增长率标准差</w:t>
            </w:r>
            <w:r w:rsidRPr="00414367">
              <w:rPr>
                <w:rFonts w:ascii="宋体" w:hAnsi="宋体" w:cs="宋体" w:hint="eastAsia"/>
                <w:color w:val="000000"/>
                <w:sz w:val="24"/>
              </w:rPr>
              <w:t>②</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业绩比较基准收益率标准差</w:t>
            </w:r>
            <w:r w:rsidRPr="00414367">
              <w:rPr>
                <w:rFonts w:ascii="宋体" w:hAnsi="宋体" w:cs="宋体" w:hint="eastAsia"/>
                <w:color w:val="000000"/>
                <w:sz w:val="24"/>
              </w:rPr>
              <w:t>④</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①</w:t>
            </w:r>
            <w:r w:rsidRPr="00FA472B">
              <w:rPr>
                <w:color w:val="000000"/>
                <w:sz w:val="24"/>
              </w:rPr>
              <w:t>－</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②</w:t>
            </w:r>
            <w:r w:rsidRPr="00FA472B">
              <w:rPr>
                <w:color w:val="000000"/>
                <w:sz w:val="24"/>
              </w:rPr>
              <w:t>－</w:t>
            </w:r>
            <w:r w:rsidRPr="00414367">
              <w:rPr>
                <w:rFonts w:ascii="宋体" w:hAnsi="宋体" w:cs="宋体" w:hint="eastAsia"/>
                <w:color w:val="000000"/>
                <w:sz w:val="24"/>
              </w:rPr>
              <w:t>④</w:t>
            </w:r>
          </w:p>
        </w:tc>
      </w:tr>
      <w:tr w:rsidR="002354AD">
        <w:tc>
          <w:tcPr>
            <w:tcW w:w="1290" w:type="dxa"/>
            <w:vAlign w:val="center"/>
          </w:tcPr>
          <w:p w:rsidR="002354AD" w:rsidRDefault="00DE7037">
            <w:pPr>
              <w:jc w:val="left"/>
            </w:pPr>
            <w:r>
              <w:rPr>
                <w:color w:val="000000"/>
                <w:sz w:val="24"/>
              </w:rPr>
              <w:t>过去三个月</w:t>
            </w:r>
          </w:p>
        </w:tc>
        <w:tc>
          <w:tcPr>
            <w:tcW w:w="1291" w:type="dxa"/>
            <w:vAlign w:val="center"/>
          </w:tcPr>
          <w:p w:rsidR="002354AD" w:rsidRDefault="00DE7037">
            <w:pPr>
              <w:jc w:val="center"/>
            </w:pPr>
            <w:r>
              <w:rPr>
                <w:color w:val="000000"/>
                <w:sz w:val="24"/>
              </w:rPr>
              <w:t>1.01%</w:t>
            </w:r>
          </w:p>
        </w:tc>
        <w:tc>
          <w:tcPr>
            <w:tcW w:w="1291" w:type="dxa"/>
            <w:vAlign w:val="center"/>
          </w:tcPr>
          <w:p w:rsidR="002354AD" w:rsidRDefault="00DE7037">
            <w:pPr>
              <w:jc w:val="center"/>
            </w:pPr>
            <w:r>
              <w:rPr>
                <w:color w:val="000000"/>
                <w:sz w:val="24"/>
              </w:rPr>
              <w:t>0.02%</w:t>
            </w:r>
          </w:p>
        </w:tc>
        <w:tc>
          <w:tcPr>
            <w:tcW w:w="1291" w:type="dxa"/>
            <w:vAlign w:val="center"/>
          </w:tcPr>
          <w:p w:rsidR="002354AD" w:rsidRDefault="00DE7037">
            <w:pPr>
              <w:jc w:val="center"/>
            </w:pPr>
            <w:r>
              <w:rPr>
                <w:color w:val="000000"/>
                <w:sz w:val="24"/>
              </w:rPr>
              <w:t>0.98%</w:t>
            </w:r>
          </w:p>
        </w:tc>
        <w:tc>
          <w:tcPr>
            <w:tcW w:w="1291" w:type="dxa"/>
            <w:vAlign w:val="center"/>
          </w:tcPr>
          <w:p w:rsidR="002354AD" w:rsidRDefault="00DE7037">
            <w:pPr>
              <w:jc w:val="center"/>
            </w:pPr>
            <w:r>
              <w:rPr>
                <w:color w:val="000000"/>
                <w:sz w:val="24"/>
              </w:rPr>
              <w:t>0.01%</w:t>
            </w:r>
          </w:p>
        </w:tc>
        <w:tc>
          <w:tcPr>
            <w:tcW w:w="1291" w:type="dxa"/>
            <w:vAlign w:val="center"/>
          </w:tcPr>
          <w:p w:rsidR="002354AD" w:rsidRDefault="00DE7037">
            <w:pPr>
              <w:jc w:val="center"/>
            </w:pPr>
            <w:r>
              <w:rPr>
                <w:color w:val="000000"/>
                <w:sz w:val="24"/>
              </w:rPr>
              <w:t>0.03%</w:t>
            </w:r>
          </w:p>
        </w:tc>
        <w:tc>
          <w:tcPr>
            <w:tcW w:w="1291" w:type="dxa"/>
            <w:vAlign w:val="center"/>
          </w:tcPr>
          <w:p w:rsidR="002354AD" w:rsidRDefault="00DE7037">
            <w:pPr>
              <w:jc w:val="center"/>
            </w:pPr>
            <w:r>
              <w:rPr>
                <w:color w:val="000000"/>
                <w:sz w:val="24"/>
              </w:rPr>
              <w:t>0.01%</w:t>
            </w:r>
          </w:p>
        </w:tc>
      </w:tr>
    </w:tbl>
    <w:p w:rsidR="00F016DD" w:rsidRPr="0078105B" w:rsidRDefault="00F016DD" w:rsidP="00174038">
      <w:pPr>
        <w:adjustRightInd w:val="0"/>
        <w:spacing w:line="360" w:lineRule="auto"/>
        <w:ind w:firstLineChars="150" w:firstLine="361"/>
        <w:rPr>
          <w:rFonts w:ascii="宋体" w:cs="Arial"/>
          <w:b/>
          <w:color w:val="000000"/>
          <w:kern w:val="0"/>
          <w:sz w:val="24"/>
        </w:rPr>
      </w:pPr>
      <w:r w:rsidRPr="0078105B">
        <w:rPr>
          <w:rFonts w:ascii="宋体" w:hAnsi="宋体" w:cs="Arial"/>
          <w:b/>
          <w:color w:val="000000"/>
          <w:kern w:val="0"/>
          <w:sz w:val="24"/>
        </w:rPr>
        <w:t>易方达中债1-3年国开行债券指数C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90"/>
        <w:gridCol w:w="1291"/>
        <w:gridCol w:w="1291"/>
        <w:gridCol w:w="1291"/>
        <w:gridCol w:w="1291"/>
        <w:gridCol w:w="1291"/>
        <w:gridCol w:w="1291"/>
      </w:tblGrid>
      <w:tr w:rsidR="00F016DD" w:rsidRPr="0078105B" w:rsidTr="00F4518C">
        <w:tc>
          <w:tcPr>
            <w:tcW w:w="1290"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阶段</w:t>
            </w:r>
          </w:p>
        </w:tc>
        <w:tc>
          <w:tcPr>
            <w:tcW w:w="1291" w:type="dxa"/>
            <w:vAlign w:val="center"/>
          </w:tcPr>
          <w:p w:rsidR="00F016DD" w:rsidRPr="00FA472B" w:rsidRDefault="00F016DD" w:rsidP="00F4518C">
            <w:pPr>
              <w:snapToGrid w:val="0"/>
              <w:spacing w:line="288" w:lineRule="auto"/>
              <w:jc w:val="center"/>
              <w:rPr>
                <w:color w:val="000000"/>
                <w:sz w:val="24"/>
                <w:highlight w:val="green"/>
              </w:rPr>
            </w:pPr>
            <w:r w:rsidRPr="00FA472B">
              <w:rPr>
                <w:color w:val="000000"/>
                <w:sz w:val="24"/>
              </w:rPr>
              <w:t>净值增长率</w:t>
            </w:r>
            <w:r w:rsidRPr="00414367">
              <w:rPr>
                <w:rFonts w:ascii="宋体" w:hAnsi="宋体" w:cs="宋体" w:hint="eastAsia"/>
                <w:color w:val="000000"/>
                <w:sz w:val="24"/>
              </w:rPr>
              <w:t>①</w:t>
            </w:r>
          </w:p>
        </w:tc>
        <w:tc>
          <w:tcPr>
            <w:tcW w:w="1291" w:type="dxa"/>
            <w:vAlign w:val="center"/>
          </w:tcPr>
          <w:p w:rsidR="00F016DD" w:rsidRPr="00FA472B" w:rsidRDefault="00F016DD" w:rsidP="00F4518C">
            <w:pPr>
              <w:snapToGrid w:val="0"/>
              <w:spacing w:line="288" w:lineRule="auto"/>
              <w:jc w:val="center"/>
              <w:rPr>
                <w:color w:val="000000"/>
                <w:sz w:val="24"/>
                <w:highlight w:val="green"/>
              </w:rPr>
            </w:pPr>
            <w:r w:rsidRPr="00FA472B">
              <w:rPr>
                <w:color w:val="000000"/>
                <w:sz w:val="24"/>
              </w:rPr>
              <w:t>净值增长率标准差</w:t>
            </w:r>
            <w:r w:rsidRPr="00414367">
              <w:rPr>
                <w:rFonts w:ascii="宋体" w:hAnsi="宋体" w:cs="宋体" w:hint="eastAsia"/>
                <w:color w:val="000000"/>
                <w:sz w:val="24"/>
              </w:rPr>
              <w:t>②</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业绩比较基准收益率标准差</w:t>
            </w:r>
            <w:r w:rsidRPr="00414367">
              <w:rPr>
                <w:rFonts w:ascii="宋体" w:hAnsi="宋体" w:cs="宋体" w:hint="eastAsia"/>
                <w:color w:val="000000"/>
                <w:sz w:val="24"/>
              </w:rPr>
              <w:t>④</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①</w:t>
            </w:r>
            <w:r w:rsidRPr="00FA472B">
              <w:rPr>
                <w:color w:val="000000"/>
                <w:sz w:val="24"/>
              </w:rPr>
              <w:t>－</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②</w:t>
            </w:r>
            <w:r w:rsidRPr="00FA472B">
              <w:rPr>
                <w:color w:val="000000"/>
                <w:sz w:val="24"/>
              </w:rPr>
              <w:t>－</w:t>
            </w:r>
            <w:r w:rsidRPr="00414367">
              <w:rPr>
                <w:rFonts w:ascii="宋体" w:hAnsi="宋体" w:cs="宋体" w:hint="eastAsia"/>
                <w:color w:val="000000"/>
                <w:sz w:val="24"/>
              </w:rPr>
              <w:t>④</w:t>
            </w:r>
          </w:p>
        </w:tc>
      </w:tr>
      <w:tr w:rsidR="002354AD">
        <w:tc>
          <w:tcPr>
            <w:tcW w:w="1290" w:type="dxa"/>
            <w:vAlign w:val="center"/>
          </w:tcPr>
          <w:p w:rsidR="002354AD" w:rsidRDefault="00DE7037">
            <w:pPr>
              <w:jc w:val="left"/>
            </w:pPr>
            <w:r>
              <w:rPr>
                <w:color w:val="000000"/>
                <w:sz w:val="24"/>
              </w:rPr>
              <w:t>过去三个月</w:t>
            </w:r>
          </w:p>
        </w:tc>
        <w:tc>
          <w:tcPr>
            <w:tcW w:w="1291" w:type="dxa"/>
            <w:vAlign w:val="center"/>
          </w:tcPr>
          <w:p w:rsidR="002354AD" w:rsidRDefault="00DE7037">
            <w:pPr>
              <w:jc w:val="center"/>
            </w:pPr>
            <w:r>
              <w:rPr>
                <w:color w:val="000000"/>
                <w:sz w:val="24"/>
              </w:rPr>
              <w:t>0.98%</w:t>
            </w:r>
          </w:p>
        </w:tc>
        <w:tc>
          <w:tcPr>
            <w:tcW w:w="1291" w:type="dxa"/>
            <w:vAlign w:val="center"/>
          </w:tcPr>
          <w:p w:rsidR="002354AD" w:rsidRDefault="00DE7037">
            <w:pPr>
              <w:jc w:val="center"/>
            </w:pPr>
            <w:r>
              <w:rPr>
                <w:color w:val="000000"/>
                <w:sz w:val="24"/>
              </w:rPr>
              <w:t>0.02%</w:t>
            </w:r>
          </w:p>
        </w:tc>
        <w:tc>
          <w:tcPr>
            <w:tcW w:w="1291" w:type="dxa"/>
            <w:vAlign w:val="center"/>
          </w:tcPr>
          <w:p w:rsidR="002354AD" w:rsidRDefault="00DE7037">
            <w:pPr>
              <w:jc w:val="center"/>
            </w:pPr>
            <w:r>
              <w:rPr>
                <w:color w:val="000000"/>
                <w:sz w:val="24"/>
              </w:rPr>
              <w:t>0.98%</w:t>
            </w:r>
          </w:p>
        </w:tc>
        <w:tc>
          <w:tcPr>
            <w:tcW w:w="1291" w:type="dxa"/>
            <w:vAlign w:val="center"/>
          </w:tcPr>
          <w:p w:rsidR="002354AD" w:rsidRDefault="00DE7037">
            <w:pPr>
              <w:jc w:val="center"/>
            </w:pPr>
            <w:r>
              <w:rPr>
                <w:color w:val="000000"/>
                <w:sz w:val="24"/>
              </w:rPr>
              <w:t>0.01%</w:t>
            </w:r>
          </w:p>
        </w:tc>
        <w:tc>
          <w:tcPr>
            <w:tcW w:w="1291" w:type="dxa"/>
            <w:vAlign w:val="center"/>
          </w:tcPr>
          <w:p w:rsidR="002354AD" w:rsidRDefault="00DE7037">
            <w:pPr>
              <w:jc w:val="center"/>
            </w:pPr>
            <w:r>
              <w:rPr>
                <w:color w:val="000000"/>
                <w:sz w:val="24"/>
              </w:rPr>
              <w:t>0.00%</w:t>
            </w:r>
          </w:p>
        </w:tc>
        <w:tc>
          <w:tcPr>
            <w:tcW w:w="1291" w:type="dxa"/>
            <w:vAlign w:val="center"/>
          </w:tcPr>
          <w:p w:rsidR="002354AD" w:rsidRDefault="00DE7037">
            <w:pPr>
              <w:jc w:val="center"/>
            </w:pPr>
            <w:r>
              <w:rPr>
                <w:color w:val="000000"/>
                <w:sz w:val="24"/>
              </w:rPr>
              <w:t>0.01%</w:t>
            </w:r>
          </w:p>
        </w:tc>
      </w:tr>
    </w:tbl>
    <w:p w:rsidR="00F016DD" w:rsidRPr="0078105B" w:rsidRDefault="00F016DD" w:rsidP="00FC13C8">
      <w:pPr>
        <w:spacing w:line="360" w:lineRule="auto"/>
        <w:rPr>
          <w:rFonts w:ascii="宋体" w:cs="Arial"/>
          <w:b/>
          <w:color w:val="000000"/>
          <w:kern w:val="0"/>
          <w:sz w:val="24"/>
        </w:rPr>
      </w:pPr>
      <w:r w:rsidRPr="0078105B">
        <w:rPr>
          <w:rFonts w:ascii="宋体" w:hAnsi="宋体" w:cs="Arial"/>
          <w:b/>
          <w:color w:val="000000"/>
          <w:kern w:val="0"/>
          <w:sz w:val="24"/>
        </w:rPr>
        <w:t>3.2.2</w:t>
      </w:r>
      <w:r w:rsidRPr="0078105B">
        <w:rPr>
          <w:rFonts w:ascii="宋体" w:hAnsi="宋体" w:cs="Arial" w:hint="eastAsia"/>
          <w:b/>
          <w:color w:val="000000"/>
          <w:kern w:val="0"/>
          <w:sz w:val="24"/>
        </w:rPr>
        <w:t xml:space="preserve">　</w:t>
      </w:r>
      <w:r w:rsidR="00AE2480" w:rsidRPr="00370BEA">
        <w:rPr>
          <w:rStyle w:val="af6"/>
          <w:rFonts w:hint="eastAsia"/>
          <w:color w:val="000000"/>
          <w:sz w:val="24"/>
          <w:shd w:val="clear" w:color="auto" w:fill="FFFFFF"/>
        </w:rPr>
        <w:t>自基金合同生效以来</w:t>
      </w:r>
      <w:r w:rsidRPr="0078105B">
        <w:rPr>
          <w:rFonts w:ascii="宋体" w:hAnsi="宋体" w:hint="eastAsia"/>
          <w:b/>
          <w:color w:val="000000"/>
          <w:sz w:val="24"/>
        </w:rPr>
        <w:t>基金累计净值增长率变动及其与同期业绩比较基准收益率变动的比较</w:t>
      </w:r>
    </w:p>
    <w:p w:rsidR="00F016DD" w:rsidRPr="00FA472B" w:rsidRDefault="00F016DD" w:rsidP="00FC13C8">
      <w:pPr>
        <w:spacing w:line="360" w:lineRule="auto"/>
        <w:jc w:val="center"/>
        <w:rPr>
          <w:color w:val="000000"/>
          <w:sz w:val="24"/>
        </w:rPr>
      </w:pPr>
      <w:r w:rsidRPr="00FA472B">
        <w:rPr>
          <w:color w:val="000000"/>
          <w:sz w:val="24"/>
        </w:rPr>
        <w:t>易方达中债</w:t>
      </w:r>
      <w:r w:rsidRPr="00FA472B">
        <w:rPr>
          <w:color w:val="000000"/>
          <w:sz w:val="24"/>
        </w:rPr>
        <w:t>1-3</w:t>
      </w:r>
      <w:r w:rsidRPr="00FA472B">
        <w:rPr>
          <w:color w:val="000000"/>
          <w:sz w:val="24"/>
        </w:rPr>
        <w:t>年国开行债券指数证券投资基金</w:t>
      </w:r>
    </w:p>
    <w:p w:rsidR="00F016DD" w:rsidRPr="00FA472B" w:rsidRDefault="00F016DD" w:rsidP="00FC13C8">
      <w:pPr>
        <w:pStyle w:val="a5"/>
        <w:snapToGrid w:val="0"/>
        <w:spacing w:line="360" w:lineRule="auto"/>
        <w:jc w:val="center"/>
        <w:rPr>
          <w:rFonts w:ascii="Times New Roman" w:hAnsi="Times New Roman"/>
          <w:color w:val="000000"/>
          <w:sz w:val="24"/>
          <w:szCs w:val="24"/>
        </w:rPr>
      </w:pPr>
      <w:r w:rsidRPr="00FA472B">
        <w:rPr>
          <w:rFonts w:ascii="Times New Roman" w:hAnsi="Times New Roman"/>
          <w:color w:val="000000"/>
          <w:sz w:val="24"/>
          <w:szCs w:val="24"/>
        </w:rPr>
        <w:t>累计净值增长率与业绩比较基准收益率的历史走势对比图</w:t>
      </w:r>
    </w:p>
    <w:p w:rsidR="00F016DD" w:rsidRPr="00FA472B" w:rsidRDefault="00F016DD" w:rsidP="00FC13C8">
      <w:pPr>
        <w:pStyle w:val="a5"/>
        <w:snapToGrid w:val="0"/>
        <w:spacing w:line="360" w:lineRule="auto"/>
        <w:ind w:firstLine="480"/>
        <w:jc w:val="center"/>
        <w:rPr>
          <w:rFonts w:ascii="Times New Roman" w:hAnsi="Times New Roman"/>
          <w:sz w:val="24"/>
          <w:szCs w:val="24"/>
        </w:rPr>
      </w:pPr>
      <w:r w:rsidRPr="00FA472B">
        <w:rPr>
          <w:rFonts w:ascii="Times New Roman" w:hAnsi="Times New Roman"/>
          <w:sz w:val="24"/>
          <w:szCs w:val="24"/>
        </w:rPr>
        <w:t>(2019</w:t>
      </w:r>
      <w:r w:rsidRPr="00FA472B">
        <w:rPr>
          <w:rFonts w:ascii="Times New Roman" w:hAnsi="Times New Roman"/>
          <w:sz w:val="24"/>
          <w:szCs w:val="24"/>
        </w:rPr>
        <w:t>年</w:t>
      </w:r>
      <w:r w:rsidRPr="00FA472B">
        <w:rPr>
          <w:rFonts w:ascii="Times New Roman" w:hAnsi="Times New Roman"/>
          <w:sz w:val="24"/>
          <w:szCs w:val="24"/>
        </w:rPr>
        <w:t>4</w:t>
      </w:r>
      <w:r w:rsidRPr="00FA472B">
        <w:rPr>
          <w:rFonts w:ascii="Times New Roman" w:hAnsi="Times New Roman"/>
          <w:sz w:val="24"/>
          <w:szCs w:val="24"/>
        </w:rPr>
        <w:t>月</w:t>
      </w:r>
      <w:r w:rsidRPr="00FA472B">
        <w:rPr>
          <w:rFonts w:ascii="Times New Roman" w:hAnsi="Times New Roman"/>
          <w:sz w:val="24"/>
          <w:szCs w:val="24"/>
        </w:rPr>
        <w:t>29</w:t>
      </w:r>
      <w:r w:rsidRPr="00FA472B">
        <w:rPr>
          <w:rFonts w:ascii="Times New Roman" w:hAnsi="Times New Roman"/>
          <w:sz w:val="24"/>
          <w:szCs w:val="24"/>
        </w:rPr>
        <w:t>日至</w:t>
      </w:r>
      <w:r w:rsidRPr="00FA472B">
        <w:rPr>
          <w:rFonts w:ascii="Times New Roman" w:hAnsi="Times New Roman"/>
          <w:sz w:val="24"/>
          <w:szCs w:val="24"/>
        </w:rPr>
        <w:t>2019</w:t>
      </w:r>
      <w:r w:rsidRPr="00FA472B">
        <w:rPr>
          <w:rFonts w:ascii="Times New Roman" w:hAnsi="Times New Roman"/>
          <w:sz w:val="24"/>
          <w:szCs w:val="24"/>
        </w:rPr>
        <w:t>年</w:t>
      </w:r>
      <w:r w:rsidRPr="00FA472B">
        <w:rPr>
          <w:rFonts w:ascii="Times New Roman" w:hAnsi="Times New Roman"/>
          <w:sz w:val="24"/>
          <w:szCs w:val="24"/>
        </w:rPr>
        <w:t>9</w:t>
      </w:r>
      <w:r w:rsidRPr="00FA472B">
        <w:rPr>
          <w:rFonts w:ascii="Times New Roman" w:hAnsi="Times New Roman"/>
          <w:sz w:val="24"/>
          <w:szCs w:val="24"/>
        </w:rPr>
        <w:t>月</w:t>
      </w:r>
      <w:r w:rsidRPr="00FA472B">
        <w:rPr>
          <w:rFonts w:ascii="Times New Roman" w:hAnsi="Times New Roman"/>
          <w:sz w:val="24"/>
          <w:szCs w:val="24"/>
        </w:rPr>
        <w:t>30</w:t>
      </w:r>
      <w:r w:rsidRPr="00FA472B">
        <w:rPr>
          <w:rFonts w:ascii="Times New Roman" w:hAnsi="Times New Roman"/>
          <w:sz w:val="24"/>
          <w:szCs w:val="24"/>
        </w:rPr>
        <w:t>日</w:t>
      </w:r>
      <w:r w:rsidRPr="00FA472B">
        <w:rPr>
          <w:rFonts w:ascii="Times New Roman" w:hAnsi="Times New Roman"/>
          <w:sz w:val="24"/>
          <w:szCs w:val="24"/>
        </w:rPr>
        <w:t>)</w:t>
      </w:r>
    </w:p>
    <w:p w:rsidR="00F016DD" w:rsidRPr="00611CB2" w:rsidRDefault="00F016DD" w:rsidP="00174038">
      <w:pPr>
        <w:snapToGrid w:val="0"/>
        <w:spacing w:line="360" w:lineRule="auto"/>
        <w:ind w:firstLineChars="50" w:firstLine="120"/>
        <w:rPr>
          <w:color w:val="000000"/>
          <w:sz w:val="24"/>
        </w:rPr>
      </w:pPr>
      <w:r w:rsidRPr="00611CB2">
        <w:rPr>
          <w:color w:val="000000"/>
          <w:sz w:val="24"/>
        </w:rPr>
        <w:t>易方达中债</w:t>
      </w:r>
      <w:r w:rsidRPr="00611CB2">
        <w:rPr>
          <w:color w:val="000000"/>
          <w:sz w:val="24"/>
        </w:rPr>
        <w:t>1-3</w:t>
      </w:r>
      <w:r w:rsidRPr="00611CB2">
        <w:rPr>
          <w:color w:val="000000"/>
          <w:sz w:val="24"/>
        </w:rPr>
        <w:t>年国开行债券指数</w:t>
      </w:r>
      <w:r w:rsidRPr="00611CB2">
        <w:rPr>
          <w:color w:val="000000"/>
          <w:sz w:val="24"/>
        </w:rPr>
        <w:t>A</w:t>
      </w:r>
    </w:p>
    <w:p w:rsidR="00F016DD" w:rsidRPr="0078105B" w:rsidRDefault="00DE7037" w:rsidP="00FC7F43">
      <w:pPr>
        <w:pStyle w:val="20"/>
        <w:spacing w:line="288" w:lineRule="auto"/>
        <w:ind w:firstLineChars="0" w:firstLine="0"/>
        <w:jc w:val="center"/>
        <w:rPr>
          <w:color w:val="000000"/>
        </w:rPr>
      </w:pPr>
      <w:r>
        <w:rPr>
          <w:noProof/>
          <w:color w:val="000000"/>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style="width:435.75pt;height:258pt;visibility:visible">
            <v:imagedata r:id="rId9" o:title=""/>
          </v:shape>
        </w:pict>
      </w:r>
    </w:p>
    <w:p w:rsidR="00F016DD" w:rsidRPr="00611CB2" w:rsidRDefault="00F016DD" w:rsidP="00DF18FE">
      <w:pPr>
        <w:snapToGrid w:val="0"/>
        <w:spacing w:line="360" w:lineRule="auto"/>
        <w:ind w:firstLineChars="50" w:firstLine="120"/>
        <w:rPr>
          <w:color w:val="000000"/>
          <w:sz w:val="24"/>
        </w:rPr>
      </w:pPr>
      <w:r w:rsidRPr="00611CB2">
        <w:rPr>
          <w:color w:val="000000"/>
          <w:sz w:val="24"/>
        </w:rPr>
        <w:t>易方达中债</w:t>
      </w:r>
      <w:r w:rsidRPr="00611CB2">
        <w:rPr>
          <w:color w:val="000000"/>
          <w:sz w:val="24"/>
        </w:rPr>
        <w:t>1-3</w:t>
      </w:r>
      <w:r w:rsidRPr="00611CB2">
        <w:rPr>
          <w:color w:val="000000"/>
          <w:sz w:val="24"/>
        </w:rPr>
        <w:t>年国开行债券指数</w:t>
      </w:r>
      <w:r w:rsidRPr="00611CB2">
        <w:rPr>
          <w:color w:val="000000"/>
          <w:sz w:val="24"/>
        </w:rPr>
        <w:t>C</w:t>
      </w:r>
    </w:p>
    <w:p w:rsidR="00F016DD" w:rsidRPr="0078105B" w:rsidRDefault="00DE7037" w:rsidP="00FC7F43">
      <w:pPr>
        <w:pStyle w:val="20"/>
        <w:spacing w:line="288" w:lineRule="auto"/>
        <w:ind w:firstLineChars="0" w:firstLine="0"/>
        <w:jc w:val="center"/>
        <w:rPr>
          <w:color w:val="000000"/>
        </w:rPr>
      </w:pPr>
      <w:r>
        <w:rPr>
          <w:noProof/>
          <w:color w:val="000000"/>
        </w:rPr>
        <w:pict>
          <v:shape id="图片 3" o:spid="_x0000_i1026" type="#_x0000_t75" style="width:435.75pt;height:258pt;visibility:visible">
            <v:imagedata r:id="rId10" o:title=""/>
          </v:shape>
        </w:pict>
      </w:r>
    </w:p>
    <w:p w:rsidR="002354AD" w:rsidRDefault="00DE7037">
      <w:pPr>
        <w:spacing w:line="360" w:lineRule="auto"/>
        <w:ind w:firstLineChars="200" w:firstLine="480"/>
        <w:rPr>
          <w:color w:val="000000"/>
          <w:sz w:val="24"/>
        </w:rPr>
      </w:pPr>
      <w:r>
        <w:rPr>
          <w:color w:val="000000"/>
          <w:sz w:val="24"/>
        </w:rPr>
        <w:t>注：</w:t>
      </w:r>
      <w:r>
        <w:rPr>
          <w:color w:val="000000"/>
          <w:sz w:val="24"/>
        </w:rPr>
        <w:t>1.</w:t>
      </w:r>
      <w:r>
        <w:rPr>
          <w:color w:val="000000"/>
          <w:sz w:val="24"/>
        </w:rPr>
        <w:t>本基金合同于</w:t>
      </w:r>
      <w:r>
        <w:rPr>
          <w:color w:val="000000"/>
          <w:sz w:val="24"/>
        </w:rPr>
        <w:t>2019</w:t>
      </w:r>
      <w:r>
        <w:rPr>
          <w:color w:val="000000"/>
          <w:sz w:val="24"/>
        </w:rPr>
        <w:t>年</w:t>
      </w:r>
      <w:r>
        <w:rPr>
          <w:color w:val="000000"/>
          <w:sz w:val="24"/>
        </w:rPr>
        <w:t>4</w:t>
      </w:r>
      <w:r>
        <w:rPr>
          <w:color w:val="000000"/>
          <w:sz w:val="24"/>
        </w:rPr>
        <w:t>月</w:t>
      </w:r>
      <w:r>
        <w:rPr>
          <w:color w:val="000000"/>
          <w:sz w:val="24"/>
        </w:rPr>
        <w:t>29</w:t>
      </w:r>
      <w:r>
        <w:rPr>
          <w:color w:val="000000"/>
          <w:sz w:val="24"/>
        </w:rPr>
        <w:t>日生效，截至报告期末本基金合同生效未满一年。</w:t>
      </w:r>
    </w:p>
    <w:p w:rsidR="002354AD" w:rsidRDefault="00DE7037">
      <w:pPr>
        <w:spacing w:line="360" w:lineRule="auto"/>
        <w:ind w:firstLineChars="200" w:firstLine="480"/>
        <w:rPr>
          <w:color w:val="000000"/>
          <w:sz w:val="24"/>
        </w:rPr>
      </w:pPr>
      <w:r>
        <w:rPr>
          <w:color w:val="000000"/>
          <w:sz w:val="24"/>
        </w:rPr>
        <w:t>2.</w:t>
      </w:r>
      <w:r>
        <w:rPr>
          <w:color w:val="000000"/>
          <w:sz w:val="24"/>
        </w:rPr>
        <w:t>按基金合同和招募说明书的约定，自基金合同生效之日起六个月内使基金的投资组合比例符合本基金合同（第十二部分二、投资范围，三、投资策略和四、投资限制）的有关约定。本报告期本基金处于建仓期内。</w:t>
      </w:r>
    </w:p>
    <w:p w:rsidR="00F016DD" w:rsidRPr="00DF18FE" w:rsidRDefault="00F016DD" w:rsidP="00DF18FE">
      <w:pPr>
        <w:spacing w:line="360" w:lineRule="auto"/>
        <w:ind w:firstLineChars="200" w:firstLine="480"/>
        <w:rPr>
          <w:color w:val="000000"/>
          <w:sz w:val="24"/>
        </w:rPr>
      </w:pPr>
      <w:r w:rsidRPr="00DF18FE">
        <w:rPr>
          <w:color w:val="000000"/>
          <w:sz w:val="24"/>
        </w:rPr>
        <w:t>3.</w:t>
      </w:r>
      <w:r w:rsidRPr="00DF18FE">
        <w:rPr>
          <w:color w:val="000000"/>
          <w:sz w:val="24"/>
        </w:rPr>
        <w:t>自基金合同生效至报告期末，</w:t>
      </w:r>
      <w:r w:rsidRPr="00DF18FE">
        <w:rPr>
          <w:color w:val="000000"/>
          <w:sz w:val="24"/>
        </w:rPr>
        <w:t>A</w:t>
      </w:r>
      <w:r w:rsidRPr="00DF18FE">
        <w:rPr>
          <w:color w:val="000000"/>
          <w:sz w:val="24"/>
        </w:rPr>
        <w:t>类基金份额净值增长率为</w:t>
      </w:r>
      <w:r w:rsidRPr="00DF18FE">
        <w:rPr>
          <w:color w:val="000000"/>
          <w:sz w:val="24"/>
        </w:rPr>
        <w:t>1.60%</w:t>
      </w:r>
      <w:r w:rsidRPr="00DF18FE">
        <w:rPr>
          <w:color w:val="000000"/>
          <w:sz w:val="24"/>
        </w:rPr>
        <w:t>，</w:t>
      </w:r>
      <w:r w:rsidRPr="00DF18FE">
        <w:rPr>
          <w:color w:val="000000"/>
          <w:sz w:val="24"/>
        </w:rPr>
        <w:t>C</w:t>
      </w:r>
      <w:r w:rsidRPr="00DF18FE">
        <w:rPr>
          <w:color w:val="000000"/>
          <w:sz w:val="24"/>
        </w:rPr>
        <w:t>类基金份</w:t>
      </w:r>
      <w:r w:rsidRPr="00DF18FE">
        <w:rPr>
          <w:color w:val="000000"/>
          <w:sz w:val="24"/>
        </w:rPr>
        <w:lastRenderedPageBreak/>
        <w:t>额净值增长率为</w:t>
      </w:r>
      <w:r w:rsidRPr="00DF18FE">
        <w:rPr>
          <w:color w:val="000000"/>
          <w:sz w:val="24"/>
        </w:rPr>
        <w:t>1.53%</w:t>
      </w:r>
      <w:r w:rsidRPr="00DF18FE">
        <w:rPr>
          <w:color w:val="000000"/>
          <w:sz w:val="24"/>
        </w:rPr>
        <w:t>，同期业绩比较基准收益率为</w:t>
      </w:r>
      <w:r w:rsidRPr="00DF18FE">
        <w:rPr>
          <w:color w:val="000000"/>
          <w:sz w:val="24"/>
        </w:rPr>
        <w:t>1.81%</w:t>
      </w:r>
      <w:r w:rsidRPr="00DF18FE">
        <w:rPr>
          <w:color w:val="000000"/>
          <w:sz w:val="24"/>
        </w:rPr>
        <w:t>。</w:t>
      </w:r>
    </w:p>
    <w:p w:rsidR="00F016DD" w:rsidRPr="00FA472B" w:rsidRDefault="00F016DD" w:rsidP="006C5BC9">
      <w:pPr>
        <w:tabs>
          <w:tab w:val="left" w:pos="1800"/>
        </w:tabs>
        <w:spacing w:line="288" w:lineRule="auto"/>
        <w:rPr>
          <w:color w:val="000000"/>
          <w:sz w:val="24"/>
        </w:rPr>
      </w:pP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4  </w:t>
      </w:r>
      <w:r w:rsidRPr="0078105B">
        <w:rPr>
          <w:rFonts w:ascii="宋体" w:hAnsi="宋体" w:cs="Arial" w:hint="eastAsia"/>
          <w:color w:val="000000"/>
          <w:kern w:val="0"/>
          <w:sz w:val="24"/>
          <w:szCs w:val="24"/>
        </w:rPr>
        <w:t>管理人报告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4.1 </w:t>
      </w:r>
      <w:r w:rsidRPr="0078105B">
        <w:rPr>
          <w:rFonts w:ascii="宋体" w:hAnsi="宋体" w:cs="Arial" w:hint="eastAsia"/>
          <w:b/>
          <w:color w:val="000000"/>
          <w:kern w:val="0"/>
          <w:sz w:val="24"/>
        </w:rPr>
        <w:t>基金经理（或基金经理小组）简介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F016DD" w:rsidRPr="0078105B" w:rsidTr="00B54884">
        <w:trPr>
          <w:cantSplit/>
        </w:trPr>
        <w:tc>
          <w:tcPr>
            <w:tcW w:w="567"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姓名</w:t>
            </w:r>
          </w:p>
        </w:tc>
        <w:tc>
          <w:tcPr>
            <w:tcW w:w="2835"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F016DD" w:rsidRPr="0078105B" w:rsidTr="00B54884">
        <w:trPr>
          <w:cantSplit/>
        </w:trPr>
        <w:tc>
          <w:tcPr>
            <w:tcW w:w="567"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2835" w:type="dxa"/>
            <w:vMerge/>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851" w:type="dxa"/>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2977"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r>
      <w:tr w:rsidR="002354AD">
        <w:tc>
          <w:tcPr>
            <w:tcW w:w="567" w:type="dxa"/>
            <w:vAlign w:val="center"/>
          </w:tcPr>
          <w:p w:rsidR="002354AD" w:rsidRDefault="00DE7037">
            <w:pPr>
              <w:jc w:val="center"/>
            </w:pPr>
            <w:r>
              <w:rPr>
                <w:color w:val="000000"/>
                <w:sz w:val="24"/>
              </w:rPr>
              <w:t>王晓晨</w:t>
            </w:r>
          </w:p>
        </w:tc>
        <w:tc>
          <w:tcPr>
            <w:tcW w:w="2835" w:type="dxa"/>
            <w:vAlign w:val="center"/>
          </w:tcPr>
          <w:p w:rsidR="002354AD" w:rsidRDefault="00DE7037">
            <w:pPr>
              <w:jc w:val="center"/>
            </w:pPr>
            <w:r>
              <w:rPr>
                <w:color w:val="000000"/>
                <w:sz w:val="24"/>
              </w:rPr>
              <w:t>本基金的基金经理、易方达中债新综合债券指数发起式证券投资基金</w:t>
            </w:r>
            <w:r>
              <w:rPr>
                <w:color w:val="000000"/>
                <w:sz w:val="24"/>
              </w:rPr>
              <w:t>(LOF)</w:t>
            </w:r>
            <w:r>
              <w:rPr>
                <w:color w:val="000000"/>
                <w:sz w:val="24"/>
              </w:rPr>
              <w:t>的基金经理、易方达中债</w:t>
            </w:r>
            <w:r>
              <w:rPr>
                <w:color w:val="000000"/>
                <w:sz w:val="24"/>
              </w:rPr>
              <w:t>7-10</w:t>
            </w:r>
            <w:r>
              <w:rPr>
                <w:color w:val="000000"/>
                <w:sz w:val="24"/>
              </w:rPr>
              <w:t>年期国开行债券指数证券投资基金的基金经理、易方达中债</w:t>
            </w:r>
            <w:r>
              <w:rPr>
                <w:color w:val="000000"/>
                <w:sz w:val="24"/>
              </w:rPr>
              <w:t>3-5</w:t>
            </w:r>
            <w:r>
              <w:rPr>
                <w:color w:val="000000"/>
                <w:sz w:val="24"/>
              </w:rPr>
              <w:t>年期国债指数证券投资基金的基金经理（自</w:t>
            </w:r>
            <w:r>
              <w:rPr>
                <w:color w:val="000000"/>
                <w:sz w:val="24"/>
              </w:rPr>
              <w:t>2017</w:t>
            </w:r>
            <w:r>
              <w:rPr>
                <w:color w:val="000000"/>
                <w:sz w:val="24"/>
              </w:rPr>
              <w:t>年</w:t>
            </w:r>
            <w:r>
              <w:rPr>
                <w:color w:val="000000"/>
                <w:sz w:val="24"/>
              </w:rPr>
              <w:t>02</w:t>
            </w:r>
            <w:r>
              <w:rPr>
                <w:color w:val="000000"/>
                <w:sz w:val="24"/>
              </w:rPr>
              <w:t>月</w:t>
            </w:r>
            <w:r>
              <w:rPr>
                <w:color w:val="000000"/>
                <w:sz w:val="24"/>
              </w:rPr>
              <w:t>15</w:t>
            </w:r>
            <w:r>
              <w:rPr>
                <w:color w:val="000000"/>
                <w:sz w:val="24"/>
              </w:rPr>
              <w:t>日至</w:t>
            </w:r>
            <w:r>
              <w:rPr>
                <w:color w:val="000000"/>
                <w:sz w:val="24"/>
              </w:rPr>
              <w:t>2019</w:t>
            </w:r>
            <w:r>
              <w:rPr>
                <w:color w:val="000000"/>
                <w:sz w:val="24"/>
              </w:rPr>
              <w:t>年</w:t>
            </w:r>
            <w:r>
              <w:rPr>
                <w:color w:val="000000"/>
                <w:sz w:val="24"/>
              </w:rPr>
              <w:t>09</w:t>
            </w:r>
            <w:r>
              <w:rPr>
                <w:color w:val="000000"/>
                <w:sz w:val="24"/>
              </w:rPr>
              <w:t>月</w:t>
            </w:r>
            <w:r>
              <w:rPr>
                <w:color w:val="000000"/>
                <w:sz w:val="24"/>
              </w:rPr>
              <w:t>27</w:t>
            </w:r>
            <w:r>
              <w:rPr>
                <w:color w:val="000000"/>
                <w:sz w:val="24"/>
              </w:rPr>
              <w:t>日）、易方达中债</w:t>
            </w:r>
            <w:r>
              <w:rPr>
                <w:color w:val="000000"/>
                <w:sz w:val="24"/>
              </w:rPr>
              <w:t>3-5</w:t>
            </w:r>
            <w:r>
              <w:rPr>
                <w:color w:val="000000"/>
                <w:sz w:val="24"/>
              </w:rPr>
              <w:t>年国开行债券指数证券投资基金的基金经理、易方达增强回报债券型证券投资基金的基金经理、易方达新鑫灵活配置混合型证券投资基金的基金经理（自</w:t>
            </w:r>
            <w:r>
              <w:rPr>
                <w:color w:val="000000"/>
                <w:sz w:val="24"/>
              </w:rPr>
              <w:t>2018</w:t>
            </w:r>
            <w:r>
              <w:rPr>
                <w:color w:val="000000"/>
                <w:sz w:val="24"/>
              </w:rPr>
              <w:t>年</w:t>
            </w:r>
            <w:r>
              <w:rPr>
                <w:color w:val="000000"/>
                <w:sz w:val="24"/>
              </w:rPr>
              <w:t>01</w:t>
            </w:r>
            <w:r>
              <w:rPr>
                <w:color w:val="000000"/>
                <w:sz w:val="24"/>
              </w:rPr>
              <w:t>月</w:t>
            </w:r>
            <w:r>
              <w:rPr>
                <w:color w:val="000000"/>
                <w:sz w:val="24"/>
              </w:rPr>
              <w:t>31</w:t>
            </w:r>
            <w:r>
              <w:rPr>
                <w:color w:val="000000"/>
                <w:sz w:val="24"/>
              </w:rPr>
              <w:t>日至</w:t>
            </w:r>
            <w:r>
              <w:rPr>
                <w:color w:val="000000"/>
                <w:sz w:val="24"/>
              </w:rPr>
              <w:t>2019</w:t>
            </w:r>
            <w:r>
              <w:rPr>
                <w:color w:val="000000"/>
                <w:sz w:val="24"/>
              </w:rPr>
              <w:t>年</w:t>
            </w:r>
            <w:r>
              <w:rPr>
                <w:color w:val="000000"/>
                <w:sz w:val="24"/>
              </w:rPr>
              <w:t>07</w:t>
            </w:r>
            <w:r>
              <w:rPr>
                <w:color w:val="000000"/>
                <w:sz w:val="24"/>
              </w:rPr>
              <w:t>月</w:t>
            </w:r>
            <w:r>
              <w:rPr>
                <w:color w:val="000000"/>
                <w:sz w:val="24"/>
              </w:rPr>
              <w:t>02</w:t>
            </w:r>
            <w:r>
              <w:rPr>
                <w:color w:val="000000"/>
                <w:sz w:val="24"/>
              </w:rPr>
              <w:t>日）、易方达投资级信用债债券型证券投资基金的基金经理、易方达双债增强债券</w:t>
            </w:r>
            <w:r>
              <w:rPr>
                <w:color w:val="000000"/>
                <w:sz w:val="24"/>
              </w:rPr>
              <w:t>型证券投资基金的基金经理、易方达恒益定期开放债券型发起式证券投资基金的基金经理（自</w:t>
            </w:r>
            <w:r>
              <w:rPr>
                <w:color w:val="000000"/>
                <w:sz w:val="24"/>
              </w:rPr>
              <w:t>2017</w:t>
            </w:r>
            <w:r>
              <w:rPr>
                <w:color w:val="000000"/>
                <w:sz w:val="24"/>
              </w:rPr>
              <w:t>年</w:t>
            </w:r>
            <w:r>
              <w:rPr>
                <w:color w:val="000000"/>
                <w:sz w:val="24"/>
              </w:rPr>
              <w:t>10</w:t>
            </w:r>
            <w:r>
              <w:rPr>
                <w:color w:val="000000"/>
                <w:sz w:val="24"/>
              </w:rPr>
              <w:t>月</w:t>
            </w:r>
            <w:r>
              <w:rPr>
                <w:color w:val="000000"/>
                <w:sz w:val="24"/>
              </w:rPr>
              <w:t>25</w:t>
            </w:r>
            <w:r>
              <w:rPr>
                <w:color w:val="000000"/>
                <w:sz w:val="24"/>
              </w:rPr>
              <w:t>日至</w:t>
            </w:r>
            <w:r>
              <w:rPr>
                <w:color w:val="000000"/>
                <w:sz w:val="24"/>
              </w:rPr>
              <w:t>2019</w:t>
            </w:r>
            <w:r>
              <w:rPr>
                <w:color w:val="000000"/>
                <w:sz w:val="24"/>
              </w:rPr>
              <w:t>年</w:t>
            </w:r>
            <w:r>
              <w:rPr>
                <w:color w:val="000000"/>
                <w:sz w:val="24"/>
              </w:rPr>
              <w:t>09</w:t>
            </w:r>
            <w:r>
              <w:rPr>
                <w:color w:val="000000"/>
                <w:sz w:val="24"/>
              </w:rPr>
              <w:t>月</w:t>
            </w:r>
            <w:r>
              <w:rPr>
                <w:color w:val="000000"/>
                <w:sz w:val="24"/>
              </w:rPr>
              <w:t>10</w:t>
            </w:r>
            <w:r>
              <w:rPr>
                <w:color w:val="000000"/>
                <w:sz w:val="24"/>
              </w:rPr>
              <w:t>日）、易方达恒安定期开放债券型发起式证券投资基金的基金经理、</w:t>
            </w:r>
            <w:r>
              <w:rPr>
                <w:color w:val="000000"/>
                <w:sz w:val="24"/>
              </w:rPr>
              <w:lastRenderedPageBreak/>
              <w:t>易方达富财纯债债券型证券投资基金的基金经理、易方达纯债债券型证券投资基金的基金经理（自</w:t>
            </w:r>
            <w:r>
              <w:rPr>
                <w:color w:val="000000"/>
                <w:sz w:val="24"/>
              </w:rPr>
              <w:t>2017</w:t>
            </w:r>
            <w:r>
              <w:rPr>
                <w:color w:val="000000"/>
                <w:sz w:val="24"/>
              </w:rPr>
              <w:t>年</w:t>
            </w:r>
            <w:r>
              <w:rPr>
                <w:color w:val="000000"/>
                <w:sz w:val="24"/>
              </w:rPr>
              <w:t>02</w:t>
            </w:r>
            <w:r>
              <w:rPr>
                <w:color w:val="000000"/>
                <w:sz w:val="24"/>
              </w:rPr>
              <w:t>月</w:t>
            </w:r>
            <w:r>
              <w:rPr>
                <w:color w:val="000000"/>
                <w:sz w:val="24"/>
              </w:rPr>
              <w:t>15</w:t>
            </w:r>
            <w:r>
              <w:rPr>
                <w:color w:val="000000"/>
                <w:sz w:val="24"/>
              </w:rPr>
              <w:t>日至</w:t>
            </w:r>
            <w:r>
              <w:rPr>
                <w:color w:val="000000"/>
                <w:sz w:val="24"/>
              </w:rPr>
              <w:t>2019</w:t>
            </w:r>
            <w:r>
              <w:rPr>
                <w:color w:val="000000"/>
                <w:sz w:val="24"/>
              </w:rPr>
              <w:t>年</w:t>
            </w:r>
            <w:r>
              <w:rPr>
                <w:color w:val="000000"/>
                <w:sz w:val="24"/>
              </w:rPr>
              <w:t>09</w:t>
            </w:r>
            <w:r>
              <w:rPr>
                <w:color w:val="000000"/>
                <w:sz w:val="24"/>
              </w:rPr>
              <w:t>月</w:t>
            </w:r>
            <w:r>
              <w:rPr>
                <w:color w:val="000000"/>
                <w:sz w:val="24"/>
              </w:rPr>
              <w:t>10</w:t>
            </w:r>
            <w:r>
              <w:rPr>
                <w:color w:val="000000"/>
                <w:sz w:val="24"/>
              </w:rPr>
              <w:t>日）、易方达安瑞短债债券型证券投资基金的基金经理、固定收益投资部副总经理、易方达资产管理（香港）有限公司基金经理、就证券提供意见负责人员（</w:t>
            </w:r>
            <w:r>
              <w:rPr>
                <w:color w:val="000000"/>
                <w:sz w:val="24"/>
              </w:rPr>
              <w:t>RO</w:t>
            </w:r>
            <w:r>
              <w:rPr>
                <w:color w:val="000000"/>
                <w:sz w:val="24"/>
              </w:rPr>
              <w:t>）、提供资产管理负责人员（</w:t>
            </w:r>
            <w:r>
              <w:rPr>
                <w:color w:val="000000"/>
                <w:sz w:val="24"/>
              </w:rPr>
              <w:t>RO</w:t>
            </w:r>
            <w:r>
              <w:rPr>
                <w:color w:val="000000"/>
                <w:sz w:val="24"/>
              </w:rPr>
              <w:t>）、易方达资产管理（香港</w:t>
            </w:r>
            <w:r>
              <w:rPr>
                <w:color w:val="000000"/>
                <w:sz w:val="24"/>
              </w:rPr>
              <w:t>）有限公司固定收益投资决策委员会委员</w:t>
            </w:r>
          </w:p>
        </w:tc>
        <w:tc>
          <w:tcPr>
            <w:tcW w:w="851" w:type="dxa"/>
            <w:vAlign w:val="center"/>
          </w:tcPr>
          <w:p w:rsidR="002354AD" w:rsidRDefault="00DE7037">
            <w:pPr>
              <w:jc w:val="center"/>
            </w:pPr>
            <w:r>
              <w:rPr>
                <w:color w:val="000000"/>
                <w:sz w:val="24"/>
              </w:rPr>
              <w:lastRenderedPageBreak/>
              <w:t>2019-04-29</w:t>
            </w:r>
          </w:p>
        </w:tc>
        <w:tc>
          <w:tcPr>
            <w:tcW w:w="850" w:type="dxa"/>
            <w:vAlign w:val="center"/>
          </w:tcPr>
          <w:p w:rsidR="002354AD" w:rsidRDefault="00DE7037">
            <w:pPr>
              <w:jc w:val="center"/>
            </w:pPr>
            <w:r>
              <w:rPr>
                <w:color w:val="000000"/>
                <w:sz w:val="24"/>
              </w:rPr>
              <w:t>-</w:t>
            </w:r>
          </w:p>
        </w:tc>
        <w:tc>
          <w:tcPr>
            <w:tcW w:w="851" w:type="dxa"/>
            <w:vAlign w:val="center"/>
          </w:tcPr>
          <w:p w:rsidR="002354AD" w:rsidRDefault="00DE7037">
            <w:pPr>
              <w:jc w:val="center"/>
            </w:pPr>
            <w:r>
              <w:rPr>
                <w:color w:val="000000"/>
                <w:sz w:val="24"/>
              </w:rPr>
              <w:t>16</w:t>
            </w:r>
            <w:r>
              <w:rPr>
                <w:color w:val="000000"/>
                <w:sz w:val="24"/>
              </w:rPr>
              <w:t>年</w:t>
            </w:r>
          </w:p>
        </w:tc>
        <w:tc>
          <w:tcPr>
            <w:tcW w:w="2977" w:type="dxa"/>
            <w:vAlign w:val="center"/>
          </w:tcPr>
          <w:p w:rsidR="002354AD" w:rsidRDefault="00DE7037">
            <w:r>
              <w:rPr>
                <w:color w:val="000000"/>
                <w:sz w:val="24"/>
              </w:rPr>
              <w:t>硕士研究生，曾任易方达基金管理有限公司集中交易室债券交易员、债券交易主管、固定收益总部总经理助理、固定收益基金投资部副总经理、易方达货币市场基金基金经理、易方达保证金收益货币市场基金基金经理、易方达保本一号混合型证券投资基金基金经理。</w:t>
            </w:r>
          </w:p>
        </w:tc>
      </w:tr>
    </w:tbl>
    <w:p w:rsidR="002354AD" w:rsidRDefault="00DE7037">
      <w:pPr>
        <w:spacing w:line="360" w:lineRule="auto"/>
        <w:ind w:firstLineChars="200" w:firstLine="480"/>
        <w:rPr>
          <w:color w:val="000000"/>
          <w:sz w:val="24"/>
        </w:rPr>
      </w:pPr>
      <w:r>
        <w:rPr>
          <w:color w:val="000000"/>
          <w:sz w:val="24"/>
        </w:rPr>
        <w:t>注：</w:t>
      </w:r>
      <w:r>
        <w:rPr>
          <w:color w:val="000000"/>
          <w:sz w:val="24"/>
        </w:rPr>
        <w:t>1.</w:t>
      </w:r>
      <w:r>
        <w:rPr>
          <w:color w:val="000000"/>
          <w:sz w:val="24"/>
        </w:rPr>
        <w:t>对基金的首任基金经理，其</w:t>
      </w:r>
      <w:r>
        <w:rPr>
          <w:color w:val="000000"/>
          <w:sz w:val="24"/>
        </w:rPr>
        <w:t>“</w:t>
      </w:r>
      <w:r>
        <w:rPr>
          <w:color w:val="000000"/>
          <w:sz w:val="24"/>
        </w:rPr>
        <w:t>任职日期</w:t>
      </w:r>
      <w:r>
        <w:rPr>
          <w:color w:val="000000"/>
          <w:sz w:val="24"/>
        </w:rPr>
        <w:t>”</w:t>
      </w:r>
      <w:r>
        <w:rPr>
          <w:color w:val="000000"/>
          <w:sz w:val="24"/>
        </w:rPr>
        <w:t>为基金合同生效日，</w:t>
      </w:r>
      <w:r>
        <w:rPr>
          <w:color w:val="000000"/>
          <w:sz w:val="24"/>
        </w:rPr>
        <w:t>“</w:t>
      </w:r>
      <w:r>
        <w:rPr>
          <w:color w:val="000000"/>
          <w:sz w:val="24"/>
        </w:rPr>
        <w:t>离任日期</w:t>
      </w:r>
      <w:r>
        <w:rPr>
          <w:color w:val="000000"/>
          <w:sz w:val="24"/>
        </w:rPr>
        <w:t>”</w:t>
      </w:r>
      <w:r>
        <w:rPr>
          <w:color w:val="000000"/>
          <w:sz w:val="24"/>
        </w:rPr>
        <w:t>为根据公司决定确定的解聘日期；对此后的非首任基金经理，</w:t>
      </w:r>
      <w:r>
        <w:rPr>
          <w:color w:val="000000"/>
          <w:sz w:val="24"/>
        </w:rPr>
        <w:t>“</w:t>
      </w:r>
      <w:r>
        <w:rPr>
          <w:color w:val="000000"/>
          <w:sz w:val="24"/>
        </w:rPr>
        <w:t>任职日期</w:t>
      </w:r>
      <w:r>
        <w:rPr>
          <w:color w:val="000000"/>
          <w:sz w:val="24"/>
        </w:rPr>
        <w:t>”</w:t>
      </w:r>
      <w:r>
        <w:rPr>
          <w:color w:val="000000"/>
          <w:sz w:val="24"/>
        </w:rPr>
        <w:t>和</w:t>
      </w:r>
      <w:r>
        <w:rPr>
          <w:color w:val="000000"/>
          <w:sz w:val="24"/>
        </w:rPr>
        <w:t>“</w:t>
      </w:r>
      <w:r>
        <w:rPr>
          <w:color w:val="000000"/>
          <w:sz w:val="24"/>
        </w:rPr>
        <w:t>离任日期</w:t>
      </w:r>
      <w:r>
        <w:rPr>
          <w:color w:val="000000"/>
          <w:sz w:val="24"/>
        </w:rPr>
        <w:t>”</w:t>
      </w:r>
      <w:r>
        <w:rPr>
          <w:color w:val="000000"/>
          <w:sz w:val="24"/>
        </w:rPr>
        <w:t>分别指根据公司决定确定的聘任日期和解聘日期。</w:t>
      </w:r>
    </w:p>
    <w:p w:rsidR="00F016DD" w:rsidRPr="00EA6415" w:rsidRDefault="00F016DD" w:rsidP="00DF18FE">
      <w:pPr>
        <w:spacing w:line="360" w:lineRule="auto"/>
        <w:ind w:firstLineChars="200" w:firstLine="480"/>
        <w:rPr>
          <w:color w:val="000000"/>
          <w:sz w:val="24"/>
        </w:rPr>
      </w:pPr>
      <w:r w:rsidRPr="00DF18FE">
        <w:rPr>
          <w:color w:val="000000"/>
          <w:sz w:val="24"/>
        </w:rPr>
        <w:t>2.</w:t>
      </w:r>
      <w:r w:rsidRPr="00DF18FE">
        <w:rPr>
          <w:color w:val="000000"/>
          <w:sz w:val="24"/>
        </w:rPr>
        <w:t>证券从业的含义遵从《证券业从业人员资格管理办法》的相关规定。</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4.2</w:t>
      </w:r>
      <w:r>
        <w:rPr>
          <w:rFonts w:cs="Arial" w:hint="eastAsia"/>
          <w:b/>
          <w:color w:val="000000"/>
          <w:kern w:val="0"/>
          <w:sz w:val="24"/>
        </w:rPr>
        <w:t>管理人对</w:t>
      </w:r>
      <w:r w:rsidRPr="00BB04BF">
        <w:rPr>
          <w:rFonts w:cs="Arial" w:hint="eastAsia"/>
          <w:b/>
          <w:color w:val="000000"/>
          <w:kern w:val="0"/>
          <w:sz w:val="24"/>
        </w:rPr>
        <w:t>报告期内本基金运作遵规守信情况</w:t>
      </w:r>
      <w:r>
        <w:rPr>
          <w:rFonts w:cs="Arial" w:hint="eastAsia"/>
          <w:b/>
          <w:color w:val="000000"/>
          <w:kern w:val="0"/>
          <w:sz w:val="24"/>
        </w:rPr>
        <w:t>的</w:t>
      </w:r>
      <w:r w:rsidRPr="00BB04BF">
        <w:rPr>
          <w:rFonts w:cs="Arial" w:hint="eastAsia"/>
          <w:b/>
          <w:color w:val="000000"/>
          <w:kern w:val="0"/>
          <w:sz w:val="24"/>
        </w:rPr>
        <w:t>说明</w:t>
      </w:r>
    </w:p>
    <w:p w:rsidR="00F016DD" w:rsidRPr="00DF18FE" w:rsidRDefault="00F016DD" w:rsidP="00DF18FE">
      <w:pPr>
        <w:spacing w:line="360" w:lineRule="auto"/>
        <w:ind w:firstLineChars="200" w:firstLine="480"/>
        <w:rPr>
          <w:color w:val="000000"/>
          <w:sz w:val="24"/>
        </w:rPr>
      </w:pPr>
      <w:r w:rsidRPr="00DF18FE">
        <w:rPr>
          <w:color w:val="000000"/>
          <w:sz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4.3 </w:t>
      </w:r>
      <w:r w:rsidRPr="0078105B">
        <w:rPr>
          <w:rFonts w:ascii="宋体" w:hAnsi="宋体" w:cs="Arial" w:hint="eastAsia"/>
          <w:b/>
          <w:color w:val="000000"/>
          <w:kern w:val="0"/>
          <w:sz w:val="24"/>
        </w:rPr>
        <w:t>公平交易专项说明</w:t>
      </w:r>
    </w:p>
    <w:p w:rsidR="00F016DD" w:rsidRPr="00FA472B" w:rsidRDefault="00F016DD" w:rsidP="00FC13C8">
      <w:pPr>
        <w:spacing w:line="360" w:lineRule="auto"/>
        <w:rPr>
          <w:rFonts w:ascii="宋体" w:hAnsi="宋体"/>
          <w:sz w:val="24"/>
        </w:rPr>
      </w:pPr>
      <w:r w:rsidRPr="00FA472B">
        <w:rPr>
          <w:rFonts w:ascii="宋体" w:hAnsi="宋体"/>
          <w:sz w:val="24"/>
        </w:rPr>
        <w:t xml:space="preserve">4.3.1 </w:t>
      </w:r>
      <w:r w:rsidRPr="00FA472B">
        <w:rPr>
          <w:rFonts w:ascii="宋体" w:hAnsi="宋体" w:hint="eastAsia"/>
          <w:sz w:val="24"/>
        </w:rPr>
        <w:t>公平交易制度的执行情况</w:t>
      </w:r>
    </w:p>
    <w:p w:rsidR="00F016DD" w:rsidRPr="00EA6415" w:rsidRDefault="00F016DD" w:rsidP="00DF18FE">
      <w:pPr>
        <w:spacing w:line="360" w:lineRule="auto"/>
        <w:ind w:firstLineChars="200" w:firstLine="480"/>
        <w:rPr>
          <w:color w:val="000000"/>
          <w:sz w:val="24"/>
        </w:rPr>
      </w:pPr>
      <w:r w:rsidRPr="00DF18FE">
        <w:rPr>
          <w:color w:val="000000"/>
          <w:sz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DF18FE">
        <w:rPr>
          <w:color w:val="000000"/>
          <w:sz w:val="24"/>
        </w:rPr>
        <w:t>“</w:t>
      </w:r>
      <w:r w:rsidRPr="00DF18FE">
        <w:rPr>
          <w:color w:val="000000"/>
          <w:sz w:val="24"/>
        </w:rPr>
        <w:t>时间优先、价格优先</w:t>
      </w:r>
      <w:r w:rsidRPr="00DF18FE">
        <w:rPr>
          <w:color w:val="000000"/>
          <w:sz w:val="24"/>
        </w:rPr>
        <w:t>”</w:t>
      </w:r>
      <w:r w:rsidRPr="00DF18FE">
        <w:rPr>
          <w:color w:val="000000"/>
          <w:sz w:val="24"/>
        </w:rPr>
        <w:t>作为执行指令的基本原则，通过投资交易系统中的公平交易模块，以尽可能确保公平对待各投资组合。本报告期内，公平交易制度总体执行情况良好。</w:t>
      </w:r>
    </w:p>
    <w:p w:rsidR="00F016DD" w:rsidRPr="00FA472B" w:rsidRDefault="00F016DD" w:rsidP="00FC13C8">
      <w:pPr>
        <w:spacing w:line="360" w:lineRule="auto"/>
        <w:rPr>
          <w:rFonts w:ascii="宋体" w:hAnsi="宋体"/>
          <w:sz w:val="24"/>
        </w:rPr>
      </w:pPr>
      <w:r w:rsidRPr="00FA472B">
        <w:rPr>
          <w:rFonts w:ascii="宋体" w:hAnsi="宋体"/>
          <w:sz w:val="24"/>
        </w:rPr>
        <w:lastRenderedPageBreak/>
        <w:t xml:space="preserve">4.3.2 </w:t>
      </w:r>
      <w:r w:rsidRPr="00FA472B">
        <w:rPr>
          <w:rFonts w:ascii="宋体" w:hAnsi="宋体" w:hint="eastAsia"/>
          <w:sz w:val="24"/>
        </w:rPr>
        <w:t>异常交易行为的专项说明</w:t>
      </w:r>
    </w:p>
    <w:p w:rsidR="002354AD" w:rsidRDefault="00DE7037">
      <w:pPr>
        <w:spacing w:line="360" w:lineRule="auto"/>
        <w:ind w:firstLineChars="200" w:firstLine="480"/>
        <w:rPr>
          <w:color w:val="000000"/>
          <w:sz w:val="24"/>
        </w:rPr>
      </w:pPr>
      <w:r>
        <w:rPr>
          <w:color w:val="000000"/>
          <w:sz w:val="24"/>
        </w:rPr>
        <w:t>本报告期内，公司旗下所有投资组合参与的交易所公开竞价交易中，同日反向交</w:t>
      </w:r>
      <w:r>
        <w:rPr>
          <w:color w:val="000000"/>
          <w:sz w:val="24"/>
        </w:rPr>
        <w:t>易成交较少的单边交易量超过该证券当日成交量的</w:t>
      </w:r>
      <w:r>
        <w:rPr>
          <w:color w:val="000000"/>
          <w:sz w:val="24"/>
        </w:rPr>
        <w:t>5%</w:t>
      </w:r>
      <w:r>
        <w:rPr>
          <w:color w:val="000000"/>
          <w:sz w:val="24"/>
        </w:rPr>
        <w:t>的交易共</w:t>
      </w:r>
      <w:r>
        <w:rPr>
          <w:color w:val="000000"/>
          <w:sz w:val="24"/>
        </w:rPr>
        <w:t>26</w:t>
      </w:r>
      <w:r>
        <w:rPr>
          <w:color w:val="000000"/>
          <w:sz w:val="24"/>
        </w:rPr>
        <w:t>次，均为指数量化投资组合因投资策略需要和其他组合发生的反向交易。</w:t>
      </w:r>
    </w:p>
    <w:p w:rsidR="00F016DD" w:rsidRPr="00DF18FE" w:rsidRDefault="00F016DD" w:rsidP="00DF18FE">
      <w:pPr>
        <w:spacing w:line="360" w:lineRule="auto"/>
        <w:ind w:firstLineChars="200" w:firstLine="480"/>
        <w:rPr>
          <w:color w:val="000000"/>
          <w:sz w:val="24"/>
        </w:rPr>
      </w:pPr>
      <w:r w:rsidRPr="00DF18FE">
        <w:rPr>
          <w:color w:val="000000"/>
          <w:sz w:val="24"/>
        </w:rPr>
        <w:t>本报告期内，未发现本基金有可能导致不公平交易和利益输送的异常交易。</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4.4 </w:t>
      </w:r>
      <w:r w:rsidRPr="0078105B">
        <w:rPr>
          <w:rFonts w:ascii="宋体" w:hAnsi="宋体" w:cs="Arial" w:hint="eastAsia"/>
          <w:b/>
          <w:color w:val="000000"/>
          <w:kern w:val="0"/>
          <w:sz w:val="24"/>
        </w:rPr>
        <w:t>报告期内基金的投资策略和业绩表现说明</w:t>
      </w:r>
    </w:p>
    <w:p w:rsidR="00F016DD" w:rsidRPr="0078105B" w:rsidRDefault="00F016DD" w:rsidP="00FC13C8">
      <w:pPr>
        <w:spacing w:line="360" w:lineRule="auto"/>
        <w:rPr>
          <w:rFonts w:ascii="宋体"/>
          <w:sz w:val="24"/>
        </w:rPr>
      </w:pPr>
      <w:r w:rsidRPr="0078105B">
        <w:rPr>
          <w:rFonts w:ascii="宋体" w:hAnsi="宋体"/>
          <w:sz w:val="24"/>
        </w:rPr>
        <w:t>4.4.1</w:t>
      </w:r>
      <w:r w:rsidRPr="0078105B">
        <w:rPr>
          <w:rFonts w:ascii="宋体" w:hAnsi="宋体" w:hint="eastAsia"/>
          <w:sz w:val="24"/>
        </w:rPr>
        <w:t>报告期内基金投资策略和运作分析</w:t>
      </w:r>
    </w:p>
    <w:p w:rsidR="002354AD" w:rsidRDefault="00DE7037">
      <w:pPr>
        <w:spacing w:line="360" w:lineRule="auto"/>
        <w:ind w:firstLineChars="200" w:firstLine="480"/>
        <w:rPr>
          <w:color w:val="000000"/>
          <w:sz w:val="24"/>
        </w:rPr>
      </w:pPr>
      <w:r>
        <w:rPr>
          <w:color w:val="000000"/>
          <w:sz w:val="24"/>
        </w:rPr>
        <w:t>2019</w:t>
      </w:r>
      <w:r>
        <w:rPr>
          <w:color w:val="000000"/>
          <w:sz w:val="24"/>
        </w:rPr>
        <w:t>年三季度宏观经济数据逐步走低，体现为工业增加值数据在</w:t>
      </w:r>
      <w:r>
        <w:rPr>
          <w:color w:val="000000"/>
          <w:sz w:val="24"/>
        </w:rPr>
        <w:t>7-8</w:t>
      </w:r>
      <w:r>
        <w:rPr>
          <w:color w:val="000000"/>
          <w:sz w:val="24"/>
        </w:rPr>
        <w:t>月有所走弱，</w:t>
      </w:r>
      <w:r>
        <w:rPr>
          <w:color w:val="000000"/>
          <w:sz w:val="24"/>
        </w:rPr>
        <w:t>7</w:t>
      </w:r>
      <w:r>
        <w:rPr>
          <w:color w:val="000000"/>
          <w:sz w:val="24"/>
        </w:rPr>
        <w:t>月工业增加值同比增长</w:t>
      </w:r>
      <w:r>
        <w:rPr>
          <w:color w:val="000000"/>
          <w:sz w:val="24"/>
        </w:rPr>
        <w:t>4.8%</w:t>
      </w:r>
      <w:r>
        <w:rPr>
          <w:color w:val="000000"/>
          <w:sz w:val="24"/>
        </w:rPr>
        <w:t>，</w:t>
      </w:r>
      <w:r>
        <w:rPr>
          <w:color w:val="000000"/>
          <w:sz w:val="24"/>
        </w:rPr>
        <w:t>8</w:t>
      </w:r>
      <w:r>
        <w:rPr>
          <w:color w:val="000000"/>
          <w:sz w:val="24"/>
        </w:rPr>
        <w:t>月工业增加值同比增长</w:t>
      </w:r>
      <w:r>
        <w:rPr>
          <w:color w:val="000000"/>
          <w:sz w:val="24"/>
        </w:rPr>
        <w:t>4.4%</w:t>
      </w:r>
      <w:r>
        <w:rPr>
          <w:color w:val="000000"/>
          <w:sz w:val="24"/>
        </w:rPr>
        <w:t>，均低于预期，显示经济增长动能较弱。投资方面，</w:t>
      </w:r>
      <w:r>
        <w:rPr>
          <w:color w:val="000000"/>
          <w:sz w:val="24"/>
        </w:rPr>
        <w:t>2019</w:t>
      </w:r>
      <w:r>
        <w:rPr>
          <w:color w:val="000000"/>
          <w:sz w:val="24"/>
        </w:rPr>
        <w:t>年</w:t>
      </w:r>
      <w:r>
        <w:rPr>
          <w:color w:val="000000"/>
          <w:sz w:val="24"/>
        </w:rPr>
        <w:t>1-8</w:t>
      </w:r>
      <w:r>
        <w:rPr>
          <w:color w:val="000000"/>
          <w:sz w:val="24"/>
        </w:rPr>
        <w:t>月份全国固定资产投资同比增长</w:t>
      </w:r>
      <w:r>
        <w:rPr>
          <w:color w:val="000000"/>
          <w:sz w:val="24"/>
        </w:rPr>
        <w:t>5.5%</w:t>
      </w:r>
      <w:r>
        <w:rPr>
          <w:color w:val="000000"/>
          <w:sz w:val="24"/>
        </w:rPr>
        <w:t>，增速比</w:t>
      </w:r>
      <w:r>
        <w:rPr>
          <w:color w:val="000000"/>
          <w:sz w:val="24"/>
        </w:rPr>
        <w:t>1-6</w:t>
      </w:r>
      <w:r>
        <w:rPr>
          <w:color w:val="000000"/>
          <w:sz w:val="24"/>
        </w:rPr>
        <w:t>月份回落</w:t>
      </w:r>
      <w:r>
        <w:rPr>
          <w:color w:val="000000"/>
          <w:sz w:val="24"/>
        </w:rPr>
        <w:t>0.3</w:t>
      </w:r>
      <w:r>
        <w:rPr>
          <w:color w:val="000000"/>
          <w:sz w:val="24"/>
        </w:rPr>
        <w:t>个百分点，投资在</w:t>
      </w:r>
      <w:r>
        <w:rPr>
          <w:color w:val="000000"/>
          <w:sz w:val="24"/>
        </w:rPr>
        <w:t>7-8</w:t>
      </w:r>
      <w:r>
        <w:rPr>
          <w:color w:val="000000"/>
          <w:sz w:val="24"/>
        </w:rPr>
        <w:t>月连续两个月下滑，结构上主要是民间投资连续两个月回落明显。消费方面，</w:t>
      </w:r>
      <w:r>
        <w:rPr>
          <w:color w:val="000000"/>
          <w:sz w:val="24"/>
        </w:rPr>
        <w:t>7</w:t>
      </w:r>
      <w:r>
        <w:rPr>
          <w:color w:val="000000"/>
          <w:sz w:val="24"/>
        </w:rPr>
        <w:t>月和</w:t>
      </w:r>
      <w:r>
        <w:rPr>
          <w:color w:val="000000"/>
          <w:sz w:val="24"/>
        </w:rPr>
        <w:t>8</w:t>
      </w:r>
      <w:r>
        <w:rPr>
          <w:color w:val="000000"/>
          <w:sz w:val="24"/>
        </w:rPr>
        <w:t>月社会消费品零售总额同比增长分别为</w:t>
      </w:r>
      <w:r>
        <w:rPr>
          <w:color w:val="000000"/>
          <w:sz w:val="24"/>
        </w:rPr>
        <w:t>7.6%</w:t>
      </w:r>
      <w:r>
        <w:rPr>
          <w:color w:val="000000"/>
          <w:sz w:val="24"/>
        </w:rPr>
        <w:t>和</w:t>
      </w:r>
      <w:r>
        <w:rPr>
          <w:color w:val="000000"/>
          <w:sz w:val="24"/>
        </w:rPr>
        <w:t>7.5%</w:t>
      </w:r>
      <w:r>
        <w:rPr>
          <w:color w:val="000000"/>
          <w:sz w:val="24"/>
        </w:rPr>
        <w:t>，与工业数据一致，呈现季末大幅上升、季初大幅回落的数据特征，总体来看较为平稳。通胀方面，</w:t>
      </w:r>
      <w:r>
        <w:rPr>
          <w:color w:val="000000"/>
          <w:sz w:val="24"/>
        </w:rPr>
        <w:t>7</w:t>
      </w:r>
      <w:r>
        <w:rPr>
          <w:color w:val="000000"/>
          <w:sz w:val="24"/>
        </w:rPr>
        <w:t>月和</w:t>
      </w:r>
      <w:r>
        <w:rPr>
          <w:color w:val="000000"/>
          <w:sz w:val="24"/>
        </w:rPr>
        <w:t>8</w:t>
      </w:r>
      <w:r>
        <w:rPr>
          <w:color w:val="000000"/>
          <w:sz w:val="24"/>
        </w:rPr>
        <w:t>月</w:t>
      </w:r>
      <w:r>
        <w:rPr>
          <w:color w:val="000000"/>
          <w:sz w:val="24"/>
        </w:rPr>
        <w:t>CPI</w:t>
      </w:r>
      <w:r>
        <w:rPr>
          <w:color w:val="000000"/>
          <w:sz w:val="24"/>
        </w:rPr>
        <w:t>同比都上涨</w:t>
      </w:r>
      <w:r>
        <w:rPr>
          <w:color w:val="000000"/>
          <w:sz w:val="24"/>
        </w:rPr>
        <w:t>2.8%</w:t>
      </w:r>
      <w:r>
        <w:rPr>
          <w:color w:val="000000"/>
          <w:sz w:val="24"/>
        </w:rPr>
        <w:t>，略超市场预期，结构上，主要是食品高于预期，非食品略低于预期，结构分化比较明显，非食品在形成通胀预期方面更为重要，从这个角度来看通胀压力可控。金融数据方面，</w:t>
      </w:r>
      <w:r>
        <w:rPr>
          <w:color w:val="000000"/>
          <w:sz w:val="24"/>
        </w:rPr>
        <w:t>7</w:t>
      </w:r>
      <w:r>
        <w:rPr>
          <w:color w:val="000000"/>
          <w:sz w:val="24"/>
        </w:rPr>
        <w:t>月新增社会融资规模数据较差，</w:t>
      </w:r>
      <w:r>
        <w:rPr>
          <w:color w:val="000000"/>
          <w:sz w:val="24"/>
        </w:rPr>
        <w:t>8</w:t>
      </w:r>
      <w:r>
        <w:rPr>
          <w:color w:val="000000"/>
          <w:sz w:val="24"/>
        </w:rPr>
        <w:t>月数据较好，是否具有持续性仍有待观察，结构上，表内实体贷款中居民中长期贷款持续表现较好。</w:t>
      </w:r>
    </w:p>
    <w:p w:rsidR="002354AD" w:rsidRDefault="00DE7037">
      <w:pPr>
        <w:spacing w:line="360" w:lineRule="auto"/>
        <w:ind w:firstLineChars="200" w:firstLine="480"/>
        <w:rPr>
          <w:color w:val="000000"/>
          <w:sz w:val="24"/>
        </w:rPr>
      </w:pPr>
      <w:r>
        <w:rPr>
          <w:color w:val="000000"/>
          <w:sz w:val="24"/>
        </w:rPr>
        <w:t>债券市场在三季度先涨后跌，呈现震荡走势。</w:t>
      </w:r>
      <w:r>
        <w:rPr>
          <w:color w:val="000000"/>
          <w:sz w:val="24"/>
        </w:rPr>
        <w:t>7-8</w:t>
      </w:r>
      <w:r>
        <w:rPr>
          <w:color w:val="000000"/>
          <w:sz w:val="24"/>
        </w:rPr>
        <w:t>月份，资金面在经过半年末后重回宽松，国内基本面数据不及预期，美联储降息预期增强并落实、中美贸易摩擦加剧，在多重利好因素影响下，债券市场持续上涨，</w:t>
      </w:r>
      <w:r>
        <w:rPr>
          <w:color w:val="000000"/>
          <w:sz w:val="24"/>
        </w:rPr>
        <w:t>10</w:t>
      </w:r>
      <w:r>
        <w:rPr>
          <w:color w:val="000000"/>
          <w:sz w:val="24"/>
        </w:rPr>
        <w:t>年以上的超长国</w:t>
      </w:r>
      <w:r>
        <w:rPr>
          <w:color w:val="000000"/>
          <w:sz w:val="24"/>
        </w:rPr>
        <w:t>债表现最佳。</w:t>
      </w:r>
      <w:r>
        <w:rPr>
          <w:color w:val="000000"/>
          <w:sz w:val="24"/>
        </w:rPr>
        <w:t>9</w:t>
      </w:r>
      <w:r>
        <w:rPr>
          <w:color w:val="000000"/>
          <w:sz w:val="24"/>
        </w:rPr>
        <w:t>月，中美贸易战呈现缓和迹象，猪价持续上涨推升通胀，债券市场的供给有所增加，从公开市场操作和央行官员的讲话中，均可读出央行对货币政策保持稳健和定力的决心，债券市场短期利好出尽、震荡下跌，结构上中长期债券调整较多，短期债券价格相对稳定。</w:t>
      </w:r>
    </w:p>
    <w:p w:rsidR="00F016DD" w:rsidRPr="00DF18FE" w:rsidRDefault="00F016DD" w:rsidP="00DF18FE">
      <w:pPr>
        <w:spacing w:line="360" w:lineRule="auto"/>
        <w:ind w:firstLineChars="200" w:firstLine="480"/>
        <w:rPr>
          <w:color w:val="000000"/>
          <w:sz w:val="24"/>
        </w:rPr>
      </w:pPr>
      <w:r w:rsidRPr="00DF18FE">
        <w:rPr>
          <w:color w:val="000000"/>
          <w:sz w:val="24"/>
        </w:rPr>
        <w:t>报告期内本基金主要以抽样复制的方式跟踪指数。操作上，基金总体上按照指数的结构和久期进行配置。</w:t>
      </w:r>
    </w:p>
    <w:p w:rsidR="00F016DD" w:rsidRPr="0078105B" w:rsidRDefault="00F016DD" w:rsidP="00FC13C8">
      <w:pPr>
        <w:spacing w:line="360" w:lineRule="auto"/>
        <w:rPr>
          <w:rFonts w:ascii="宋体"/>
          <w:sz w:val="24"/>
        </w:rPr>
      </w:pPr>
      <w:r w:rsidRPr="0078105B">
        <w:rPr>
          <w:rFonts w:ascii="宋体" w:hAnsi="宋体"/>
          <w:sz w:val="24"/>
        </w:rPr>
        <w:t>4.4.2</w:t>
      </w:r>
      <w:r w:rsidRPr="0078105B">
        <w:rPr>
          <w:rFonts w:ascii="宋体" w:hAnsi="宋体" w:hint="eastAsia"/>
          <w:sz w:val="24"/>
        </w:rPr>
        <w:t>报告期内基金的业绩表现</w:t>
      </w:r>
    </w:p>
    <w:p w:rsidR="00F016DD" w:rsidRPr="00DF18FE" w:rsidRDefault="00F016DD" w:rsidP="00DF18FE">
      <w:pPr>
        <w:spacing w:line="360" w:lineRule="auto"/>
        <w:ind w:firstLineChars="200" w:firstLine="480"/>
        <w:rPr>
          <w:color w:val="000000"/>
          <w:sz w:val="24"/>
        </w:rPr>
      </w:pPr>
      <w:r w:rsidRPr="00DF18FE">
        <w:rPr>
          <w:color w:val="000000"/>
          <w:sz w:val="24"/>
        </w:rPr>
        <w:t>截至报告期末，本基金</w:t>
      </w:r>
      <w:r w:rsidRPr="00DF18FE">
        <w:rPr>
          <w:color w:val="000000"/>
          <w:sz w:val="24"/>
        </w:rPr>
        <w:t>A</w:t>
      </w:r>
      <w:r w:rsidRPr="00DF18FE">
        <w:rPr>
          <w:color w:val="000000"/>
          <w:sz w:val="24"/>
        </w:rPr>
        <w:t>类基金份额净值为</w:t>
      </w:r>
      <w:r w:rsidRPr="00DF18FE">
        <w:rPr>
          <w:color w:val="000000"/>
          <w:sz w:val="24"/>
        </w:rPr>
        <w:t>1.0039</w:t>
      </w:r>
      <w:r w:rsidRPr="00DF18FE">
        <w:rPr>
          <w:color w:val="000000"/>
          <w:sz w:val="24"/>
        </w:rPr>
        <w:t>元，本报告期份额净值增长</w:t>
      </w:r>
      <w:r w:rsidRPr="00DF18FE">
        <w:rPr>
          <w:color w:val="000000"/>
          <w:sz w:val="24"/>
        </w:rPr>
        <w:lastRenderedPageBreak/>
        <w:t>率为</w:t>
      </w:r>
      <w:r w:rsidRPr="00DF18FE">
        <w:rPr>
          <w:color w:val="000000"/>
          <w:sz w:val="24"/>
        </w:rPr>
        <w:t>1.01%</w:t>
      </w:r>
      <w:r w:rsidRPr="00DF18FE">
        <w:rPr>
          <w:color w:val="000000"/>
          <w:sz w:val="24"/>
        </w:rPr>
        <w:t>；</w:t>
      </w:r>
      <w:r w:rsidRPr="00DF18FE">
        <w:rPr>
          <w:color w:val="000000"/>
          <w:sz w:val="24"/>
        </w:rPr>
        <w:t>C</w:t>
      </w:r>
      <w:r w:rsidRPr="00DF18FE">
        <w:rPr>
          <w:color w:val="000000"/>
          <w:sz w:val="24"/>
        </w:rPr>
        <w:t>类基金份额净值为</w:t>
      </w:r>
      <w:r w:rsidRPr="00DF18FE">
        <w:rPr>
          <w:color w:val="000000"/>
          <w:sz w:val="24"/>
        </w:rPr>
        <w:t>1.0042</w:t>
      </w:r>
      <w:r w:rsidRPr="00DF18FE">
        <w:rPr>
          <w:color w:val="000000"/>
          <w:sz w:val="24"/>
        </w:rPr>
        <w:t>元，本报告期份额净值增长率为</w:t>
      </w:r>
      <w:r w:rsidRPr="00DF18FE">
        <w:rPr>
          <w:color w:val="000000"/>
          <w:sz w:val="24"/>
        </w:rPr>
        <w:t>0.98%</w:t>
      </w:r>
      <w:r w:rsidRPr="00DF18FE">
        <w:rPr>
          <w:color w:val="000000"/>
          <w:sz w:val="24"/>
        </w:rPr>
        <w:t>；同期业绩比较基准收益率为</w:t>
      </w:r>
      <w:r w:rsidRPr="00DF18FE">
        <w:rPr>
          <w:color w:val="000000"/>
          <w:sz w:val="24"/>
        </w:rPr>
        <w:t>0.98%</w:t>
      </w:r>
      <w:r w:rsidRPr="00DF18FE">
        <w:rPr>
          <w:color w:val="000000"/>
          <w:sz w:val="24"/>
        </w:rPr>
        <w:t>。</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5  </w:t>
      </w:r>
      <w:r w:rsidRPr="0078105B">
        <w:rPr>
          <w:rFonts w:ascii="宋体" w:hAnsi="宋体" w:cs="Arial" w:hint="eastAsia"/>
          <w:color w:val="000000"/>
          <w:kern w:val="0"/>
          <w:sz w:val="24"/>
          <w:szCs w:val="24"/>
        </w:rPr>
        <w:t>投资组合报告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5.1 </w:t>
      </w:r>
      <w:r w:rsidRPr="0078105B">
        <w:rPr>
          <w:rFonts w:ascii="宋体" w:hAnsi="宋体" w:cs="Arial" w:hint="eastAsia"/>
          <w:b/>
          <w:color w:val="000000"/>
          <w:kern w:val="0"/>
          <w:sz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序号</w:t>
            </w:r>
          </w:p>
        </w:tc>
        <w:tc>
          <w:tcPr>
            <w:tcW w:w="3357"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项目</w:t>
            </w:r>
          </w:p>
        </w:tc>
        <w:tc>
          <w:tcPr>
            <w:tcW w:w="2977"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金额</w:t>
            </w:r>
            <w:r w:rsidRPr="00FA472B">
              <w:rPr>
                <w:color w:val="000000"/>
                <w:sz w:val="24"/>
              </w:rPr>
              <w:t>(</w:t>
            </w:r>
            <w:r w:rsidRPr="00FA472B">
              <w:rPr>
                <w:color w:val="000000"/>
                <w:sz w:val="24"/>
              </w:rPr>
              <w:t>元</w:t>
            </w:r>
            <w:r w:rsidRPr="00FA472B">
              <w:rPr>
                <w:color w:val="000000"/>
                <w:sz w:val="24"/>
              </w:rPr>
              <w:t>)</w:t>
            </w:r>
          </w:p>
        </w:tc>
        <w:tc>
          <w:tcPr>
            <w:tcW w:w="1843"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占基金总资产的比例</w:t>
            </w: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1</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权益投资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其中：股票</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2</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固定收益投资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4,719,275,000.00</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96.61</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其中：债券</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4,719,275,000.00</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96.61</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autoSpaceDE w:val="0"/>
              <w:autoSpaceDN w:val="0"/>
              <w:adjustRightInd w:val="0"/>
              <w:spacing w:before="29" w:line="360" w:lineRule="auto"/>
              <w:ind w:left="17"/>
              <w:jc w:val="left"/>
              <w:rPr>
                <w:color w:val="000000"/>
                <w:sz w:val="24"/>
              </w:rPr>
            </w:pPr>
            <w:r w:rsidRPr="00FA472B">
              <w:rPr>
                <w:color w:val="000000"/>
                <w:sz w:val="24"/>
              </w:rPr>
              <w:t>资产支持证券</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tcPr>
          <w:p w:rsidR="00F016DD" w:rsidRPr="00FA472B" w:rsidRDefault="00F016DD" w:rsidP="00F4518C">
            <w:pPr>
              <w:spacing w:before="29" w:line="360" w:lineRule="auto"/>
              <w:ind w:left="17"/>
              <w:jc w:val="center"/>
              <w:rPr>
                <w:color w:val="000000"/>
                <w:sz w:val="24"/>
              </w:rPr>
            </w:pPr>
            <w:r w:rsidRPr="00FA472B">
              <w:rPr>
                <w:color w:val="000000"/>
                <w:sz w:val="24"/>
              </w:rPr>
              <w:t>3</w:t>
            </w:r>
          </w:p>
        </w:tc>
        <w:tc>
          <w:tcPr>
            <w:tcW w:w="3357" w:type="dxa"/>
          </w:tcPr>
          <w:p w:rsidR="00F016DD" w:rsidRPr="00FA472B" w:rsidRDefault="00F016DD" w:rsidP="00174038">
            <w:pPr>
              <w:spacing w:before="29" w:line="360" w:lineRule="auto"/>
              <w:ind w:leftChars="50" w:left="105"/>
              <w:rPr>
                <w:color w:val="000000"/>
                <w:sz w:val="24"/>
              </w:rPr>
            </w:pPr>
            <w:r w:rsidRPr="00FA472B">
              <w:rPr>
                <w:color w:val="000000"/>
                <w:sz w:val="24"/>
              </w:rPr>
              <w:t>贵金属投资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4</w:t>
            </w:r>
          </w:p>
        </w:tc>
        <w:tc>
          <w:tcPr>
            <w:tcW w:w="3357" w:type="dxa"/>
            <w:vAlign w:val="center"/>
          </w:tcPr>
          <w:p w:rsidR="00F016DD" w:rsidRPr="00FA472B" w:rsidRDefault="00F016DD" w:rsidP="00F4518C">
            <w:pPr>
              <w:spacing w:before="29" w:line="360" w:lineRule="auto"/>
              <w:ind w:left="17"/>
              <w:jc w:val="left"/>
              <w:rPr>
                <w:color w:val="000000"/>
                <w:sz w:val="24"/>
              </w:rPr>
            </w:pPr>
            <w:r w:rsidRPr="00FA472B">
              <w:rPr>
                <w:color w:val="000000"/>
                <w:sz w:val="24"/>
              </w:rPr>
              <w:t>金融衍生品投资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5</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买入返售金融资产</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73,500,230.25</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1.50</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其中：买断式回购的买入返售金融资产</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6</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银行存款和结算备付金合计</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2,233,476.34</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0.05</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7</w:t>
            </w:r>
          </w:p>
        </w:tc>
        <w:tc>
          <w:tcPr>
            <w:tcW w:w="3357" w:type="dxa"/>
            <w:vAlign w:val="center"/>
          </w:tcPr>
          <w:p w:rsidR="00F016DD" w:rsidRPr="00FA472B" w:rsidRDefault="00F016DD" w:rsidP="00F4518C">
            <w:pPr>
              <w:jc w:val="left"/>
              <w:rPr>
                <w:sz w:val="24"/>
              </w:rPr>
            </w:pPr>
            <w:r w:rsidRPr="00FA472B">
              <w:rPr>
                <w:color w:val="000000"/>
                <w:sz w:val="24"/>
              </w:rPr>
              <w:t>其他资产</w:t>
            </w:r>
          </w:p>
        </w:tc>
        <w:tc>
          <w:tcPr>
            <w:tcW w:w="2977" w:type="dxa"/>
            <w:vAlign w:val="center"/>
          </w:tcPr>
          <w:p w:rsidR="00F016DD" w:rsidRPr="00FA472B" w:rsidRDefault="00F016DD" w:rsidP="00F4518C">
            <w:pPr>
              <w:jc w:val="right"/>
              <w:rPr>
                <w:color w:val="000000"/>
                <w:sz w:val="24"/>
              </w:rPr>
            </w:pPr>
            <w:r w:rsidRPr="00FA472B">
              <w:rPr>
                <w:color w:val="000000"/>
                <w:sz w:val="24"/>
              </w:rPr>
              <w:t>89,801,804.07</w:t>
            </w:r>
          </w:p>
        </w:tc>
        <w:tc>
          <w:tcPr>
            <w:tcW w:w="1843" w:type="dxa"/>
            <w:vAlign w:val="center"/>
          </w:tcPr>
          <w:p w:rsidR="00F016DD" w:rsidRPr="00FA472B" w:rsidRDefault="00F016DD" w:rsidP="00F4518C">
            <w:pPr>
              <w:jc w:val="right"/>
              <w:rPr>
                <w:color w:val="000000"/>
                <w:sz w:val="24"/>
              </w:rPr>
            </w:pPr>
            <w:r w:rsidRPr="00FA472B">
              <w:rPr>
                <w:color w:val="000000"/>
                <w:sz w:val="24"/>
              </w:rPr>
              <w:t>1.84</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8</w:t>
            </w:r>
          </w:p>
        </w:tc>
        <w:tc>
          <w:tcPr>
            <w:tcW w:w="3357" w:type="dxa"/>
            <w:vAlign w:val="center"/>
          </w:tcPr>
          <w:p w:rsidR="00F016DD" w:rsidRPr="00FA472B" w:rsidRDefault="00F016DD" w:rsidP="00F4518C">
            <w:pPr>
              <w:jc w:val="left"/>
              <w:rPr>
                <w:sz w:val="24"/>
              </w:rPr>
            </w:pPr>
            <w:r w:rsidRPr="00FA472B">
              <w:rPr>
                <w:color w:val="000000"/>
                <w:sz w:val="24"/>
              </w:rPr>
              <w:t>合计</w:t>
            </w:r>
          </w:p>
        </w:tc>
        <w:tc>
          <w:tcPr>
            <w:tcW w:w="2977" w:type="dxa"/>
            <w:vAlign w:val="center"/>
          </w:tcPr>
          <w:p w:rsidR="00F016DD" w:rsidRPr="00FA472B" w:rsidRDefault="00F016DD" w:rsidP="00F4518C">
            <w:pPr>
              <w:jc w:val="right"/>
              <w:rPr>
                <w:color w:val="000000"/>
                <w:sz w:val="24"/>
              </w:rPr>
            </w:pPr>
            <w:r w:rsidRPr="00FA472B">
              <w:rPr>
                <w:color w:val="000000"/>
                <w:sz w:val="24"/>
              </w:rPr>
              <w:t>4,884,810,510.66</w:t>
            </w:r>
          </w:p>
        </w:tc>
        <w:tc>
          <w:tcPr>
            <w:tcW w:w="1843" w:type="dxa"/>
            <w:vAlign w:val="center"/>
          </w:tcPr>
          <w:p w:rsidR="00F016DD" w:rsidRPr="00FA472B" w:rsidRDefault="00F016DD" w:rsidP="00F4518C">
            <w:pPr>
              <w:jc w:val="right"/>
              <w:rPr>
                <w:color w:val="000000"/>
                <w:sz w:val="24"/>
              </w:rPr>
            </w:pPr>
            <w:r w:rsidRPr="00FA472B">
              <w:rPr>
                <w:color w:val="000000"/>
                <w:sz w:val="24"/>
              </w:rPr>
              <w:t>100.00</w:t>
            </w:r>
          </w:p>
        </w:tc>
      </w:tr>
    </w:tbl>
    <w:p w:rsidR="00874AA3" w:rsidRPr="00C70969" w:rsidRDefault="00874AA3" w:rsidP="00B54884">
      <w:pPr>
        <w:autoSpaceDE w:val="0"/>
        <w:autoSpaceDN w:val="0"/>
        <w:adjustRightInd w:val="0"/>
        <w:spacing w:beforeLines="100" w:before="312" w:line="360" w:lineRule="auto"/>
        <w:jc w:val="left"/>
        <w:rPr>
          <w:rFonts w:eastAsiaTheme="minorEastAsia"/>
          <w:b/>
          <w:color w:val="000000" w:themeColor="text1"/>
          <w:kern w:val="0"/>
          <w:sz w:val="24"/>
        </w:rPr>
      </w:pPr>
      <w:r w:rsidRPr="00C70969">
        <w:rPr>
          <w:rFonts w:eastAsiaTheme="minorEastAsia"/>
          <w:b/>
          <w:color w:val="000000" w:themeColor="text1"/>
          <w:kern w:val="0"/>
          <w:sz w:val="24"/>
        </w:rPr>
        <w:t xml:space="preserve">5.2 </w:t>
      </w:r>
      <w:r w:rsidRPr="00C70969">
        <w:rPr>
          <w:rFonts w:eastAsiaTheme="minorEastAsia"/>
          <w:b/>
          <w:color w:val="000000" w:themeColor="text1"/>
          <w:kern w:val="0"/>
          <w:sz w:val="24"/>
        </w:rPr>
        <w:t>报告期末按行业分类的股票投资组合</w:t>
      </w:r>
    </w:p>
    <w:p w:rsidR="00874AA3" w:rsidRPr="00C70969" w:rsidRDefault="00874AA3" w:rsidP="00874AA3">
      <w:pPr>
        <w:rPr>
          <w:b/>
          <w:sz w:val="24"/>
        </w:rPr>
      </w:pPr>
      <w:r w:rsidRPr="00C70969">
        <w:rPr>
          <w:b/>
          <w:sz w:val="24"/>
        </w:rPr>
        <w:t xml:space="preserve"> </w:t>
      </w:r>
      <w:r w:rsidRPr="00C70969">
        <w:rPr>
          <w:rFonts w:eastAsiaTheme="minorEastAsia"/>
          <w:b/>
          <w:color w:val="000000" w:themeColor="text1"/>
          <w:kern w:val="0"/>
          <w:sz w:val="24"/>
        </w:rPr>
        <w:t>5.2.1</w:t>
      </w:r>
      <w:r w:rsidRPr="00C70969">
        <w:rPr>
          <w:rFonts w:eastAsiaTheme="minorEastAsia"/>
          <w:b/>
          <w:color w:val="000000" w:themeColor="text1"/>
          <w:kern w:val="0"/>
          <w:sz w:val="24"/>
        </w:rPr>
        <w:t>报告期末按行业分类的境内股票投资组合</w:t>
      </w:r>
    </w:p>
    <w:p w:rsidR="00874AA3" w:rsidRPr="00EA6415" w:rsidRDefault="00874AA3" w:rsidP="00EA6415">
      <w:pPr>
        <w:spacing w:line="360" w:lineRule="auto"/>
        <w:ind w:firstLineChars="200" w:firstLine="480"/>
        <w:rPr>
          <w:color w:val="000000"/>
          <w:sz w:val="24"/>
        </w:rPr>
      </w:pPr>
      <w:r w:rsidRPr="00EA6415">
        <w:rPr>
          <w:color w:val="000000"/>
          <w:sz w:val="24"/>
        </w:rPr>
        <w:t>本基金本报告期末未持有境内股票。</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5.3 </w:t>
      </w:r>
      <w:r w:rsidRPr="0078105B">
        <w:rPr>
          <w:rFonts w:ascii="宋体" w:hAnsi="宋体" w:cs="Arial" w:hint="eastAsia"/>
          <w:b/>
          <w:color w:val="000000"/>
          <w:kern w:val="0"/>
          <w:sz w:val="24"/>
        </w:rPr>
        <w:t>报告期末按公允价值占基金资产净值比例大小排序的前十名股票投资明细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本基金本报告期末未持有股票。</w:t>
      </w:r>
    </w:p>
    <w:p w:rsidR="006A1153" w:rsidRPr="006A1153" w:rsidRDefault="00F016DD" w:rsidP="00B54884">
      <w:pPr>
        <w:autoSpaceDE w:val="0"/>
        <w:autoSpaceDN w:val="0"/>
        <w:adjustRightInd w:val="0"/>
        <w:spacing w:beforeLines="100" w:before="312" w:line="360" w:lineRule="auto"/>
        <w:jc w:val="left"/>
        <w:rPr>
          <w:rFonts w:eastAsiaTheme="minorEastAsia"/>
          <w:b/>
          <w:color w:val="000000" w:themeColor="text1"/>
          <w:kern w:val="0"/>
          <w:sz w:val="24"/>
        </w:rPr>
      </w:pPr>
      <w:r w:rsidRPr="0078105B">
        <w:rPr>
          <w:rFonts w:ascii="宋体" w:hAnsi="宋体" w:cs="Arial"/>
          <w:b/>
          <w:color w:val="000000"/>
          <w:kern w:val="0"/>
          <w:sz w:val="24"/>
        </w:rPr>
        <w:t xml:space="preserve">5.4 </w:t>
      </w:r>
      <w:r w:rsidRPr="0078105B">
        <w:rPr>
          <w:rFonts w:ascii="宋体" w:hAnsi="宋体" w:cs="Arial" w:hint="eastAsia"/>
          <w:b/>
          <w:color w:val="000000"/>
          <w:kern w:val="0"/>
          <w:sz w:val="24"/>
        </w:rPr>
        <w:t>报告期末按债券品种分类的债券投资组合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260"/>
        <w:gridCol w:w="2835"/>
        <w:gridCol w:w="1616"/>
      </w:tblGrid>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序号</w:t>
            </w:r>
          </w:p>
        </w:tc>
        <w:tc>
          <w:tcPr>
            <w:tcW w:w="3260"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债券品种</w:t>
            </w:r>
          </w:p>
        </w:tc>
        <w:tc>
          <w:tcPr>
            <w:tcW w:w="2835"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公允价值</w:t>
            </w:r>
            <w:r w:rsidRPr="006A1153">
              <w:rPr>
                <w:rFonts w:eastAsiaTheme="minorEastAsia"/>
                <w:color w:val="000000" w:themeColor="text1"/>
                <w:sz w:val="24"/>
              </w:rPr>
              <w:t>(</w:t>
            </w:r>
            <w:r w:rsidRPr="006A1153">
              <w:rPr>
                <w:rFonts w:eastAsiaTheme="minorEastAsia"/>
                <w:color w:val="000000" w:themeColor="text1"/>
                <w:sz w:val="24"/>
              </w:rPr>
              <w:t>元</w:t>
            </w: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占基金资产</w:t>
            </w:r>
            <w:r w:rsidRPr="006A1153">
              <w:rPr>
                <w:rFonts w:eastAsiaTheme="minorEastAsia"/>
                <w:color w:val="000000" w:themeColor="text1"/>
                <w:sz w:val="24"/>
              </w:rPr>
              <w:lastRenderedPageBreak/>
              <w:t>净值比例</w:t>
            </w:r>
            <w:r w:rsidRPr="006A1153">
              <w:rPr>
                <w:rFonts w:eastAsiaTheme="minorEastAsia"/>
                <w:color w:val="000000" w:themeColor="text1"/>
                <w:sz w:val="24"/>
              </w:rPr>
              <w:t>(</w:t>
            </w:r>
            <w:r w:rsidRPr="006A1153">
              <w:rPr>
                <w:rFonts w:eastAsiaTheme="minorEastAsia"/>
                <w:color w:val="000000" w:themeColor="text1"/>
                <w:sz w:val="24"/>
              </w:rPr>
              <w:t>％</w:t>
            </w: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lastRenderedPageBreak/>
              <w:t>1</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国家债券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2</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央行票据</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3</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金融债券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4,719,275,000.00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106.30</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其中：政策性金融债</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4,719,275,000.00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106.30</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4</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企业债券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5</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企业短期融资券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6</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中期票据</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7</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可转债</w:t>
            </w:r>
            <w:r w:rsidR="00524368" w:rsidRPr="00524368">
              <w:rPr>
                <w:rFonts w:eastAsiaTheme="minorEastAsia" w:hint="eastAsia"/>
                <w:color w:val="000000" w:themeColor="text1"/>
                <w:sz w:val="24"/>
              </w:rPr>
              <w:t>（可交换债）</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8</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同业存单</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9</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其他</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10</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合计</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4,719,275,000.00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106.30</w:t>
            </w:r>
          </w:p>
        </w:tc>
      </w:tr>
    </w:tbl>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5.5 </w:t>
      </w:r>
      <w:r w:rsidRPr="0078105B">
        <w:rPr>
          <w:rFonts w:ascii="宋体" w:hAnsi="宋体" w:cs="Arial" w:hint="eastAsia"/>
          <w:b/>
          <w:color w:val="000000"/>
          <w:kern w:val="0"/>
          <w:sz w:val="24"/>
        </w:rPr>
        <w:t>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的前五名债券投资明细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2"/>
        <w:gridCol w:w="1559"/>
        <w:gridCol w:w="1985"/>
        <w:gridCol w:w="1559"/>
        <w:gridCol w:w="2126"/>
        <w:gridCol w:w="990"/>
      </w:tblGrid>
      <w:tr w:rsidR="00F016DD" w:rsidRPr="0078105B" w:rsidTr="00CA7FF7">
        <w:tc>
          <w:tcPr>
            <w:tcW w:w="802"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序号</w:t>
            </w:r>
          </w:p>
        </w:tc>
        <w:tc>
          <w:tcPr>
            <w:tcW w:w="1559"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债券代码</w:t>
            </w:r>
          </w:p>
        </w:tc>
        <w:tc>
          <w:tcPr>
            <w:tcW w:w="1985"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债券名称</w:t>
            </w:r>
          </w:p>
        </w:tc>
        <w:tc>
          <w:tcPr>
            <w:tcW w:w="1559"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数量（张）</w:t>
            </w:r>
          </w:p>
        </w:tc>
        <w:tc>
          <w:tcPr>
            <w:tcW w:w="2126"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公允价值</w:t>
            </w:r>
            <w:r w:rsidRPr="00FA472B">
              <w:rPr>
                <w:color w:val="000000"/>
                <w:kern w:val="0"/>
                <w:sz w:val="24"/>
              </w:rPr>
              <w:t>(</w:t>
            </w:r>
            <w:r w:rsidRPr="00FA472B">
              <w:rPr>
                <w:color w:val="000000"/>
                <w:kern w:val="0"/>
                <w:sz w:val="24"/>
              </w:rPr>
              <w:t>元</w:t>
            </w:r>
            <w:r w:rsidRPr="00FA472B">
              <w:rPr>
                <w:color w:val="000000"/>
                <w:kern w:val="0"/>
                <w:sz w:val="24"/>
              </w:rPr>
              <w:t>)</w:t>
            </w:r>
          </w:p>
        </w:tc>
        <w:tc>
          <w:tcPr>
            <w:tcW w:w="990"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占基金资产净值比例（％）</w:t>
            </w:r>
          </w:p>
        </w:tc>
      </w:tr>
      <w:tr w:rsidR="002354AD">
        <w:tc>
          <w:tcPr>
            <w:tcW w:w="802" w:type="dxa"/>
            <w:vAlign w:val="center"/>
          </w:tcPr>
          <w:p w:rsidR="002354AD" w:rsidRDefault="00DE7037">
            <w:pPr>
              <w:jc w:val="center"/>
            </w:pPr>
            <w:r>
              <w:rPr>
                <w:color w:val="000000"/>
                <w:sz w:val="24"/>
              </w:rPr>
              <w:t>1</w:t>
            </w:r>
          </w:p>
        </w:tc>
        <w:tc>
          <w:tcPr>
            <w:tcW w:w="1559" w:type="dxa"/>
            <w:vAlign w:val="center"/>
          </w:tcPr>
          <w:p w:rsidR="002354AD" w:rsidRDefault="00DE7037">
            <w:pPr>
              <w:jc w:val="center"/>
            </w:pPr>
            <w:r>
              <w:rPr>
                <w:color w:val="000000"/>
                <w:sz w:val="24"/>
              </w:rPr>
              <w:t>160206</w:t>
            </w:r>
          </w:p>
        </w:tc>
        <w:tc>
          <w:tcPr>
            <w:tcW w:w="1985" w:type="dxa"/>
            <w:vAlign w:val="center"/>
          </w:tcPr>
          <w:p w:rsidR="002354AD" w:rsidRDefault="00DE7037">
            <w:pPr>
              <w:jc w:val="center"/>
            </w:pPr>
            <w:r>
              <w:rPr>
                <w:color w:val="000000"/>
                <w:sz w:val="24"/>
              </w:rPr>
              <w:t>16</w:t>
            </w:r>
            <w:r>
              <w:rPr>
                <w:color w:val="000000"/>
                <w:sz w:val="24"/>
              </w:rPr>
              <w:t>国开</w:t>
            </w:r>
            <w:r>
              <w:rPr>
                <w:color w:val="000000"/>
                <w:sz w:val="24"/>
              </w:rPr>
              <w:t>06</w:t>
            </w:r>
          </w:p>
        </w:tc>
        <w:tc>
          <w:tcPr>
            <w:tcW w:w="1559" w:type="dxa"/>
            <w:vAlign w:val="center"/>
          </w:tcPr>
          <w:p w:rsidR="002354AD" w:rsidRDefault="00DE7037">
            <w:pPr>
              <w:jc w:val="right"/>
            </w:pPr>
            <w:r>
              <w:rPr>
                <w:color w:val="000000"/>
                <w:sz w:val="24"/>
              </w:rPr>
              <w:t>10,100,000</w:t>
            </w:r>
          </w:p>
        </w:tc>
        <w:tc>
          <w:tcPr>
            <w:tcW w:w="2126" w:type="dxa"/>
            <w:vAlign w:val="center"/>
          </w:tcPr>
          <w:p w:rsidR="002354AD" w:rsidRDefault="00DE7037">
            <w:pPr>
              <w:jc w:val="right"/>
            </w:pPr>
            <w:r>
              <w:rPr>
                <w:color w:val="000000"/>
                <w:sz w:val="24"/>
              </w:rPr>
              <w:t>1,010,404,000.00</w:t>
            </w:r>
          </w:p>
        </w:tc>
        <w:tc>
          <w:tcPr>
            <w:tcW w:w="990" w:type="dxa"/>
            <w:vAlign w:val="center"/>
          </w:tcPr>
          <w:p w:rsidR="002354AD" w:rsidRDefault="00DE7037">
            <w:pPr>
              <w:jc w:val="right"/>
            </w:pPr>
            <w:r>
              <w:rPr>
                <w:color w:val="000000"/>
                <w:sz w:val="24"/>
              </w:rPr>
              <w:t>22.76</w:t>
            </w:r>
          </w:p>
        </w:tc>
      </w:tr>
      <w:tr w:rsidR="002354AD">
        <w:tc>
          <w:tcPr>
            <w:tcW w:w="802" w:type="dxa"/>
            <w:vAlign w:val="center"/>
          </w:tcPr>
          <w:p w:rsidR="002354AD" w:rsidRDefault="00DE7037">
            <w:pPr>
              <w:jc w:val="center"/>
            </w:pPr>
            <w:r>
              <w:rPr>
                <w:color w:val="000000"/>
                <w:sz w:val="24"/>
              </w:rPr>
              <w:t>2</w:t>
            </w:r>
          </w:p>
        </w:tc>
        <w:tc>
          <w:tcPr>
            <w:tcW w:w="1559" w:type="dxa"/>
            <w:vAlign w:val="center"/>
          </w:tcPr>
          <w:p w:rsidR="002354AD" w:rsidRDefault="00DE7037">
            <w:pPr>
              <w:jc w:val="center"/>
            </w:pPr>
            <w:r>
              <w:rPr>
                <w:color w:val="000000"/>
                <w:sz w:val="24"/>
              </w:rPr>
              <w:t>180212</w:t>
            </w:r>
          </w:p>
        </w:tc>
        <w:tc>
          <w:tcPr>
            <w:tcW w:w="1985" w:type="dxa"/>
            <w:vAlign w:val="center"/>
          </w:tcPr>
          <w:p w:rsidR="002354AD" w:rsidRDefault="00DE7037">
            <w:pPr>
              <w:jc w:val="center"/>
            </w:pPr>
            <w:r>
              <w:rPr>
                <w:color w:val="000000"/>
                <w:sz w:val="24"/>
              </w:rPr>
              <w:t>18</w:t>
            </w:r>
            <w:r>
              <w:rPr>
                <w:color w:val="000000"/>
                <w:sz w:val="24"/>
              </w:rPr>
              <w:t>国开</w:t>
            </w:r>
            <w:r>
              <w:rPr>
                <w:color w:val="000000"/>
                <w:sz w:val="24"/>
              </w:rPr>
              <w:t>12</w:t>
            </w:r>
          </w:p>
        </w:tc>
        <w:tc>
          <w:tcPr>
            <w:tcW w:w="1559" w:type="dxa"/>
            <w:vAlign w:val="center"/>
          </w:tcPr>
          <w:p w:rsidR="002354AD" w:rsidRDefault="00DE7037">
            <w:pPr>
              <w:jc w:val="right"/>
            </w:pPr>
            <w:r>
              <w:rPr>
                <w:color w:val="000000"/>
                <w:sz w:val="24"/>
              </w:rPr>
              <w:t>6,700,000</w:t>
            </w:r>
          </w:p>
        </w:tc>
        <w:tc>
          <w:tcPr>
            <w:tcW w:w="2126" w:type="dxa"/>
            <w:vAlign w:val="center"/>
          </w:tcPr>
          <w:p w:rsidR="002354AD" w:rsidRDefault="00DE7037">
            <w:pPr>
              <w:jc w:val="right"/>
            </w:pPr>
            <w:r>
              <w:rPr>
                <w:color w:val="000000"/>
                <w:sz w:val="24"/>
              </w:rPr>
              <w:t>678,978,000.00</w:t>
            </w:r>
          </w:p>
        </w:tc>
        <w:tc>
          <w:tcPr>
            <w:tcW w:w="990" w:type="dxa"/>
            <w:vAlign w:val="center"/>
          </w:tcPr>
          <w:p w:rsidR="002354AD" w:rsidRDefault="00DE7037">
            <w:pPr>
              <w:jc w:val="right"/>
            </w:pPr>
            <w:r>
              <w:rPr>
                <w:color w:val="000000"/>
                <w:sz w:val="24"/>
              </w:rPr>
              <w:t>15.29</w:t>
            </w:r>
          </w:p>
        </w:tc>
      </w:tr>
      <w:tr w:rsidR="002354AD">
        <w:tc>
          <w:tcPr>
            <w:tcW w:w="802" w:type="dxa"/>
            <w:vAlign w:val="center"/>
          </w:tcPr>
          <w:p w:rsidR="002354AD" w:rsidRDefault="00DE7037">
            <w:pPr>
              <w:jc w:val="center"/>
            </w:pPr>
            <w:r>
              <w:rPr>
                <w:color w:val="000000"/>
                <w:sz w:val="24"/>
              </w:rPr>
              <w:t>3</w:t>
            </w:r>
          </w:p>
        </w:tc>
        <w:tc>
          <w:tcPr>
            <w:tcW w:w="1559" w:type="dxa"/>
            <w:vAlign w:val="center"/>
          </w:tcPr>
          <w:p w:rsidR="002354AD" w:rsidRDefault="00DE7037">
            <w:pPr>
              <w:jc w:val="center"/>
            </w:pPr>
            <w:r>
              <w:rPr>
                <w:color w:val="000000"/>
                <w:sz w:val="24"/>
              </w:rPr>
              <w:t>160218</w:t>
            </w:r>
          </w:p>
        </w:tc>
        <w:tc>
          <w:tcPr>
            <w:tcW w:w="1985" w:type="dxa"/>
            <w:vAlign w:val="center"/>
          </w:tcPr>
          <w:p w:rsidR="002354AD" w:rsidRDefault="00DE7037">
            <w:pPr>
              <w:jc w:val="center"/>
            </w:pPr>
            <w:r>
              <w:rPr>
                <w:color w:val="000000"/>
                <w:sz w:val="24"/>
              </w:rPr>
              <w:t>16</w:t>
            </w:r>
            <w:r>
              <w:rPr>
                <w:color w:val="000000"/>
                <w:sz w:val="24"/>
              </w:rPr>
              <w:t>国开</w:t>
            </w:r>
            <w:r>
              <w:rPr>
                <w:color w:val="000000"/>
                <w:sz w:val="24"/>
              </w:rPr>
              <w:t>18</w:t>
            </w:r>
          </w:p>
        </w:tc>
        <w:tc>
          <w:tcPr>
            <w:tcW w:w="1559" w:type="dxa"/>
            <w:vAlign w:val="center"/>
          </w:tcPr>
          <w:p w:rsidR="002354AD" w:rsidRDefault="00DE7037">
            <w:pPr>
              <w:jc w:val="right"/>
            </w:pPr>
            <w:r>
              <w:rPr>
                <w:color w:val="000000"/>
                <w:sz w:val="24"/>
              </w:rPr>
              <w:t>5,000,000</w:t>
            </w:r>
          </w:p>
        </w:tc>
        <w:tc>
          <w:tcPr>
            <w:tcW w:w="2126" w:type="dxa"/>
            <w:vAlign w:val="center"/>
          </w:tcPr>
          <w:p w:rsidR="002354AD" w:rsidRDefault="00DE7037">
            <w:pPr>
              <w:jc w:val="right"/>
            </w:pPr>
            <w:r>
              <w:rPr>
                <w:color w:val="000000"/>
                <w:sz w:val="24"/>
              </w:rPr>
              <w:t>504,000,000.00</w:t>
            </w:r>
          </w:p>
        </w:tc>
        <w:tc>
          <w:tcPr>
            <w:tcW w:w="990" w:type="dxa"/>
            <w:vAlign w:val="center"/>
          </w:tcPr>
          <w:p w:rsidR="002354AD" w:rsidRDefault="00DE7037">
            <w:pPr>
              <w:jc w:val="right"/>
            </w:pPr>
            <w:r>
              <w:rPr>
                <w:color w:val="000000"/>
                <w:sz w:val="24"/>
              </w:rPr>
              <w:t>11.35</w:t>
            </w:r>
          </w:p>
        </w:tc>
      </w:tr>
      <w:tr w:rsidR="002354AD">
        <w:tc>
          <w:tcPr>
            <w:tcW w:w="802" w:type="dxa"/>
            <w:vAlign w:val="center"/>
          </w:tcPr>
          <w:p w:rsidR="002354AD" w:rsidRDefault="00DE7037">
            <w:pPr>
              <w:jc w:val="center"/>
            </w:pPr>
            <w:r>
              <w:rPr>
                <w:color w:val="000000"/>
                <w:sz w:val="24"/>
              </w:rPr>
              <w:t>4</w:t>
            </w:r>
          </w:p>
        </w:tc>
        <w:tc>
          <w:tcPr>
            <w:tcW w:w="1559" w:type="dxa"/>
            <w:vAlign w:val="center"/>
          </w:tcPr>
          <w:p w:rsidR="002354AD" w:rsidRDefault="00DE7037">
            <w:pPr>
              <w:jc w:val="center"/>
            </w:pPr>
            <w:r>
              <w:rPr>
                <w:color w:val="000000"/>
                <w:sz w:val="24"/>
              </w:rPr>
              <w:t>140203</w:t>
            </w:r>
          </w:p>
        </w:tc>
        <w:tc>
          <w:tcPr>
            <w:tcW w:w="1985" w:type="dxa"/>
            <w:vAlign w:val="center"/>
          </w:tcPr>
          <w:p w:rsidR="002354AD" w:rsidRDefault="00DE7037">
            <w:pPr>
              <w:jc w:val="center"/>
            </w:pPr>
            <w:r>
              <w:rPr>
                <w:color w:val="000000"/>
                <w:sz w:val="24"/>
              </w:rPr>
              <w:t>14</w:t>
            </w:r>
            <w:r>
              <w:rPr>
                <w:color w:val="000000"/>
                <w:sz w:val="24"/>
              </w:rPr>
              <w:t>国开</w:t>
            </w:r>
            <w:r>
              <w:rPr>
                <w:color w:val="000000"/>
                <w:sz w:val="24"/>
              </w:rPr>
              <w:t>03</w:t>
            </w:r>
          </w:p>
        </w:tc>
        <w:tc>
          <w:tcPr>
            <w:tcW w:w="1559" w:type="dxa"/>
            <w:vAlign w:val="center"/>
          </w:tcPr>
          <w:p w:rsidR="002354AD" w:rsidRDefault="00DE7037">
            <w:pPr>
              <w:jc w:val="right"/>
            </w:pPr>
            <w:r>
              <w:rPr>
                <w:color w:val="000000"/>
                <w:sz w:val="24"/>
              </w:rPr>
              <w:t>4,100,000</w:t>
            </w:r>
          </w:p>
        </w:tc>
        <w:tc>
          <w:tcPr>
            <w:tcW w:w="2126" w:type="dxa"/>
            <w:vAlign w:val="center"/>
          </w:tcPr>
          <w:p w:rsidR="002354AD" w:rsidRDefault="00DE7037">
            <w:pPr>
              <w:jc w:val="right"/>
            </w:pPr>
            <w:r>
              <w:rPr>
                <w:color w:val="000000"/>
                <w:sz w:val="24"/>
              </w:rPr>
              <w:t>425,375,000.00</w:t>
            </w:r>
          </w:p>
        </w:tc>
        <w:tc>
          <w:tcPr>
            <w:tcW w:w="990" w:type="dxa"/>
            <w:vAlign w:val="center"/>
          </w:tcPr>
          <w:p w:rsidR="002354AD" w:rsidRDefault="00DE7037">
            <w:pPr>
              <w:jc w:val="right"/>
            </w:pPr>
            <w:r>
              <w:rPr>
                <w:color w:val="000000"/>
                <w:sz w:val="24"/>
              </w:rPr>
              <w:t>9.58</w:t>
            </w:r>
          </w:p>
        </w:tc>
      </w:tr>
      <w:tr w:rsidR="002354AD">
        <w:tc>
          <w:tcPr>
            <w:tcW w:w="802" w:type="dxa"/>
            <w:vAlign w:val="center"/>
          </w:tcPr>
          <w:p w:rsidR="002354AD" w:rsidRDefault="00DE7037">
            <w:pPr>
              <w:jc w:val="center"/>
            </w:pPr>
            <w:r>
              <w:rPr>
                <w:color w:val="000000"/>
                <w:sz w:val="24"/>
              </w:rPr>
              <w:t>5</w:t>
            </w:r>
          </w:p>
        </w:tc>
        <w:tc>
          <w:tcPr>
            <w:tcW w:w="1559" w:type="dxa"/>
            <w:vAlign w:val="center"/>
          </w:tcPr>
          <w:p w:rsidR="002354AD" w:rsidRDefault="00DE7037">
            <w:pPr>
              <w:jc w:val="center"/>
            </w:pPr>
            <w:r>
              <w:rPr>
                <w:color w:val="000000"/>
                <w:sz w:val="24"/>
              </w:rPr>
              <w:t>180203</w:t>
            </w:r>
          </w:p>
        </w:tc>
        <w:tc>
          <w:tcPr>
            <w:tcW w:w="1985" w:type="dxa"/>
            <w:vAlign w:val="center"/>
          </w:tcPr>
          <w:p w:rsidR="002354AD" w:rsidRDefault="00DE7037">
            <w:pPr>
              <w:jc w:val="center"/>
            </w:pPr>
            <w:r>
              <w:rPr>
                <w:color w:val="000000"/>
                <w:sz w:val="24"/>
              </w:rPr>
              <w:t>18</w:t>
            </w:r>
            <w:r>
              <w:rPr>
                <w:color w:val="000000"/>
                <w:sz w:val="24"/>
              </w:rPr>
              <w:t>国开</w:t>
            </w:r>
            <w:r>
              <w:rPr>
                <w:color w:val="000000"/>
                <w:sz w:val="24"/>
              </w:rPr>
              <w:t>03</w:t>
            </w:r>
          </w:p>
        </w:tc>
        <w:tc>
          <w:tcPr>
            <w:tcW w:w="1559" w:type="dxa"/>
            <w:vAlign w:val="center"/>
          </w:tcPr>
          <w:p w:rsidR="002354AD" w:rsidRDefault="00DE7037">
            <w:pPr>
              <w:jc w:val="right"/>
            </w:pPr>
            <w:r>
              <w:rPr>
                <w:color w:val="000000"/>
                <w:sz w:val="24"/>
              </w:rPr>
              <w:t>4,000,000</w:t>
            </w:r>
          </w:p>
        </w:tc>
        <w:tc>
          <w:tcPr>
            <w:tcW w:w="2126" w:type="dxa"/>
            <w:vAlign w:val="center"/>
          </w:tcPr>
          <w:p w:rsidR="002354AD" w:rsidRDefault="00DE7037">
            <w:pPr>
              <w:jc w:val="right"/>
            </w:pPr>
            <w:r>
              <w:rPr>
                <w:color w:val="000000"/>
                <w:sz w:val="24"/>
              </w:rPr>
              <w:t>409,760,000.00</w:t>
            </w:r>
          </w:p>
        </w:tc>
        <w:tc>
          <w:tcPr>
            <w:tcW w:w="990" w:type="dxa"/>
            <w:vAlign w:val="center"/>
          </w:tcPr>
          <w:p w:rsidR="002354AD" w:rsidRDefault="00DE7037">
            <w:pPr>
              <w:jc w:val="right"/>
            </w:pPr>
            <w:r>
              <w:rPr>
                <w:color w:val="000000"/>
                <w:sz w:val="24"/>
              </w:rPr>
              <w:t>9.23</w:t>
            </w:r>
          </w:p>
        </w:tc>
      </w:tr>
    </w:tbl>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5.6</w:t>
      </w:r>
      <w:r w:rsidRPr="0078105B">
        <w:rPr>
          <w:rFonts w:ascii="宋体" w:hAnsi="宋体" w:cs="Arial" w:hint="eastAsia"/>
          <w:b/>
          <w:color w:val="000000"/>
          <w:kern w:val="0"/>
          <w:sz w:val="24"/>
        </w:rPr>
        <w:t xml:space="preserve">　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的前十名资产支持证券投资明细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本基金本报告期末未持有资产支持证券。</w:t>
      </w:r>
    </w:p>
    <w:p w:rsidR="00F016DD" w:rsidRPr="001D63BB" w:rsidRDefault="00F016DD" w:rsidP="006D462B">
      <w:pPr>
        <w:autoSpaceDE w:val="0"/>
        <w:autoSpaceDN w:val="0"/>
        <w:adjustRightInd w:val="0"/>
        <w:spacing w:line="360" w:lineRule="auto"/>
        <w:jc w:val="left"/>
        <w:rPr>
          <w:rFonts w:ascii="宋体"/>
          <w:b/>
          <w:bCs/>
          <w:color w:val="000000"/>
          <w:kern w:val="0"/>
          <w:sz w:val="24"/>
        </w:rPr>
      </w:pPr>
      <w:r w:rsidRPr="001B0A62">
        <w:rPr>
          <w:rFonts w:ascii="宋体" w:hAnsi="宋体"/>
          <w:b/>
          <w:bCs/>
          <w:color w:val="000000"/>
          <w:kern w:val="0"/>
          <w:sz w:val="24"/>
        </w:rPr>
        <w:t>5.</w:t>
      </w:r>
      <w:r w:rsidRPr="001B0A62">
        <w:rPr>
          <w:rFonts w:ascii="宋体"/>
          <w:b/>
          <w:bCs/>
          <w:color w:val="000000"/>
          <w:kern w:val="0"/>
          <w:sz w:val="24"/>
        </w:rPr>
        <w:t>7</w:t>
      </w:r>
      <w:r w:rsidRPr="001D63BB">
        <w:rPr>
          <w:rFonts w:ascii="宋体" w:hAnsi="宋体" w:hint="eastAsia"/>
          <w:b/>
          <w:bCs/>
          <w:color w:val="000000"/>
          <w:kern w:val="0"/>
          <w:sz w:val="24"/>
        </w:rPr>
        <w:t>报告期末按公允价值占基金资产净值比例大小排序的前五名贵金属投资明细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本基金本报告期末未持有贵金属。</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Pr>
          <w:rFonts w:ascii="宋体" w:hAnsi="宋体" w:cs="Arial"/>
          <w:b/>
          <w:color w:val="000000"/>
          <w:kern w:val="0"/>
          <w:sz w:val="24"/>
        </w:rPr>
        <w:t>5</w:t>
      </w:r>
      <w:r w:rsidRPr="0078105B">
        <w:rPr>
          <w:rFonts w:ascii="宋体" w:cs="Arial"/>
          <w:b/>
          <w:color w:val="000000"/>
          <w:kern w:val="0"/>
          <w:sz w:val="24"/>
        </w:rPr>
        <w:t>.</w:t>
      </w:r>
      <w:r>
        <w:rPr>
          <w:rFonts w:ascii="宋体" w:hAnsi="宋体" w:cs="Arial"/>
          <w:b/>
          <w:color w:val="000000"/>
          <w:kern w:val="0"/>
          <w:sz w:val="24"/>
        </w:rPr>
        <w:t>8</w:t>
      </w:r>
      <w:r w:rsidRPr="0078105B">
        <w:rPr>
          <w:rFonts w:ascii="宋体" w:hAnsi="宋体" w:cs="Arial" w:hint="eastAsia"/>
          <w:b/>
          <w:color w:val="000000"/>
          <w:kern w:val="0"/>
          <w:sz w:val="24"/>
        </w:rPr>
        <w:t>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的前五名权证投资明细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本基金本报告期末未持有权证。</w:t>
      </w:r>
    </w:p>
    <w:p w:rsidR="00F016DD" w:rsidRPr="00E85E29" w:rsidRDefault="00F016DD" w:rsidP="001D5CD0">
      <w:pPr>
        <w:adjustRightInd w:val="0"/>
        <w:snapToGrid w:val="0"/>
        <w:spacing w:line="360" w:lineRule="auto"/>
        <w:rPr>
          <w:rFonts w:ascii="宋体"/>
          <w:b/>
          <w:sz w:val="24"/>
        </w:rPr>
      </w:pPr>
      <w:r>
        <w:rPr>
          <w:rFonts w:ascii="宋体" w:hAnsi="宋体"/>
          <w:b/>
          <w:sz w:val="24"/>
        </w:rPr>
        <w:t>5.</w:t>
      </w:r>
      <w:r w:rsidRPr="00E85E29">
        <w:rPr>
          <w:rFonts w:ascii="宋体"/>
          <w:b/>
          <w:sz w:val="24"/>
        </w:rPr>
        <w:t>9</w:t>
      </w:r>
      <w:r w:rsidRPr="00E85E29">
        <w:rPr>
          <w:rFonts w:ascii="宋体" w:hAnsi="宋体" w:hint="eastAsia"/>
          <w:b/>
          <w:sz w:val="24"/>
        </w:rPr>
        <w:t>报告期末本基金投资的股指期货交易情况说明</w:t>
      </w:r>
    </w:p>
    <w:p w:rsidR="001F60E9" w:rsidRDefault="001F60E9" w:rsidP="001F60E9">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F016DD" w:rsidRPr="00E85E29" w:rsidRDefault="00F016DD" w:rsidP="001D5CD0">
      <w:pPr>
        <w:adjustRightInd w:val="0"/>
        <w:snapToGrid w:val="0"/>
        <w:spacing w:line="360" w:lineRule="auto"/>
        <w:rPr>
          <w:rFonts w:ascii="宋体"/>
          <w:b/>
          <w:sz w:val="24"/>
        </w:rPr>
      </w:pPr>
      <w:r w:rsidRPr="00E85E29">
        <w:rPr>
          <w:rFonts w:ascii="宋体" w:hAnsi="宋体"/>
          <w:b/>
          <w:sz w:val="24"/>
        </w:rPr>
        <w:lastRenderedPageBreak/>
        <w:t>5.10</w:t>
      </w:r>
      <w:r w:rsidRPr="00E85E29">
        <w:rPr>
          <w:rFonts w:ascii="宋体" w:hAnsi="宋体" w:hint="eastAsia"/>
          <w:b/>
          <w:sz w:val="24"/>
        </w:rPr>
        <w:t>报告期末本基金投资的国债期货交易情况说明</w:t>
      </w:r>
    </w:p>
    <w:p w:rsidR="00B249C0" w:rsidRDefault="00B249C0" w:rsidP="00B249C0">
      <w:pPr>
        <w:spacing w:line="360" w:lineRule="auto"/>
        <w:ind w:firstLineChars="200" w:firstLine="480"/>
      </w:pPr>
      <w:r>
        <w:rPr>
          <w:color w:val="000000"/>
          <w:sz w:val="24"/>
        </w:rPr>
        <w:t>本基金本报告期末未投资国债期货。</w:t>
      </w:r>
    </w:p>
    <w:p w:rsidR="00F016DD" w:rsidRPr="00E85E29" w:rsidRDefault="00F016DD" w:rsidP="001D5CD0">
      <w:pPr>
        <w:autoSpaceDE w:val="0"/>
        <w:autoSpaceDN w:val="0"/>
        <w:adjustRightInd w:val="0"/>
        <w:spacing w:line="360" w:lineRule="auto"/>
        <w:jc w:val="left"/>
        <w:rPr>
          <w:rFonts w:ascii="宋体" w:cs="Arial"/>
          <w:b/>
          <w:kern w:val="0"/>
          <w:sz w:val="24"/>
        </w:rPr>
      </w:pPr>
      <w:r w:rsidRPr="00E85E29">
        <w:rPr>
          <w:rFonts w:ascii="宋体" w:hAnsi="宋体" w:cs="Arial"/>
          <w:b/>
          <w:kern w:val="0"/>
          <w:sz w:val="24"/>
        </w:rPr>
        <w:t>5.11</w:t>
      </w:r>
      <w:r w:rsidRPr="00E85E29">
        <w:rPr>
          <w:rFonts w:ascii="宋体" w:hAnsi="宋体" w:cs="Arial" w:hint="eastAsia"/>
          <w:b/>
          <w:kern w:val="0"/>
          <w:sz w:val="24"/>
        </w:rPr>
        <w:t>投资组合报告附注</w:t>
      </w:r>
    </w:p>
    <w:p w:rsidR="00F016DD" w:rsidRPr="00414367" w:rsidRDefault="00F016DD" w:rsidP="006456D3">
      <w:pPr>
        <w:widowControl/>
        <w:spacing w:line="360" w:lineRule="auto"/>
        <w:rPr>
          <w:color w:val="000000"/>
          <w:sz w:val="24"/>
        </w:rPr>
      </w:pPr>
      <w:r w:rsidRPr="00414367">
        <w:rPr>
          <w:color w:val="000000"/>
          <w:sz w:val="24"/>
        </w:rPr>
        <w:t>5.11.1</w:t>
      </w:r>
      <w:r w:rsidRPr="00414367">
        <w:rPr>
          <w:color w:val="000000"/>
          <w:sz w:val="24"/>
        </w:rPr>
        <w:t>本基金投资的前十名证券的发行主体本期没有出现被监管部门立案调查，或在报告编制日前一年内受到公开谴责、处罚的情形。</w:t>
      </w:r>
    </w:p>
    <w:p w:rsidR="00F016DD" w:rsidRPr="00414367" w:rsidRDefault="00F016DD" w:rsidP="006456D3">
      <w:pPr>
        <w:widowControl/>
        <w:spacing w:line="360" w:lineRule="auto"/>
        <w:rPr>
          <w:color w:val="000000"/>
          <w:sz w:val="24"/>
        </w:rPr>
      </w:pPr>
      <w:r w:rsidRPr="00414367">
        <w:rPr>
          <w:color w:val="000000"/>
          <w:sz w:val="24"/>
        </w:rPr>
        <w:t>5.11.2</w:t>
      </w:r>
      <w:r w:rsidRPr="00414367">
        <w:rPr>
          <w:color w:val="000000"/>
          <w:sz w:val="24"/>
        </w:rPr>
        <w:t>本基金本报告期没有投资股票，因此不存在投资的前十名股票超出基金合同规定的备选股票库情况。</w:t>
      </w:r>
    </w:p>
    <w:p w:rsidR="00F016DD" w:rsidRPr="00414367" w:rsidRDefault="00F016DD" w:rsidP="001D5CD0">
      <w:pPr>
        <w:autoSpaceDE w:val="0"/>
        <w:autoSpaceDN w:val="0"/>
        <w:adjustRightInd w:val="0"/>
        <w:spacing w:line="360" w:lineRule="auto"/>
        <w:rPr>
          <w:kern w:val="0"/>
          <w:sz w:val="24"/>
        </w:rPr>
      </w:pPr>
      <w:r w:rsidRPr="00414367">
        <w:rPr>
          <w:kern w:val="0"/>
          <w:sz w:val="24"/>
        </w:rPr>
        <w:t>5.11.3</w:t>
      </w:r>
      <w:r w:rsidRPr="00414367">
        <w:rPr>
          <w:kern w:val="0"/>
          <w:sz w:val="24"/>
        </w:rPr>
        <w:t>其他资产构成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4"/>
        <w:gridCol w:w="2761"/>
        <w:gridCol w:w="4808"/>
      </w:tblGrid>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序号</w:t>
            </w:r>
          </w:p>
        </w:tc>
        <w:tc>
          <w:tcPr>
            <w:tcW w:w="2761"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名称</w:t>
            </w:r>
          </w:p>
        </w:tc>
        <w:tc>
          <w:tcPr>
            <w:tcW w:w="4808"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金额</w:t>
            </w:r>
            <w:r w:rsidRPr="00FA472B">
              <w:rPr>
                <w:color w:val="000000"/>
                <w:kern w:val="0"/>
                <w:sz w:val="24"/>
              </w:rPr>
              <w:t>(</w:t>
            </w:r>
            <w:r w:rsidRPr="00FA472B">
              <w:rPr>
                <w:color w:val="000000"/>
                <w:kern w:val="0"/>
                <w:sz w:val="24"/>
              </w:rPr>
              <w:t>元</w:t>
            </w: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kern w:val="0"/>
                <w:sz w:val="24"/>
              </w:rPr>
            </w:pPr>
            <w:r w:rsidRPr="00FA472B">
              <w:rPr>
                <w:color w:val="000000"/>
                <w:sz w:val="24"/>
              </w:rPr>
              <w:t>1</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存出保证金</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123.16</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2</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应收证券清算款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3</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应收股利</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4</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应收利息</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89,738,976.96</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5</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应收申购款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62,703.95</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6</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其他应收款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7</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sz w:val="24"/>
              </w:rPr>
            </w:pPr>
            <w:r w:rsidRPr="00FA472B">
              <w:rPr>
                <w:color w:val="000000"/>
                <w:sz w:val="24"/>
              </w:rPr>
              <w:t>待摊费用</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sz w:val="24"/>
              </w:rPr>
            </w:pPr>
            <w:r w:rsidRPr="00FA472B">
              <w:rPr>
                <w:color w:val="00000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8</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其他</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9</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合计</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89,801,804.07</w:t>
            </w:r>
          </w:p>
        </w:tc>
      </w:tr>
    </w:tbl>
    <w:p w:rsidR="00F016DD" w:rsidRPr="00E7356F" w:rsidRDefault="00F016DD" w:rsidP="001D5CD0">
      <w:pPr>
        <w:autoSpaceDE w:val="0"/>
        <w:autoSpaceDN w:val="0"/>
        <w:adjustRightInd w:val="0"/>
        <w:spacing w:line="360" w:lineRule="auto"/>
        <w:jc w:val="left"/>
        <w:rPr>
          <w:rFonts w:ascii="宋体" w:cs="Arial"/>
          <w:kern w:val="0"/>
          <w:sz w:val="24"/>
        </w:rPr>
      </w:pPr>
      <w:r w:rsidRPr="00E7356F">
        <w:rPr>
          <w:rFonts w:ascii="宋体" w:hAnsi="宋体" w:cs="Arial"/>
          <w:kern w:val="0"/>
          <w:sz w:val="24"/>
        </w:rPr>
        <w:t>5.11.4</w:t>
      </w:r>
      <w:r w:rsidRPr="00E7356F">
        <w:rPr>
          <w:rFonts w:ascii="宋体" w:hAnsi="宋体" w:cs="Arial" w:hint="eastAsia"/>
          <w:kern w:val="0"/>
          <w:sz w:val="24"/>
        </w:rPr>
        <w:t>报告期末持有的处于转股期的可转换债券明细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本基金本报告期末未持有处于转股期的可转换债券。</w:t>
      </w:r>
    </w:p>
    <w:p w:rsidR="00F016DD" w:rsidRPr="00E7356F" w:rsidRDefault="00F016DD" w:rsidP="001D5CD0">
      <w:pPr>
        <w:autoSpaceDE w:val="0"/>
        <w:autoSpaceDN w:val="0"/>
        <w:adjustRightInd w:val="0"/>
        <w:spacing w:line="360" w:lineRule="auto"/>
        <w:jc w:val="left"/>
        <w:rPr>
          <w:rFonts w:ascii="宋体"/>
          <w:bCs/>
          <w:sz w:val="24"/>
        </w:rPr>
      </w:pPr>
      <w:r w:rsidRPr="00E7356F">
        <w:rPr>
          <w:rFonts w:ascii="宋体" w:hAnsi="宋体" w:cs="Arial"/>
          <w:kern w:val="0"/>
          <w:sz w:val="24"/>
        </w:rPr>
        <w:t>5.11.5</w:t>
      </w:r>
      <w:r w:rsidRPr="00E7356F">
        <w:rPr>
          <w:rFonts w:ascii="宋体" w:hAnsi="宋体" w:hint="eastAsia"/>
          <w:bCs/>
          <w:sz w:val="24"/>
        </w:rPr>
        <w:t>报告期末前十名股票中存在流通受限情况的说明</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本基金本报告期末未持有股票。</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6  </w:t>
      </w:r>
      <w:r w:rsidRPr="0078105B">
        <w:rPr>
          <w:rFonts w:ascii="宋体" w:hAnsi="宋体" w:cs="Arial" w:hint="eastAsia"/>
          <w:color w:val="000000"/>
          <w:kern w:val="0"/>
          <w:sz w:val="24"/>
          <w:szCs w:val="24"/>
        </w:rPr>
        <w:t>开放式基金份额变动</w:t>
      </w:r>
    </w:p>
    <w:p w:rsidR="00F016DD" w:rsidRPr="00FA472B" w:rsidRDefault="00F016DD" w:rsidP="00302187">
      <w:pPr>
        <w:autoSpaceDE w:val="0"/>
        <w:autoSpaceDN w:val="0"/>
        <w:adjustRightInd w:val="0"/>
        <w:spacing w:before="29" w:line="288" w:lineRule="auto"/>
        <w:ind w:left="15" w:right="480"/>
        <w:jc w:val="right"/>
        <w:rPr>
          <w:rFonts w:ascii="宋体" w:hAnsi="宋体" w:cs="Arial"/>
          <w:color w:val="000000"/>
          <w:kern w:val="0"/>
          <w:sz w:val="24"/>
        </w:rPr>
      </w:pPr>
      <w:r w:rsidRPr="00FA472B">
        <w:rPr>
          <w:rFonts w:ascii="宋体" w:hAnsi="宋体" w:cs="Arial" w:hint="eastAsia"/>
          <w:color w:val="000000"/>
          <w:kern w:val="0"/>
          <w:sz w:val="24"/>
        </w:rPr>
        <w:t>单位：份</w:t>
      </w:r>
    </w:p>
    <w:tbl>
      <w:tblPr>
        <w:tblW w:w="0" w:type="auto"/>
        <w:tblInd w:w="-106" w:type="dxa"/>
        <w:tblLayout w:type="fixed"/>
        <w:tblLook w:val="0000" w:firstRow="0" w:lastRow="0" w:firstColumn="0" w:lastColumn="0" w:noHBand="0" w:noVBand="0"/>
      </w:tblPr>
      <w:tblGrid>
        <w:gridCol w:w="3900"/>
        <w:gridCol w:w="2367"/>
        <w:gridCol w:w="2367"/>
      </w:tblGrid>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B84643">
            <w:pPr>
              <w:autoSpaceDE w:val="0"/>
              <w:autoSpaceDN w:val="0"/>
              <w:adjustRightInd w:val="0"/>
              <w:spacing w:before="29" w:line="360" w:lineRule="auto"/>
              <w:ind w:left="17"/>
              <w:jc w:val="center"/>
              <w:rPr>
                <w:color w:val="000000"/>
                <w:kern w:val="0"/>
                <w:sz w:val="24"/>
              </w:rPr>
            </w:pPr>
            <w:r w:rsidRPr="00FA472B">
              <w:rPr>
                <w:color w:val="000000"/>
                <w:kern w:val="0"/>
                <w:sz w:val="24"/>
              </w:rPr>
              <w:t>项目</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sz w:val="24"/>
              </w:rPr>
              <w:t>易方达中债</w:t>
            </w:r>
            <w:r w:rsidRPr="00FA472B">
              <w:rPr>
                <w:sz w:val="24"/>
              </w:rPr>
              <w:t>1-3</w:t>
            </w:r>
            <w:r w:rsidRPr="00FA472B">
              <w:rPr>
                <w:sz w:val="24"/>
              </w:rPr>
              <w:t>年国开行债券指数</w:t>
            </w:r>
            <w:r w:rsidRPr="00FA472B">
              <w:rPr>
                <w:sz w:val="24"/>
              </w:rPr>
              <w:t>A</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sz w:val="24"/>
              </w:rPr>
              <w:t>易方达中债</w:t>
            </w:r>
            <w:r w:rsidRPr="00FA472B">
              <w:rPr>
                <w:sz w:val="24"/>
              </w:rPr>
              <w:t>1-3</w:t>
            </w:r>
            <w:r w:rsidRPr="00FA472B">
              <w:rPr>
                <w:sz w:val="24"/>
              </w:rPr>
              <w:t>年国开行债券指数</w:t>
            </w:r>
            <w:r w:rsidRPr="00FA472B">
              <w:rPr>
                <w:sz w:val="24"/>
              </w:rPr>
              <w:t>C</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报告期期初基金份额总额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4,292,186,260.36</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693,747.43</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lastRenderedPageBreak/>
              <w:t>报告期基金总申购份额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1,230,932,240.97</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6,063,633.76</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减：报告期基金总赎回份额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1,107,244,417.38</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339,815.39</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报告期基金拆分变动份额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报告期期末基金份额总额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B57BCF">
            <w:pPr>
              <w:autoSpaceDE w:val="0"/>
              <w:autoSpaceDN w:val="0"/>
              <w:adjustRightInd w:val="0"/>
              <w:spacing w:before="29" w:line="360" w:lineRule="auto"/>
              <w:ind w:left="17"/>
              <w:jc w:val="right"/>
              <w:rPr>
                <w:color w:val="000000"/>
                <w:sz w:val="24"/>
              </w:rPr>
            </w:pPr>
            <w:r w:rsidRPr="00FA472B">
              <w:rPr>
                <w:color w:val="000000"/>
                <w:sz w:val="24"/>
              </w:rPr>
              <w:t>4,415,874,083.95</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6,417,565.80</w:t>
            </w:r>
          </w:p>
        </w:tc>
      </w:tr>
    </w:tbl>
    <w:p w:rsidR="00F016DD" w:rsidRDefault="00F016DD" w:rsidP="00B54884">
      <w:pPr>
        <w:pStyle w:val="1"/>
        <w:tabs>
          <w:tab w:val="center" w:pos="4156"/>
          <w:tab w:val="right" w:pos="8312"/>
        </w:tabs>
        <w:spacing w:beforeLines="100" w:before="312" w:afterLines="100" w:after="312" w:line="360" w:lineRule="auto"/>
        <w:jc w:val="center"/>
        <w:rPr>
          <w:rFonts w:ascii="方正仿宋简体"/>
          <w:sz w:val="24"/>
          <w:szCs w:val="24"/>
        </w:rPr>
      </w:pPr>
      <w:r w:rsidRPr="00AB67DE">
        <w:rPr>
          <w:rFonts w:ascii="宋体" w:hAnsi="宋体" w:cs="Arial" w:hint="eastAsia"/>
          <w:color w:val="000000"/>
          <w:kern w:val="0"/>
          <w:sz w:val="24"/>
          <w:szCs w:val="24"/>
        </w:rPr>
        <w:t>§</w:t>
      </w:r>
      <w:r w:rsidRPr="00AB67DE">
        <w:rPr>
          <w:rFonts w:ascii="宋体" w:cs="Arial"/>
          <w:color w:val="000000"/>
          <w:kern w:val="0"/>
          <w:sz w:val="24"/>
          <w:szCs w:val="24"/>
        </w:rPr>
        <w:t>7</w:t>
      </w:r>
      <w:r w:rsidR="0066098B" w:rsidRPr="0078105B">
        <w:rPr>
          <w:rFonts w:ascii="宋体" w:hAnsi="宋体" w:cs="Arial"/>
          <w:color w:val="000000"/>
          <w:kern w:val="0"/>
          <w:sz w:val="24"/>
          <w:szCs w:val="24"/>
        </w:rPr>
        <w:t xml:space="preserve">  </w:t>
      </w:r>
      <w:r w:rsidRPr="0016464C">
        <w:rPr>
          <w:rFonts w:ascii="方正仿宋简体" w:hint="eastAsia"/>
          <w:sz w:val="24"/>
          <w:szCs w:val="24"/>
        </w:rPr>
        <w:t>基金管理人运用固有资金投资本基金情况</w:t>
      </w:r>
    </w:p>
    <w:p w:rsidR="00F016DD" w:rsidRPr="00B76BBB" w:rsidRDefault="00F016DD" w:rsidP="00935FB1">
      <w:pPr>
        <w:spacing w:line="360" w:lineRule="auto"/>
        <w:jc w:val="left"/>
        <w:rPr>
          <w:sz w:val="24"/>
        </w:rPr>
      </w:pPr>
      <w:r>
        <w:rPr>
          <w:b/>
          <w:sz w:val="24"/>
        </w:rPr>
        <w:t xml:space="preserve">7.1 </w:t>
      </w:r>
      <w:r>
        <w:rPr>
          <w:rFonts w:hint="eastAsia"/>
          <w:b/>
          <w:sz w:val="24"/>
        </w:rPr>
        <w:t>基</w:t>
      </w:r>
      <w:r w:rsidRPr="00B404F1">
        <w:rPr>
          <w:rFonts w:hint="eastAsia"/>
          <w:b/>
          <w:sz w:val="24"/>
        </w:rPr>
        <w:t>金管理人持有本基金份额变动情况</w:t>
      </w:r>
    </w:p>
    <w:p w:rsidR="00F016DD" w:rsidRPr="00DF18FE" w:rsidRDefault="00CC78C7" w:rsidP="00DF18FE">
      <w:pPr>
        <w:spacing w:line="360" w:lineRule="auto"/>
        <w:ind w:firstLineChars="200" w:firstLine="480"/>
        <w:rPr>
          <w:color w:val="000000"/>
          <w:sz w:val="24"/>
        </w:rPr>
      </w:pPr>
      <w:r w:rsidRPr="00DF18FE">
        <w:rPr>
          <w:color w:val="000000"/>
          <w:sz w:val="24"/>
        </w:rPr>
        <w:t>本报告期内基金管理人未持有本基金份额。</w:t>
      </w:r>
    </w:p>
    <w:p w:rsidR="00F016DD" w:rsidRPr="00B76BBB" w:rsidRDefault="00F016DD" w:rsidP="00935FB1">
      <w:pPr>
        <w:spacing w:line="360" w:lineRule="auto"/>
        <w:jc w:val="left"/>
        <w:rPr>
          <w:sz w:val="24"/>
        </w:rPr>
      </w:pPr>
      <w:r>
        <w:rPr>
          <w:b/>
          <w:sz w:val="24"/>
        </w:rPr>
        <w:t xml:space="preserve">7.2 </w:t>
      </w:r>
      <w:r>
        <w:rPr>
          <w:rFonts w:hint="eastAsia"/>
          <w:b/>
          <w:sz w:val="24"/>
        </w:rPr>
        <w:t>基</w:t>
      </w:r>
      <w:r w:rsidRPr="00B404F1">
        <w:rPr>
          <w:rFonts w:hint="eastAsia"/>
          <w:b/>
          <w:sz w:val="24"/>
        </w:rPr>
        <w:t>金管理人运用固有资金投资本基金交易明细</w:t>
      </w:r>
    </w:p>
    <w:p w:rsidR="00F016DD" w:rsidRPr="00DF18FE" w:rsidRDefault="00F016DD" w:rsidP="00DF18FE">
      <w:pPr>
        <w:spacing w:line="360" w:lineRule="auto"/>
        <w:ind w:firstLineChars="200" w:firstLine="480"/>
        <w:rPr>
          <w:color w:val="000000"/>
          <w:sz w:val="24"/>
        </w:rPr>
      </w:pPr>
      <w:r w:rsidRPr="00DF18FE">
        <w:rPr>
          <w:color w:val="000000"/>
          <w:sz w:val="24"/>
        </w:rPr>
        <w:t>本报告期内基金管理人未运用固有资金申购、赎回、买卖本基金份额。</w:t>
      </w:r>
    </w:p>
    <w:p w:rsidR="00997454" w:rsidRPr="00B75F09" w:rsidRDefault="00997454" w:rsidP="00997454">
      <w:pPr>
        <w:pStyle w:val="1"/>
        <w:spacing w:beforeLines="100" w:before="312" w:afterLines="100" w:after="312" w:line="360" w:lineRule="auto"/>
        <w:jc w:val="center"/>
        <w:rPr>
          <w:rFonts w:ascii="宋体" w:hAnsi="宋体" w:cs="Arial"/>
          <w:color w:val="000000"/>
          <w:kern w:val="0"/>
          <w:sz w:val="24"/>
          <w:szCs w:val="24"/>
        </w:rPr>
      </w:pPr>
      <w:r w:rsidRPr="00B75F09">
        <w:rPr>
          <w:rFonts w:ascii="宋体" w:hAnsi="宋体" w:cs="Arial"/>
          <w:color w:val="000000"/>
          <w:kern w:val="0"/>
          <w:sz w:val="24"/>
          <w:szCs w:val="24"/>
        </w:rPr>
        <w:t>§8</w:t>
      </w:r>
      <w:r w:rsidR="0066098B" w:rsidRPr="0078105B">
        <w:rPr>
          <w:rFonts w:ascii="宋体" w:hAnsi="宋体" w:cs="Arial"/>
          <w:color w:val="000000"/>
          <w:kern w:val="0"/>
          <w:sz w:val="24"/>
          <w:szCs w:val="24"/>
        </w:rPr>
        <w:t xml:space="preserve">  </w:t>
      </w:r>
      <w:r w:rsidRPr="00B75F09">
        <w:rPr>
          <w:rFonts w:ascii="宋体" w:hAnsi="宋体" w:cs="Arial"/>
          <w:color w:val="000000"/>
          <w:kern w:val="0"/>
          <w:sz w:val="24"/>
          <w:szCs w:val="24"/>
        </w:rPr>
        <w:t>影响投资者决策的其他重要信息</w:t>
      </w:r>
    </w:p>
    <w:p w:rsidR="00575C75" w:rsidRPr="001F5F5D" w:rsidRDefault="00575C75" w:rsidP="00575C75">
      <w:pPr>
        <w:autoSpaceDE w:val="0"/>
        <w:autoSpaceDN w:val="0"/>
        <w:adjustRightInd w:val="0"/>
        <w:spacing w:line="360" w:lineRule="auto"/>
        <w:jc w:val="left"/>
        <w:rPr>
          <w:rFonts w:ascii="宋体"/>
          <w:b/>
          <w:bCs/>
          <w:color w:val="000000"/>
          <w:kern w:val="0"/>
          <w:sz w:val="24"/>
        </w:rPr>
      </w:pPr>
      <w:r w:rsidRPr="001F5F5D">
        <w:rPr>
          <w:rFonts w:ascii="宋体"/>
          <w:b/>
          <w:bCs/>
          <w:color w:val="000000"/>
          <w:kern w:val="0"/>
          <w:sz w:val="24"/>
        </w:rPr>
        <w:t>8.1 报告期内单一投资者持有基金份额比例达到或超过20%的情况</w:t>
      </w:r>
    </w:p>
    <w:tbl>
      <w:tblPr>
        <w:tblStyle w:val="af2"/>
        <w:tblW w:w="9640" w:type="dxa"/>
        <w:jc w:val="center"/>
        <w:tblLayout w:type="fixed"/>
        <w:tblLook w:val="04A0" w:firstRow="1" w:lastRow="0" w:firstColumn="1" w:lastColumn="0" w:noHBand="0" w:noVBand="1"/>
      </w:tblPr>
      <w:tblGrid>
        <w:gridCol w:w="709"/>
        <w:gridCol w:w="709"/>
        <w:gridCol w:w="2126"/>
        <w:gridCol w:w="1276"/>
        <w:gridCol w:w="1276"/>
        <w:gridCol w:w="1276"/>
        <w:gridCol w:w="1417"/>
        <w:gridCol w:w="851"/>
      </w:tblGrid>
      <w:tr w:rsidR="00575C75" w:rsidRPr="00FC0759" w:rsidTr="00CD72D6">
        <w:trPr>
          <w:jc w:val="center"/>
        </w:trPr>
        <w:tc>
          <w:tcPr>
            <w:tcW w:w="709" w:type="dxa"/>
            <w:vMerge w:val="restart"/>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投资者类别</w:t>
            </w:r>
          </w:p>
        </w:tc>
        <w:tc>
          <w:tcPr>
            <w:tcW w:w="6663" w:type="dxa"/>
            <w:gridSpan w:val="5"/>
            <w:vAlign w:val="center"/>
          </w:tcPr>
          <w:p w:rsidR="00575C75" w:rsidRPr="00FC0759" w:rsidRDefault="00575C75" w:rsidP="00CD72D6">
            <w:pPr>
              <w:autoSpaceDE w:val="0"/>
              <w:autoSpaceDN w:val="0"/>
              <w:adjustRightInd w:val="0"/>
              <w:ind w:firstLine="1126"/>
              <w:jc w:val="center"/>
              <w:rPr>
                <w:rFonts w:eastAsiaTheme="minorEastAsia"/>
                <w:b/>
                <w:bCs/>
                <w:color w:val="000000" w:themeColor="text1"/>
                <w:sz w:val="24"/>
              </w:rPr>
            </w:pPr>
            <w:r w:rsidRPr="00FC0759">
              <w:rPr>
                <w:color w:val="000000"/>
                <w:sz w:val="24"/>
              </w:rPr>
              <w:t>报告期内持有基金份额变化情况</w:t>
            </w:r>
          </w:p>
        </w:tc>
        <w:tc>
          <w:tcPr>
            <w:tcW w:w="2268" w:type="dxa"/>
            <w:gridSpan w:val="2"/>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报告期末持有基金情况</w:t>
            </w:r>
          </w:p>
        </w:tc>
      </w:tr>
      <w:tr w:rsidR="00575C75" w:rsidRPr="00FC0759" w:rsidTr="00CD72D6">
        <w:trPr>
          <w:jc w:val="center"/>
        </w:trPr>
        <w:tc>
          <w:tcPr>
            <w:tcW w:w="709" w:type="dxa"/>
            <w:vMerge/>
            <w:vAlign w:val="center"/>
          </w:tcPr>
          <w:p w:rsidR="00575C75" w:rsidRPr="00FC0759" w:rsidRDefault="00575C75" w:rsidP="00CD72D6">
            <w:pPr>
              <w:autoSpaceDE w:val="0"/>
              <w:autoSpaceDN w:val="0"/>
              <w:adjustRightInd w:val="0"/>
              <w:ind w:firstLine="1234"/>
              <w:jc w:val="center"/>
              <w:rPr>
                <w:rFonts w:eastAsiaTheme="minorEastAsia"/>
                <w:b/>
                <w:bCs/>
                <w:color w:val="000000" w:themeColor="text1"/>
                <w:sz w:val="24"/>
              </w:rPr>
            </w:pPr>
          </w:p>
        </w:tc>
        <w:tc>
          <w:tcPr>
            <w:tcW w:w="709" w:type="dxa"/>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序号</w:t>
            </w:r>
          </w:p>
        </w:tc>
        <w:tc>
          <w:tcPr>
            <w:tcW w:w="2126" w:type="dxa"/>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持有基金份额比例达到或者超过</w:t>
            </w:r>
            <w:r w:rsidRPr="00FC0759">
              <w:rPr>
                <w:color w:val="000000"/>
                <w:sz w:val="24"/>
              </w:rPr>
              <w:t>20%</w:t>
            </w:r>
            <w:r w:rsidRPr="00FC0759">
              <w:rPr>
                <w:color w:val="000000"/>
                <w:sz w:val="24"/>
              </w:rPr>
              <w:t>的时间区间</w:t>
            </w:r>
          </w:p>
        </w:tc>
        <w:tc>
          <w:tcPr>
            <w:tcW w:w="1276" w:type="dxa"/>
            <w:vAlign w:val="center"/>
          </w:tcPr>
          <w:p w:rsidR="00575C75" w:rsidRPr="00FC0759" w:rsidRDefault="00575C75" w:rsidP="00CD72D6">
            <w:pPr>
              <w:widowControl/>
              <w:rPr>
                <w:rFonts w:eastAsiaTheme="minorEastAsia"/>
                <w:b/>
                <w:bCs/>
                <w:color w:val="000000" w:themeColor="text1"/>
                <w:sz w:val="24"/>
              </w:rPr>
            </w:pPr>
            <w:r w:rsidRPr="00FC0759">
              <w:rPr>
                <w:color w:val="000000"/>
                <w:sz w:val="24"/>
              </w:rPr>
              <w:t>期初份额</w:t>
            </w:r>
          </w:p>
        </w:tc>
        <w:tc>
          <w:tcPr>
            <w:tcW w:w="1276" w:type="dxa"/>
            <w:vAlign w:val="center"/>
          </w:tcPr>
          <w:p w:rsidR="00575C75" w:rsidRPr="00FC0759" w:rsidRDefault="00575C75" w:rsidP="00CD72D6">
            <w:pPr>
              <w:widowControl/>
              <w:rPr>
                <w:rFonts w:eastAsiaTheme="minorEastAsia"/>
                <w:b/>
                <w:bCs/>
                <w:color w:val="000000" w:themeColor="text1"/>
                <w:sz w:val="24"/>
              </w:rPr>
            </w:pPr>
            <w:r w:rsidRPr="00FC0759">
              <w:rPr>
                <w:color w:val="000000"/>
                <w:sz w:val="24"/>
              </w:rPr>
              <w:t>申购份额</w:t>
            </w:r>
          </w:p>
        </w:tc>
        <w:tc>
          <w:tcPr>
            <w:tcW w:w="1276" w:type="dxa"/>
            <w:vAlign w:val="center"/>
          </w:tcPr>
          <w:p w:rsidR="00575C75" w:rsidRPr="00FC0759" w:rsidRDefault="00575C75" w:rsidP="00CD72D6">
            <w:pPr>
              <w:widowControl/>
              <w:rPr>
                <w:rFonts w:eastAsiaTheme="minorEastAsia"/>
                <w:b/>
                <w:bCs/>
                <w:color w:val="000000" w:themeColor="text1"/>
                <w:sz w:val="24"/>
              </w:rPr>
            </w:pPr>
            <w:r w:rsidRPr="00FC0759">
              <w:rPr>
                <w:color w:val="000000"/>
                <w:sz w:val="24"/>
              </w:rPr>
              <w:t>赎回份额</w:t>
            </w:r>
          </w:p>
        </w:tc>
        <w:tc>
          <w:tcPr>
            <w:tcW w:w="1417" w:type="dxa"/>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持有份额</w:t>
            </w:r>
          </w:p>
        </w:tc>
        <w:tc>
          <w:tcPr>
            <w:tcW w:w="851" w:type="dxa"/>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份额占比</w:t>
            </w:r>
          </w:p>
        </w:tc>
      </w:tr>
      <w:tr w:rsidR="002354AD">
        <w:trPr>
          <w:jc w:val="center"/>
        </w:trPr>
        <w:tc>
          <w:tcPr>
            <w:tcW w:w="709" w:type="dxa"/>
            <w:vMerge w:val="restart"/>
            <w:vAlign w:val="center"/>
          </w:tcPr>
          <w:p w:rsidR="002354AD" w:rsidRDefault="00DE7037">
            <w:r>
              <w:rPr>
                <w:rFonts w:eastAsiaTheme="minorEastAsia"/>
                <w:bCs/>
                <w:color w:val="000000" w:themeColor="text1"/>
                <w:sz w:val="24"/>
              </w:rPr>
              <w:t>机构</w:t>
            </w:r>
          </w:p>
        </w:tc>
        <w:tc>
          <w:tcPr>
            <w:tcW w:w="709" w:type="dxa"/>
            <w:vAlign w:val="center"/>
          </w:tcPr>
          <w:p w:rsidR="002354AD" w:rsidRDefault="00DE7037">
            <w:pPr>
              <w:jc w:val="center"/>
            </w:pPr>
            <w:r>
              <w:rPr>
                <w:sz w:val="24"/>
              </w:rPr>
              <w:t>1</w:t>
            </w:r>
          </w:p>
        </w:tc>
        <w:tc>
          <w:tcPr>
            <w:tcW w:w="2126" w:type="dxa"/>
            <w:vAlign w:val="center"/>
          </w:tcPr>
          <w:p w:rsidR="002354AD" w:rsidRDefault="00DE7037">
            <w:pPr>
              <w:jc w:val="center"/>
            </w:pPr>
            <w:r>
              <w:rPr>
                <w:sz w:val="24"/>
              </w:rPr>
              <w:t>2019</w:t>
            </w:r>
            <w:r>
              <w:rPr>
                <w:sz w:val="24"/>
              </w:rPr>
              <w:t>年</w:t>
            </w:r>
            <w:r>
              <w:rPr>
                <w:sz w:val="24"/>
              </w:rPr>
              <w:t>07</w:t>
            </w:r>
            <w:r>
              <w:rPr>
                <w:sz w:val="24"/>
              </w:rPr>
              <w:t>月</w:t>
            </w:r>
            <w:r>
              <w:rPr>
                <w:sz w:val="24"/>
              </w:rPr>
              <w:t>01</w:t>
            </w:r>
            <w:r>
              <w:rPr>
                <w:sz w:val="24"/>
              </w:rPr>
              <w:t>日</w:t>
            </w:r>
            <w:r>
              <w:rPr>
                <w:sz w:val="24"/>
              </w:rPr>
              <w:t>~2019</w:t>
            </w:r>
            <w:r>
              <w:rPr>
                <w:sz w:val="24"/>
              </w:rPr>
              <w:t>年</w:t>
            </w:r>
            <w:r>
              <w:rPr>
                <w:sz w:val="24"/>
              </w:rPr>
              <w:t>09</w:t>
            </w:r>
            <w:r>
              <w:rPr>
                <w:sz w:val="24"/>
              </w:rPr>
              <w:t>月</w:t>
            </w:r>
            <w:r>
              <w:rPr>
                <w:sz w:val="24"/>
              </w:rPr>
              <w:t>30</w:t>
            </w:r>
            <w:r>
              <w:rPr>
                <w:sz w:val="24"/>
              </w:rPr>
              <w:t>日</w:t>
            </w:r>
          </w:p>
        </w:tc>
        <w:tc>
          <w:tcPr>
            <w:tcW w:w="1276" w:type="dxa"/>
            <w:vAlign w:val="center"/>
          </w:tcPr>
          <w:p w:rsidR="002354AD" w:rsidRDefault="00DE7037">
            <w:pPr>
              <w:jc w:val="center"/>
            </w:pPr>
            <w:r>
              <w:rPr>
                <w:sz w:val="24"/>
              </w:rPr>
              <w:t>1,280,336,500.00</w:t>
            </w:r>
          </w:p>
        </w:tc>
        <w:tc>
          <w:tcPr>
            <w:tcW w:w="1276" w:type="dxa"/>
            <w:vAlign w:val="center"/>
          </w:tcPr>
          <w:p w:rsidR="002354AD" w:rsidRDefault="00DE7037">
            <w:pPr>
              <w:jc w:val="center"/>
            </w:pPr>
            <w:r>
              <w:rPr>
                <w:sz w:val="24"/>
              </w:rPr>
              <w:t>-</w:t>
            </w:r>
          </w:p>
        </w:tc>
        <w:tc>
          <w:tcPr>
            <w:tcW w:w="1276" w:type="dxa"/>
            <w:vAlign w:val="center"/>
          </w:tcPr>
          <w:p w:rsidR="002354AD" w:rsidRDefault="00DE7037">
            <w:pPr>
              <w:jc w:val="center"/>
            </w:pPr>
            <w:r>
              <w:rPr>
                <w:sz w:val="24"/>
              </w:rPr>
              <w:t>105,000,000.00</w:t>
            </w:r>
          </w:p>
        </w:tc>
        <w:tc>
          <w:tcPr>
            <w:tcW w:w="1417" w:type="dxa"/>
            <w:vAlign w:val="center"/>
          </w:tcPr>
          <w:p w:rsidR="002354AD" w:rsidRDefault="00DE7037">
            <w:pPr>
              <w:jc w:val="center"/>
            </w:pPr>
            <w:r>
              <w:rPr>
                <w:sz w:val="24"/>
              </w:rPr>
              <w:t>1,175,336,500.00</w:t>
            </w:r>
          </w:p>
        </w:tc>
        <w:tc>
          <w:tcPr>
            <w:tcW w:w="851" w:type="dxa"/>
            <w:vAlign w:val="center"/>
          </w:tcPr>
          <w:p w:rsidR="002354AD" w:rsidRDefault="00DE7037">
            <w:pPr>
              <w:jc w:val="center"/>
            </w:pPr>
            <w:r>
              <w:rPr>
                <w:sz w:val="24"/>
              </w:rPr>
              <w:t>26.58%</w:t>
            </w:r>
          </w:p>
        </w:tc>
      </w:tr>
      <w:tr w:rsidR="002354AD">
        <w:trPr>
          <w:jc w:val="center"/>
        </w:trPr>
        <w:tc>
          <w:tcPr>
            <w:tcW w:w="709" w:type="dxa"/>
            <w:vMerge/>
          </w:tcPr>
          <w:p w:rsidR="002354AD" w:rsidRDefault="002354AD"/>
        </w:tc>
        <w:tc>
          <w:tcPr>
            <w:tcW w:w="709" w:type="dxa"/>
            <w:vAlign w:val="center"/>
          </w:tcPr>
          <w:p w:rsidR="002354AD" w:rsidRDefault="00DE7037">
            <w:pPr>
              <w:jc w:val="center"/>
            </w:pPr>
            <w:r>
              <w:rPr>
                <w:sz w:val="24"/>
              </w:rPr>
              <w:t>2</w:t>
            </w:r>
          </w:p>
        </w:tc>
        <w:tc>
          <w:tcPr>
            <w:tcW w:w="2126" w:type="dxa"/>
            <w:vAlign w:val="center"/>
          </w:tcPr>
          <w:p w:rsidR="002354AD" w:rsidRDefault="00DE7037">
            <w:pPr>
              <w:jc w:val="center"/>
            </w:pPr>
            <w:r>
              <w:rPr>
                <w:sz w:val="24"/>
              </w:rPr>
              <w:t>2019</w:t>
            </w:r>
            <w:r>
              <w:rPr>
                <w:sz w:val="24"/>
              </w:rPr>
              <w:t>年</w:t>
            </w:r>
            <w:r>
              <w:rPr>
                <w:sz w:val="24"/>
              </w:rPr>
              <w:t>07</w:t>
            </w:r>
            <w:r>
              <w:rPr>
                <w:sz w:val="24"/>
              </w:rPr>
              <w:t>月</w:t>
            </w:r>
            <w:r>
              <w:rPr>
                <w:sz w:val="24"/>
              </w:rPr>
              <w:t>01</w:t>
            </w:r>
            <w:r>
              <w:rPr>
                <w:sz w:val="24"/>
              </w:rPr>
              <w:t>日</w:t>
            </w:r>
            <w:r>
              <w:rPr>
                <w:sz w:val="24"/>
              </w:rPr>
              <w:t>~2019</w:t>
            </w:r>
            <w:r>
              <w:rPr>
                <w:sz w:val="24"/>
              </w:rPr>
              <w:t>年</w:t>
            </w:r>
            <w:r>
              <w:rPr>
                <w:sz w:val="24"/>
              </w:rPr>
              <w:t>07</w:t>
            </w:r>
            <w:r>
              <w:rPr>
                <w:sz w:val="24"/>
              </w:rPr>
              <w:t>月</w:t>
            </w:r>
            <w:r>
              <w:rPr>
                <w:sz w:val="24"/>
              </w:rPr>
              <w:t>09</w:t>
            </w:r>
            <w:r>
              <w:rPr>
                <w:sz w:val="24"/>
              </w:rPr>
              <w:t>日</w:t>
            </w:r>
          </w:p>
        </w:tc>
        <w:tc>
          <w:tcPr>
            <w:tcW w:w="1276" w:type="dxa"/>
            <w:vAlign w:val="center"/>
          </w:tcPr>
          <w:p w:rsidR="002354AD" w:rsidRDefault="00DE7037">
            <w:pPr>
              <w:jc w:val="center"/>
            </w:pPr>
            <w:r>
              <w:rPr>
                <w:sz w:val="24"/>
              </w:rPr>
              <w:t>999,999,000.00</w:t>
            </w:r>
          </w:p>
        </w:tc>
        <w:tc>
          <w:tcPr>
            <w:tcW w:w="1276" w:type="dxa"/>
            <w:vAlign w:val="center"/>
          </w:tcPr>
          <w:p w:rsidR="002354AD" w:rsidRDefault="00DE7037">
            <w:pPr>
              <w:jc w:val="center"/>
            </w:pPr>
            <w:r>
              <w:rPr>
                <w:sz w:val="24"/>
              </w:rPr>
              <w:t>-</w:t>
            </w:r>
          </w:p>
        </w:tc>
        <w:tc>
          <w:tcPr>
            <w:tcW w:w="1276" w:type="dxa"/>
            <w:vAlign w:val="center"/>
          </w:tcPr>
          <w:p w:rsidR="002354AD" w:rsidRDefault="00DE7037">
            <w:pPr>
              <w:jc w:val="center"/>
            </w:pPr>
            <w:r>
              <w:rPr>
                <w:sz w:val="24"/>
              </w:rPr>
              <w:t>999,999,000.00</w:t>
            </w:r>
          </w:p>
        </w:tc>
        <w:tc>
          <w:tcPr>
            <w:tcW w:w="1417" w:type="dxa"/>
            <w:vAlign w:val="center"/>
          </w:tcPr>
          <w:p w:rsidR="002354AD" w:rsidRDefault="00DE7037">
            <w:pPr>
              <w:jc w:val="center"/>
            </w:pPr>
            <w:r>
              <w:rPr>
                <w:sz w:val="24"/>
              </w:rPr>
              <w:t>-</w:t>
            </w:r>
          </w:p>
        </w:tc>
        <w:tc>
          <w:tcPr>
            <w:tcW w:w="851" w:type="dxa"/>
            <w:vAlign w:val="center"/>
          </w:tcPr>
          <w:p w:rsidR="002354AD" w:rsidRDefault="00DE7037">
            <w:pPr>
              <w:jc w:val="center"/>
            </w:pPr>
            <w:r>
              <w:rPr>
                <w:sz w:val="24"/>
              </w:rPr>
              <w:t>-</w:t>
            </w:r>
          </w:p>
        </w:tc>
      </w:tr>
      <w:tr w:rsidR="00575C75" w:rsidRPr="00FC0759" w:rsidTr="00CD72D6">
        <w:trPr>
          <w:jc w:val="center"/>
        </w:trPr>
        <w:tc>
          <w:tcPr>
            <w:tcW w:w="9637" w:type="dxa"/>
            <w:gridSpan w:val="8"/>
            <w:vAlign w:val="center"/>
          </w:tcPr>
          <w:p w:rsidR="00575C75" w:rsidRPr="00FC0759" w:rsidRDefault="00575C75" w:rsidP="00BF07C4">
            <w:pPr>
              <w:autoSpaceDE w:val="0"/>
              <w:autoSpaceDN w:val="0"/>
              <w:adjustRightInd w:val="0"/>
              <w:jc w:val="center"/>
              <w:rPr>
                <w:sz w:val="24"/>
              </w:rPr>
            </w:pPr>
            <w:r w:rsidRPr="00FC0759">
              <w:rPr>
                <w:color w:val="000000"/>
                <w:sz w:val="24"/>
              </w:rPr>
              <w:t>产品特有风险</w:t>
            </w:r>
          </w:p>
        </w:tc>
      </w:tr>
      <w:tr w:rsidR="00575C75" w:rsidRPr="00FC0759" w:rsidTr="00CD72D6">
        <w:trPr>
          <w:jc w:val="center"/>
        </w:trPr>
        <w:tc>
          <w:tcPr>
            <w:tcW w:w="9637" w:type="dxa"/>
            <w:gridSpan w:val="8"/>
            <w:vAlign w:val="center"/>
          </w:tcPr>
          <w:p w:rsidR="00575C75" w:rsidRPr="00FC0759" w:rsidRDefault="00575C75" w:rsidP="00CD72D6">
            <w:pPr>
              <w:autoSpaceDE w:val="0"/>
              <w:autoSpaceDN w:val="0"/>
              <w:adjustRightInd w:val="0"/>
              <w:jc w:val="left"/>
              <w:rPr>
                <w:sz w:val="24"/>
              </w:rPr>
            </w:pPr>
            <w:r w:rsidRPr="00FC0759">
              <w:rPr>
                <w:sz w:val="24"/>
              </w:rPr>
              <w:t>报告期内，本基金存在单一投资者持有份额比例达到或超过</w:t>
            </w:r>
            <w:r w:rsidRPr="00FC0759">
              <w:rPr>
                <w:sz w:val="24"/>
              </w:rPr>
              <w:t>20%</w:t>
            </w:r>
            <w:r w:rsidRPr="00FC0759">
              <w:rPr>
                <w:sz w:val="24"/>
              </w:rPr>
              <w:t>的情况，由此可能导致的特有风险主要包括：当投资者持有份额占比较为集中时，个别投资者的大额赎回可能会对基金资产运作及净值表现产生较大影响；极端情况下基金管理人可能无法以合理价格及时变现基金资产以应对投资者的赎回申请，可能带来流动性风险；如个别投资者大额赎回引发巨额赎回，基金管理人可能根据基金合同约定决定部分延期赎回或暂停接受基金的赎回申请，可能影响投资者赎回业务办理；若个别投资者大额赎回后本基金出现连续六十个工作日基金资产净值低于</w:t>
            </w:r>
            <w:r w:rsidRPr="00FC0759">
              <w:rPr>
                <w:sz w:val="24"/>
              </w:rPr>
              <w:t>5000</w:t>
            </w:r>
            <w:r w:rsidRPr="00FC0759">
              <w:rPr>
                <w:sz w:val="24"/>
              </w:rPr>
              <w:t>万元，基金还可能面临转换运作方式、与其他基金合并或者终止基金合同等情形；持有基金份额占比较高的投资者在召开持有人大会并对审议事项进行投票表决时可能拥有较大话语权。</w:t>
            </w:r>
          </w:p>
        </w:tc>
      </w:tr>
    </w:tbl>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lastRenderedPageBreak/>
        <w:t>§</w:t>
      </w:r>
      <w:r w:rsidRPr="0078105B">
        <w:rPr>
          <w:rFonts w:ascii="宋体" w:hAnsi="宋体" w:cs="Arial"/>
          <w:color w:val="000000"/>
          <w:kern w:val="0"/>
          <w:sz w:val="24"/>
          <w:szCs w:val="24"/>
        </w:rPr>
        <w:t>9</w:t>
      </w:r>
      <w:r w:rsidR="0066098B" w:rsidRPr="0078105B">
        <w:rPr>
          <w:rFonts w:ascii="宋体" w:hAnsi="宋体" w:cs="Arial"/>
          <w:color w:val="000000"/>
          <w:kern w:val="0"/>
          <w:sz w:val="24"/>
          <w:szCs w:val="24"/>
        </w:rPr>
        <w:t xml:space="preserve">  </w:t>
      </w:r>
      <w:r w:rsidRPr="0078105B">
        <w:rPr>
          <w:rFonts w:ascii="宋体" w:hAnsi="宋体" w:cs="Arial" w:hint="eastAsia"/>
          <w:color w:val="000000"/>
          <w:kern w:val="0"/>
          <w:sz w:val="24"/>
          <w:szCs w:val="24"/>
        </w:rPr>
        <w:t>备查文件目录</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9.1</w:t>
      </w:r>
      <w:r w:rsidRPr="00E8153C">
        <w:rPr>
          <w:color w:val="000000"/>
          <w:kern w:val="0"/>
          <w:sz w:val="24"/>
        </w:rPr>
        <w:t>备查文件目录</w:t>
      </w:r>
    </w:p>
    <w:p w:rsidR="002354AD" w:rsidRDefault="00DE7037">
      <w:pPr>
        <w:spacing w:line="360" w:lineRule="auto"/>
        <w:ind w:firstLineChars="200" w:firstLine="480"/>
        <w:rPr>
          <w:color w:val="000000"/>
          <w:sz w:val="24"/>
        </w:rPr>
      </w:pPr>
      <w:r>
        <w:rPr>
          <w:color w:val="000000"/>
          <w:sz w:val="24"/>
        </w:rPr>
        <w:t>1.</w:t>
      </w:r>
      <w:r>
        <w:rPr>
          <w:color w:val="000000"/>
          <w:sz w:val="24"/>
        </w:rPr>
        <w:t>中国证监会准予易方达中债</w:t>
      </w:r>
      <w:r>
        <w:rPr>
          <w:color w:val="000000"/>
          <w:sz w:val="24"/>
        </w:rPr>
        <w:t>1-3</w:t>
      </w:r>
      <w:r>
        <w:rPr>
          <w:color w:val="000000"/>
          <w:sz w:val="24"/>
        </w:rPr>
        <w:t>年国开行债券指数证券投资基金注册的文件；</w:t>
      </w:r>
    </w:p>
    <w:p w:rsidR="002354AD" w:rsidRDefault="00DE7037">
      <w:pPr>
        <w:spacing w:line="360" w:lineRule="auto"/>
        <w:ind w:firstLineChars="200" w:firstLine="480"/>
        <w:rPr>
          <w:color w:val="000000"/>
          <w:sz w:val="24"/>
        </w:rPr>
      </w:pPr>
      <w:r>
        <w:rPr>
          <w:color w:val="000000"/>
          <w:sz w:val="24"/>
        </w:rPr>
        <w:t>2.</w:t>
      </w:r>
      <w:r>
        <w:rPr>
          <w:color w:val="000000"/>
          <w:sz w:val="24"/>
        </w:rPr>
        <w:t>《易方达中债</w:t>
      </w:r>
      <w:r>
        <w:rPr>
          <w:color w:val="000000"/>
          <w:sz w:val="24"/>
        </w:rPr>
        <w:t>1-3</w:t>
      </w:r>
      <w:r>
        <w:rPr>
          <w:color w:val="000000"/>
          <w:sz w:val="24"/>
        </w:rPr>
        <w:t>年国开行债券指数证券投资基金基金合同》；</w:t>
      </w:r>
    </w:p>
    <w:p w:rsidR="002354AD" w:rsidRDefault="00DE7037">
      <w:pPr>
        <w:spacing w:line="360" w:lineRule="auto"/>
        <w:ind w:firstLineChars="200" w:firstLine="480"/>
        <w:rPr>
          <w:color w:val="000000"/>
          <w:sz w:val="24"/>
        </w:rPr>
      </w:pPr>
      <w:r>
        <w:rPr>
          <w:color w:val="000000"/>
          <w:sz w:val="24"/>
        </w:rPr>
        <w:t>3.</w:t>
      </w:r>
      <w:r>
        <w:rPr>
          <w:color w:val="000000"/>
          <w:sz w:val="24"/>
        </w:rPr>
        <w:t>《易方达中债</w:t>
      </w:r>
      <w:r>
        <w:rPr>
          <w:color w:val="000000"/>
          <w:sz w:val="24"/>
        </w:rPr>
        <w:t>1-3</w:t>
      </w:r>
      <w:r>
        <w:rPr>
          <w:color w:val="000000"/>
          <w:sz w:val="24"/>
        </w:rPr>
        <w:t>年国开行债券指数证券投资基金托管协议》；</w:t>
      </w:r>
    </w:p>
    <w:p w:rsidR="002354AD" w:rsidRDefault="00DE7037">
      <w:pPr>
        <w:spacing w:line="360" w:lineRule="auto"/>
        <w:ind w:firstLineChars="200" w:firstLine="480"/>
        <w:rPr>
          <w:color w:val="000000"/>
          <w:sz w:val="24"/>
        </w:rPr>
      </w:pPr>
      <w:r>
        <w:rPr>
          <w:color w:val="000000"/>
          <w:sz w:val="24"/>
        </w:rPr>
        <w:t>4.</w:t>
      </w:r>
      <w:r>
        <w:rPr>
          <w:color w:val="000000"/>
          <w:sz w:val="24"/>
        </w:rPr>
        <w:t>《易方达基金管理有限公司开放式基金业务规则》；</w:t>
      </w:r>
    </w:p>
    <w:p w:rsidR="00F016DD" w:rsidRPr="00E8153C" w:rsidRDefault="00F016DD" w:rsidP="00DF18FE">
      <w:pPr>
        <w:spacing w:line="360" w:lineRule="auto"/>
        <w:ind w:firstLineChars="200" w:firstLine="480"/>
        <w:rPr>
          <w:color w:val="000000"/>
          <w:sz w:val="24"/>
        </w:rPr>
      </w:pPr>
      <w:r w:rsidRPr="00E8153C">
        <w:rPr>
          <w:color w:val="000000"/>
          <w:sz w:val="24"/>
        </w:rPr>
        <w:t>5.</w:t>
      </w:r>
      <w:r w:rsidRPr="00E8153C">
        <w:rPr>
          <w:color w:val="000000"/>
          <w:sz w:val="24"/>
        </w:rPr>
        <w:t>基金管理人业务资格批件、营业执照。</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9.2</w:t>
      </w:r>
      <w:r w:rsidRPr="00E8153C">
        <w:rPr>
          <w:color w:val="000000"/>
          <w:kern w:val="0"/>
          <w:sz w:val="24"/>
        </w:rPr>
        <w:t>存放地点</w:t>
      </w:r>
    </w:p>
    <w:p w:rsidR="00F016DD" w:rsidRPr="00E8153C" w:rsidRDefault="00F016DD" w:rsidP="00DF18FE">
      <w:pPr>
        <w:spacing w:line="360" w:lineRule="auto"/>
        <w:ind w:firstLineChars="200" w:firstLine="480"/>
        <w:rPr>
          <w:color w:val="000000"/>
          <w:sz w:val="24"/>
        </w:rPr>
      </w:pPr>
      <w:r w:rsidRPr="00E8153C">
        <w:rPr>
          <w:color w:val="000000"/>
          <w:sz w:val="24"/>
        </w:rPr>
        <w:t>广州市天河区珠江新城珠江东路</w:t>
      </w:r>
      <w:r w:rsidRPr="00E8153C">
        <w:rPr>
          <w:color w:val="000000"/>
          <w:sz w:val="24"/>
        </w:rPr>
        <w:t>30</w:t>
      </w:r>
      <w:r w:rsidRPr="00E8153C">
        <w:rPr>
          <w:color w:val="000000"/>
          <w:sz w:val="24"/>
        </w:rPr>
        <w:t>号广州银行大厦</w:t>
      </w:r>
      <w:r w:rsidRPr="00E8153C">
        <w:rPr>
          <w:color w:val="000000"/>
          <w:sz w:val="24"/>
        </w:rPr>
        <w:t>40-43</w:t>
      </w:r>
      <w:r w:rsidRPr="00E8153C">
        <w:rPr>
          <w:color w:val="000000"/>
          <w:sz w:val="24"/>
        </w:rPr>
        <w:t>楼。</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9.3</w:t>
      </w:r>
      <w:r w:rsidRPr="00E8153C">
        <w:rPr>
          <w:color w:val="000000"/>
          <w:kern w:val="0"/>
          <w:sz w:val="24"/>
        </w:rPr>
        <w:t>查阅方式</w:t>
      </w:r>
    </w:p>
    <w:p w:rsidR="00F016DD" w:rsidRPr="00E8153C" w:rsidRDefault="00F016DD" w:rsidP="00DF18FE">
      <w:pPr>
        <w:spacing w:line="360" w:lineRule="auto"/>
        <w:ind w:firstLineChars="200" w:firstLine="480"/>
        <w:rPr>
          <w:color w:val="000000"/>
          <w:sz w:val="24"/>
        </w:rPr>
      </w:pPr>
      <w:r w:rsidRPr="00E8153C">
        <w:rPr>
          <w:color w:val="000000"/>
          <w:sz w:val="24"/>
        </w:rPr>
        <w:t>投资者可在营业时间免费查阅，也可按工本费购买复印件。</w:t>
      </w:r>
    </w:p>
    <w:p w:rsidR="00F016DD" w:rsidRPr="0078105B" w:rsidRDefault="00F016DD" w:rsidP="00FB3C94">
      <w:pPr>
        <w:spacing w:line="360" w:lineRule="auto"/>
        <w:ind w:left="840"/>
        <w:jc w:val="right"/>
        <w:rPr>
          <w:rFonts w:ascii="宋体"/>
          <w:color w:val="000000"/>
          <w:sz w:val="24"/>
        </w:rPr>
      </w:pPr>
    </w:p>
    <w:p w:rsidR="00F016DD" w:rsidRPr="0078105B" w:rsidRDefault="00F016DD" w:rsidP="00053FFD">
      <w:pPr>
        <w:spacing w:line="360" w:lineRule="auto"/>
        <w:ind w:left="840"/>
        <w:jc w:val="center"/>
        <w:rPr>
          <w:rFonts w:ascii="宋体"/>
          <w:b/>
          <w:color w:val="000000"/>
          <w:sz w:val="24"/>
        </w:rPr>
      </w:pPr>
    </w:p>
    <w:p w:rsidR="00F016DD" w:rsidRPr="0078105B" w:rsidRDefault="00F016DD" w:rsidP="00B1493B">
      <w:pPr>
        <w:spacing w:line="360" w:lineRule="auto"/>
        <w:jc w:val="right"/>
        <w:rPr>
          <w:rFonts w:ascii="宋体" w:hAnsi="宋体"/>
          <w:b/>
          <w:bCs/>
          <w:sz w:val="24"/>
        </w:rPr>
      </w:pPr>
      <w:r w:rsidRPr="0078105B">
        <w:rPr>
          <w:rFonts w:ascii="宋体" w:hAnsi="宋体"/>
          <w:b/>
          <w:bCs/>
          <w:sz w:val="24"/>
        </w:rPr>
        <w:t>易方达基金管理有限公司</w:t>
      </w:r>
    </w:p>
    <w:p w:rsidR="00F016DD" w:rsidRPr="0078105B" w:rsidRDefault="00F016DD" w:rsidP="00B1493B">
      <w:pPr>
        <w:spacing w:line="360" w:lineRule="auto"/>
        <w:jc w:val="right"/>
        <w:rPr>
          <w:rFonts w:ascii="宋体" w:hAnsi="宋体"/>
          <w:b/>
          <w:bCs/>
          <w:sz w:val="24"/>
        </w:rPr>
      </w:pPr>
      <w:r w:rsidRPr="0078105B">
        <w:rPr>
          <w:rFonts w:ascii="宋体" w:hAnsi="宋体"/>
          <w:b/>
          <w:bCs/>
          <w:sz w:val="24"/>
        </w:rPr>
        <w:t>二〇一九年十月二十四日</w:t>
      </w:r>
    </w:p>
    <w:sectPr w:rsidR="00F016DD" w:rsidRPr="0078105B" w:rsidSect="00A8324F">
      <w:footerReference w:type="even" r:id="rId11"/>
      <w:footerReference w:type="default" r:id="rId12"/>
      <w:pgSz w:w="11906" w:h="16838"/>
      <w:pgMar w:top="1440" w:right="128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6926" w:rsidRDefault="00236926">
      <w:r>
        <w:separator/>
      </w:r>
    </w:p>
  </w:endnote>
  <w:endnote w:type="continuationSeparator" w:id="0">
    <w:p w:rsidR="00236926" w:rsidRDefault="00236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FangSong">
    <w:altName w:val="Arial"/>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方正仿宋简体">
    <w:altName w:val="Arial Unicode MS"/>
    <w:charset w:val="86"/>
    <w:family w:val="auto"/>
    <w:pitch w:val="default"/>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Pr="001D0DB0" w:rsidRDefault="00611CB2" w:rsidP="00F7094A">
    <w:pPr>
      <w:pStyle w:val="a6"/>
      <w:jc w:val="center"/>
    </w:pPr>
    <w:r>
      <w:rPr>
        <w:rFonts w:hint="eastAsia"/>
        <w:szCs w:val="21"/>
      </w:rPr>
      <w:t>第</w:t>
    </w:r>
    <w:r w:rsidR="00F85FCB">
      <w:rPr>
        <w:szCs w:val="21"/>
      </w:rPr>
      <w:fldChar w:fldCharType="begin"/>
    </w:r>
    <w:r>
      <w:rPr>
        <w:szCs w:val="21"/>
      </w:rPr>
      <w:instrText xml:space="preserve"> PAGE </w:instrText>
    </w:r>
    <w:r w:rsidR="00F85FCB">
      <w:rPr>
        <w:szCs w:val="21"/>
      </w:rPr>
      <w:fldChar w:fldCharType="separate"/>
    </w:r>
    <w:r w:rsidR="00DE7037">
      <w:rPr>
        <w:noProof/>
        <w:szCs w:val="21"/>
      </w:rPr>
      <w:t>1</w:t>
    </w:r>
    <w:r w:rsidR="00F85FCB">
      <w:rPr>
        <w:szCs w:val="21"/>
      </w:rPr>
      <w:fldChar w:fldCharType="end"/>
    </w:r>
    <w:r>
      <w:rPr>
        <w:rFonts w:hint="eastAsia"/>
        <w:szCs w:val="21"/>
      </w:rPr>
      <w:t>页共</w:t>
    </w:r>
    <w:r w:rsidR="00F85FCB">
      <w:rPr>
        <w:szCs w:val="21"/>
      </w:rPr>
      <w:fldChar w:fldCharType="begin"/>
    </w:r>
    <w:r>
      <w:rPr>
        <w:szCs w:val="21"/>
      </w:rPr>
      <w:instrText xml:space="preserve"> NUMPAGES </w:instrText>
    </w:r>
    <w:r w:rsidR="00F85FCB">
      <w:rPr>
        <w:szCs w:val="21"/>
      </w:rPr>
      <w:fldChar w:fldCharType="separate"/>
    </w:r>
    <w:r w:rsidR="00DE7037">
      <w:rPr>
        <w:noProof/>
        <w:szCs w:val="21"/>
      </w:rPr>
      <w:t>3</w:t>
    </w:r>
    <w:r w:rsidR="00F85FCB">
      <w:rPr>
        <w:szCs w:val="21"/>
      </w:rPr>
      <w:fldChar w:fldCharType="end"/>
    </w:r>
    <w:r>
      <w:rPr>
        <w:rFonts w:hint="eastAsia"/>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Default="00F85FCB">
    <w:pPr>
      <w:pStyle w:val="a6"/>
      <w:framePr w:wrap="around" w:vAnchor="text" w:hAnchor="margin" w:xAlign="center" w:y="1"/>
      <w:rPr>
        <w:rStyle w:val="a7"/>
      </w:rPr>
    </w:pPr>
    <w:r>
      <w:rPr>
        <w:rStyle w:val="a7"/>
      </w:rPr>
      <w:fldChar w:fldCharType="begin"/>
    </w:r>
    <w:r w:rsidR="00611CB2">
      <w:rPr>
        <w:rStyle w:val="a7"/>
      </w:rPr>
      <w:instrText xml:space="preserve">PAGE  </w:instrText>
    </w:r>
    <w:r>
      <w:rPr>
        <w:rStyle w:val="a7"/>
      </w:rPr>
      <w:fldChar w:fldCharType="end"/>
    </w:r>
  </w:p>
  <w:p w:rsidR="00611CB2" w:rsidRDefault="00611CB2">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Default="00F85FCB">
    <w:pPr>
      <w:pStyle w:val="a6"/>
      <w:framePr w:wrap="around" w:vAnchor="text" w:hAnchor="margin" w:xAlign="center" w:y="1"/>
      <w:rPr>
        <w:rStyle w:val="a7"/>
      </w:rPr>
    </w:pPr>
    <w:r>
      <w:rPr>
        <w:rStyle w:val="a7"/>
      </w:rPr>
      <w:fldChar w:fldCharType="begin"/>
    </w:r>
    <w:r w:rsidR="00611CB2">
      <w:rPr>
        <w:rStyle w:val="a7"/>
      </w:rPr>
      <w:instrText xml:space="preserve">PAGE  </w:instrText>
    </w:r>
    <w:r>
      <w:rPr>
        <w:rStyle w:val="a7"/>
      </w:rPr>
      <w:fldChar w:fldCharType="separate"/>
    </w:r>
    <w:r w:rsidR="00DE7037">
      <w:rPr>
        <w:rStyle w:val="a7"/>
        <w:noProof/>
      </w:rPr>
      <w:t>13</w:t>
    </w:r>
    <w:r>
      <w:rPr>
        <w:rStyle w:val="a7"/>
      </w:rPr>
      <w:fldChar w:fldCharType="end"/>
    </w:r>
  </w:p>
  <w:p w:rsidR="00611CB2" w:rsidRDefault="00611CB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6926" w:rsidRDefault="00236926">
      <w:r>
        <w:separator/>
      </w:r>
    </w:p>
  </w:footnote>
  <w:footnote w:type="continuationSeparator" w:id="0">
    <w:p w:rsidR="00236926" w:rsidRDefault="002369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Pr="00DA451D" w:rsidRDefault="00611CB2" w:rsidP="001207F2">
    <w:pPr>
      <w:pStyle w:val="a9"/>
      <w:pBdr>
        <w:bottom w:val="single" w:sz="6" w:space="0" w:color="auto"/>
      </w:pBdr>
      <w:jc w:val="right"/>
    </w:pPr>
    <w:r w:rsidRPr="00DA451D">
      <w:t>易方达中债</w:t>
    </w:r>
    <w:r w:rsidRPr="00DA451D">
      <w:t>1-3</w:t>
    </w:r>
    <w:r w:rsidRPr="00DA451D">
      <w:t>年国开行债券指数证券投资基金</w:t>
    </w:r>
    <w:r w:rsidRPr="00DA451D">
      <w:t>2019</w:t>
    </w:r>
    <w:r w:rsidRPr="00DA451D">
      <w:t>年第</w:t>
    </w:r>
    <w:r w:rsidRPr="00DA451D">
      <w:t>3</w:t>
    </w:r>
    <w:r w:rsidRPr="00DA451D">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2A93165E"/>
    <w:multiLevelType w:val="hybridMultilevel"/>
    <w:tmpl w:val="8F54F77E"/>
    <w:lvl w:ilvl="0" w:tplc="8996D53A">
      <w:start w:val="1"/>
      <w:numFmt w:val="japaneseCounting"/>
      <w:lvlText w:val="（%1）"/>
      <w:lvlJc w:val="left"/>
      <w:pPr>
        <w:tabs>
          <w:tab w:val="num" w:pos="1200"/>
        </w:tabs>
        <w:ind w:left="1200" w:hanging="720"/>
      </w:pPr>
      <w:rPr>
        <w:rFonts w:hAnsi="宋体" w:cs="Times New Roman" w:hint="default"/>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2" w15:restartNumberingAfterBreak="0">
    <w:nsid w:val="32C43FA3"/>
    <w:multiLevelType w:val="hybridMultilevel"/>
    <w:tmpl w:val="2658615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4"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5" w15:restartNumberingAfterBreak="0">
    <w:nsid w:val="64C22724"/>
    <w:multiLevelType w:val="multilevel"/>
    <w:tmpl w:val="0409001D"/>
    <w:numStyleLink w:val="5"/>
  </w:abstractNum>
  <w:abstractNum w:abstractNumId="6"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6"/>
  </w:num>
  <w:num w:numId="2">
    <w:abstractNumId w:val="4"/>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5"/>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lvlOverride w:ilvl="2">
      <w:lvl w:ilvl="2">
        <w:start w:val="1"/>
        <w:numFmt w:val="decimal"/>
        <w:lvlText w:val="%1.%2.%3"/>
        <w:lvlJc w:val="left"/>
        <w:pPr>
          <w:tabs>
            <w:tab w:val="num" w:pos="1418"/>
          </w:tabs>
          <w:ind w:left="1418" w:hanging="567"/>
        </w:pPr>
        <w:rPr>
          <w:rFonts w:cs="Times New Roman"/>
        </w:rPr>
      </w:lvl>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02187"/>
    <w:rsid w:val="0000059C"/>
    <w:rsid w:val="000008B1"/>
    <w:rsid w:val="0000403B"/>
    <w:rsid w:val="00007441"/>
    <w:rsid w:val="00007F1F"/>
    <w:rsid w:val="000108A5"/>
    <w:rsid w:val="00010A83"/>
    <w:rsid w:val="000137C1"/>
    <w:rsid w:val="0001579C"/>
    <w:rsid w:val="00016551"/>
    <w:rsid w:val="00020737"/>
    <w:rsid w:val="00020C27"/>
    <w:rsid w:val="000219D5"/>
    <w:rsid w:val="00022396"/>
    <w:rsid w:val="00023073"/>
    <w:rsid w:val="00023B86"/>
    <w:rsid w:val="00023B97"/>
    <w:rsid w:val="00024836"/>
    <w:rsid w:val="000252D8"/>
    <w:rsid w:val="0003338D"/>
    <w:rsid w:val="0003564A"/>
    <w:rsid w:val="00037B55"/>
    <w:rsid w:val="00037C73"/>
    <w:rsid w:val="00042065"/>
    <w:rsid w:val="00043FD2"/>
    <w:rsid w:val="00045558"/>
    <w:rsid w:val="00045BA9"/>
    <w:rsid w:val="00047D87"/>
    <w:rsid w:val="000510AB"/>
    <w:rsid w:val="00053FFD"/>
    <w:rsid w:val="00056D5C"/>
    <w:rsid w:val="00061B0B"/>
    <w:rsid w:val="00061E09"/>
    <w:rsid w:val="00062C69"/>
    <w:rsid w:val="00062E1F"/>
    <w:rsid w:val="00064601"/>
    <w:rsid w:val="00064AE3"/>
    <w:rsid w:val="00064F4B"/>
    <w:rsid w:val="00065ABE"/>
    <w:rsid w:val="0006750A"/>
    <w:rsid w:val="000776C0"/>
    <w:rsid w:val="00077849"/>
    <w:rsid w:val="000803AD"/>
    <w:rsid w:val="000813D6"/>
    <w:rsid w:val="00081D05"/>
    <w:rsid w:val="000827CC"/>
    <w:rsid w:val="000871DB"/>
    <w:rsid w:val="000922C5"/>
    <w:rsid w:val="0009314F"/>
    <w:rsid w:val="00093A23"/>
    <w:rsid w:val="00097169"/>
    <w:rsid w:val="000A08FC"/>
    <w:rsid w:val="000A15F1"/>
    <w:rsid w:val="000A1617"/>
    <w:rsid w:val="000A40A5"/>
    <w:rsid w:val="000A457E"/>
    <w:rsid w:val="000A549A"/>
    <w:rsid w:val="000A5A81"/>
    <w:rsid w:val="000A6D8C"/>
    <w:rsid w:val="000A72F2"/>
    <w:rsid w:val="000A7BFD"/>
    <w:rsid w:val="000B000E"/>
    <w:rsid w:val="000B1CB9"/>
    <w:rsid w:val="000B24AF"/>
    <w:rsid w:val="000B251E"/>
    <w:rsid w:val="000B3E43"/>
    <w:rsid w:val="000B4E99"/>
    <w:rsid w:val="000B5B16"/>
    <w:rsid w:val="000B648A"/>
    <w:rsid w:val="000C45E7"/>
    <w:rsid w:val="000C5956"/>
    <w:rsid w:val="000C757F"/>
    <w:rsid w:val="000C7DD4"/>
    <w:rsid w:val="000D1164"/>
    <w:rsid w:val="000D1BBE"/>
    <w:rsid w:val="000D3773"/>
    <w:rsid w:val="000D4DE9"/>
    <w:rsid w:val="000D6660"/>
    <w:rsid w:val="000D6BA0"/>
    <w:rsid w:val="000D7ECA"/>
    <w:rsid w:val="000E2F81"/>
    <w:rsid w:val="000E3726"/>
    <w:rsid w:val="000E39DB"/>
    <w:rsid w:val="000F0558"/>
    <w:rsid w:val="000F0AC3"/>
    <w:rsid w:val="000F1611"/>
    <w:rsid w:val="000F175F"/>
    <w:rsid w:val="000F17D1"/>
    <w:rsid w:val="000F1CC9"/>
    <w:rsid w:val="000F5ABD"/>
    <w:rsid w:val="000F60FF"/>
    <w:rsid w:val="000F6F7C"/>
    <w:rsid w:val="001005BB"/>
    <w:rsid w:val="00103B0E"/>
    <w:rsid w:val="001040EA"/>
    <w:rsid w:val="00112BCF"/>
    <w:rsid w:val="00114E7E"/>
    <w:rsid w:val="00117465"/>
    <w:rsid w:val="00117F22"/>
    <w:rsid w:val="00120280"/>
    <w:rsid w:val="001207F2"/>
    <w:rsid w:val="00121533"/>
    <w:rsid w:val="0012304E"/>
    <w:rsid w:val="00123051"/>
    <w:rsid w:val="0012558C"/>
    <w:rsid w:val="001257C7"/>
    <w:rsid w:val="00125E66"/>
    <w:rsid w:val="001262F4"/>
    <w:rsid w:val="001263E1"/>
    <w:rsid w:val="00126AC0"/>
    <w:rsid w:val="00126C2B"/>
    <w:rsid w:val="00127A01"/>
    <w:rsid w:val="00130D77"/>
    <w:rsid w:val="00131EF6"/>
    <w:rsid w:val="0013251D"/>
    <w:rsid w:val="00134734"/>
    <w:rsid w:val="00134CBE"/>
    <w:rsid w:val="00140C30"/>
    <w:rsid w:val="001427AE"/>
    <w:rsid w:val="00142C74"/>
    <w:rsid w:val="001453EF"/>
    <w:rsid w:val="00145E5B"/>
    <w:rsid w:val="00147319"/>
    <w:rsid w:val="00147551"/>
    <w:rsid w:val="0015012F"/>
    <w:rsid w:val="00150C2E"/>
    <w:rsid w:val="0015170D"/>
    <w:rsid w:val="001517AE"/>
    <w:rsid w:val="00154FA5"/>
    <w:rsid w:val="0015531A"/>
    <w:rsid w:val="00156F9D"/>
    <w:rsid w:val="001602E3"/>
    <w:rsid w:val="00160539"/>
    <w:rsid w:val="00161548"/>
    <w:rsid w:val="00162D92"/>
    <w:rsid w:val="0016464C"/>
    <w:rsid w:val="0017176A"/>
    <w:rsid w:val="00172B54"/>
    <w:rsid w:val="00174038"/>
    <w:rsid w:val="00174D16"/>
    <w:rsid w:val="00176874"/>
    <w:rsid w:val="0017725A"/>
    <w:rsid w:val="0018052A"/>
    <w:rsid w:val="00180952"/>
    <w:rsid w:val="0018191A"/>
    <w:rsid w:val="00185B68"/>
    <w:rsid w:val="00186199"/>
    <w:rsid w:val="001874E3"/>
    <w:rsid w:val="001878B0"/>
    <w:rsid w:val="00194155"/>
    <w:rsid w:val="001A0417"/>
    <w:rsid w:val="001A0B71"/>
    <w:rsid w:val="001A1389"/>
    <w:rsid w:val="001A3016"/>
    <w:rsid w:val="001A3914"/>
    <w:rsid w:val="001A5FA6"/>
    <w:rsid w:val="001B053A"/>
    <w:rsid w:val="001B08B3"/>
    <w:rsid w:val="001B0A62"/>
    <w:rsid w:val="001B0C78"/>
    <w:rsid w:val="001B151C"/>
    <w:rsid w:val="001B1A13"/>
    <w:rsid w:val="001B22BA"/>
    <w:rsid w:val="001B3C1C"/>
    <w:rsid w:val="001B4983"/>
    <w:rsid w:val="001C2045"/>
    <w:rsid w:val="001C5040"/>
    <w:rsid w:val="001C715A"/>
    <w:rsid w:val="001D0DB0"/>
    <w:rsid w:val="001D0F6A"/>
    <w:rsid w:val="001D2FA5"/>
    <w:rsid w:val="001D3394"/>
    <w:rsid w:val="001D3D57"/>
    <w:rsid w:val="001D4980"/>
    <w:rsid w:val="001D5045"/>
    <w:rsid w:val="001D5A44"/>
    <w:rsid w:val="001D5CD0"/>
    <w:rsid w:val="001D63BB"/>
    <w:rsid w:val="001D724B"/>
    <w:rsid w:val="001E023C"/>
    <w:rsid w:val="001E0BA5"/>
    <w:rsid w:val="001F03E1"/>
    <w:rsid w:val="001F1F19"/>
    <w:rsid w:val="001F2BD1"/>
    <w:rsid w:val="001F3080"/>
    <w:rsid w:val="001F3CC6"/>
    <w:rsid w:val="001F5F5F"/>
    <w:rsid w:val="001F60E9"/>
    <w:rsid w:val="002035B9"/>
    <w:rsid w:val="00205064"/>
    <w:rsid w:val="0020548A"/>
    <w:rsid w:val="002079FA"/>
    <w:rsid w:val="00211668"/>
    <w:rsid w:val="002118A6"/>
    <w:rsid w:val="002122FF"/>
    <w:rsid w:val="002125F7"/>
    <w:rsid w:val="0021288A"/>
    <w:rsid w:val="002150AC"/>
    <w:rsid w:val="0021650B"/>
    <w:rsid w:val="00221938"/>
    <w:rsid w:val="00222262"/>
    <w:rsid w:val="00222ABD"/>
    <w:rsid w:val="002230A8"/>
    <w:rsid w:val="00227D20"/>
    <w:rsid w:val="00231BCE"/>
    <w:rsid w:val="0023336A"/>
    <w:rsid w:val="002354AD"/>
    <w:rsid w:val="002359EB"/>
    <w:rsid w:val="0023649E"/>
    <w:rsid w:val="00236926"/>
    <w:rsid w:val="00241740"/>
    <w:rsid w:val="002424E4"/>
    <w:rsid w:val="00243122"/>
    <w:rsid w:val="002437F5"/>
    <w:rsid w:val="00244DB1"/>
    <w:rsid w:val="00244FDA"/>
    <w:rsid w:val="00245012"/>
    <w:rsid w:val="0024504E"/>
    <w:rsid w:val="0024651F"/>
    <w:rsid w:val="00246874"/>
    <w:rsid w:val="00246D81"/>
    <w:rsid w:val="00250869"/>
    <w:rsid w:val="00251920"/>
    <w:rsid w:val="00253D3C"/>
    <w:rsid w:val="00254A7E"/>
    <w:rsid w:val="00255292"/>
    <w:rsid w:val="00256047"/>
    <w:rsid w:val="0025722F"/>
    <w:rsid w:val="00257E84"/>
    <w:rsid w:val="00260200"/>
    <w:rsid w:val="00263106"/>
    <w:rsid w:val="002642F2"/>
    <w:rsid w:val="00264AE1"/>
    <w:rsid w:val="00264E55"/>
    <w:rsid w:val="00266645"/>
    <w:rsid w:val="00267386"/>
    <w:rsid w:val="00267C2E"/>
    <w:rsid w:val="00267DA9"/>
    <w:rsid w:val="00273E5C"/>
    <w:rsid w:val="0027576B"/>
    <w:rsid w:val="00275FD0"/>
    <w:rsid w:val="00280514"/>
    <w:rsid w:val="002810D8"/>
    <w:rsid w:val="002819E7"/>
    <w:rsid w:val="00282FF2"/>
    <w:rsid w:val="00283483"/>
    <w:rsid w:val="002844B5"/>
    <w:rsid w:val="0028459B"/>
    <w:rsid w:val="00285618"/>
    <w:rsid w:val="002872F8"/>
    <w:rsid w:val="002953E8"/>
    <w:rsid w:val="00296E4A"/>
    <w:rsid w:val="00297260"/>
    <w:rsid w:val="002976E5"/>
    <w:rsid w:val="002A1F14"/>
    <w:rsid w:val="002A2678"/>
    <w:rsid w:val="002A3369"/>
    <w:rsid w:val="002A3965"/>
    <w:rsid w:val="002A4B8A"/>
    <w:rsid w:val="002A5161"/>
    <w:rsid w:val="002A5C0F"/>
    <w:rsid w:val="002A6385"/>
    <w:rsid w:val="002A7929"/>
    <w:rsid w:val="002B41D7"/>
    <w:rsid w:val="002B5240"/>
    <w:rsid w:val="002B6A13"/>
    <w:rsid w:val="002C0904"/>
    <w:rsid w:val="002C0F67"/>
    <w:rsid w:val="002C1E84"/>
    <w:rsid w:val="002C36C3"/>
    <w:rsid w:val="002C77CC"/>
    <w:rsid w:val="002D2A00"/>
    <w:rsid w:val="002D5199"/>
    <w:rsid w:val="002E2862"/>
    <w:rsid w:val="002E2BEF"/>
    <w:rsid w:val="002E356A"/>
    <w:rsid w:val="002E4C01"/>
    <w:rsid w:val="002F0516"/>
    <w:rsid w:val="002F22D2"/>
    <w:rsid w:val="002F778A"/>
    <w:rsid w:val="00302187"/>
    <w:rsid w:val="003028D8"/>
    <w:rsid w:val="0030290F"/>
    <w:rsid w:val="00302DE9"/>
    <w:rsid w:val="00302FAB"/>
    <w:rsid w:val="00303869"/>
    <w:rsid w:val="00303F1D"/>
    <w:rsid w:val="00305084"/>
    <w:rsid w:val="00305153"/>
    <w:rsid w:val="00311ABF"/>
    <w:rsid w:val="00314A81"/>
    <w:rsid w:val="00314DD2"/>
    <w:rsid w:val="00315A7C"/>
    <w:rsid w:val="00317705"/>
    <w:rsid w:val="00320453"/>
    <w:rsid w:val="003204E9"/>
    <w:rsid w:val="003232AA"/>
    <w:rsid w:val="00323A10"/>
    <w:rsid w:val="00323E6A"/>
    <w:rsid w:val="00323F25"/>
    <w:rsid w:val="00324A71"/>
    <w:rsid w:val="003303E3"/>
    <w:rsid w:val="00334656"/>
    <w:rsid w:val="00337A86"/>
    <w:rsid w:val="0034147B"/>
    <w:rsid w:val="00341889"/>
    <w:rsid w:val="003426CE"/>
    <w:rsid w:val="00343016"/>
    <w:rsid w:val="0034447B"/>
    <w:rsid w:val="00351704"/>
    <w:rsid w:val="003570C8"/>
    <w:rsid w:val="00367770"/>
    <w:rsid w:val="00371424"/>
    <w:rsid w:val="00371FF4"/>
    <w:rsid w:val="00372209"/>
    <w:rsid w:val="003771ED"/>
    <w:rsid w:val="0037768B"/>
    <w:rsid w:val="00381791"/>
    <w:rsid w:val="00382E6F"/>
    <w:rsid w:val="00387C00"/>
    <w:rsid w:val="00397960"/>
    <w:rsid w:val="00397F75"/>
    <w:rsid w:val="003A2008"/>
    <w:rsid w:val="003A3BC4"/>
    <w:rsid w:val="003A4AA3"/>
    <w:rsid w:val="003B405E"/>
    <w:rsid w:val="003B4843"/>
    <w:rsid w:val="003B494E"/>
    <w:rsid w:val="003C6E9E"/>
    <w:rsid w:val="003C792F"/>
    <w:rsid w:val="003D117A"/>
    <w:rsid w:val="003D36B2"/>
    <w:rsid w:val="003D42D5"/>
    <w:rsid w:val="003D656E"/>
    <w:rsid w:val="003D7783"/>
    <w:rsid w:val="003D78B5"/>
    <w:rsid w:val="003E0BD4"/>
    <w:rsid w:val="003E45B9"/>
    <w:rsid w:val="003E654C"/>
    <w:rsid w:val="003F0DE5"/>
    <w:rsid w:val="003F0E22"/>
    <w:rsid w:val="003F1058"/>
    <w:rsid w:val="003F13CD"/>
    <w:rsid w:val="003F46FC"/>
    <w:rsid w:val="003F4AA5"/>
    <w:rsid w:val="003F697D"/>
    <w:rsid w:val="003F7C45"/>
    <w:rsid w:val="00400500"/>
    <w:rsid w:val="0040132C"/>
    <w:rsid w:val="00404257"/>
    <w:rsid w:val="00407F66"/>
    <w:rsid w:val="004113B4"/>
    <w:rsid w:val="0041220A"/>
    <w:rsid w:val="00413B96"/>
    <w:rsid w:val="00413C2C"/>
    <w:rsid w:val="00414367"/>
    <w:rsid w:val="00415168"/>
    <w:rsid w:val="00415A8A"/>
    <w:rsid w:val="00415B04"/>
    <w:rsid w:val="00416A6B"/>
    <w:rsid w:val="0042044C"/>
    <w:rsid w:val="00421624"/>
    <w:rsid w:val="00424151"/>
    <w:rsid w:val="00425208"/>
    <w:rsid w:val="00425A5A"/>
    <w:rsid w:val="00425FB6"/>
    <w:rsid w:val="004268BB"/>
    <w:rsid w:val="0042785F"/>
    <w:rsid w:val="004314FF"/>
    <w:rsid w:val="004408EC"/>
    <w:rsid w:val="00440F74"/>
    <w:rsid w:val="00441FEC"/>
    <w:rsid w:val="004425E8"/>
    <w:rsid w:val="00443C8F"/>
    <w:rsid w:val="00447BC6"/>
    <w:rsid w:val="004501CE"/>
    <w:rsid w:val="00452481"/>
    <w:rsid w:val="00454A0F"/>
    <w:rsid w:val="0046335D"/>
    <w:rsid w:val="00463C2C"/>
    <w:rsid w:val="00471D81"/>
    <w:rsid w:val="004733AC"/>
    <w:rsid w:val="00483271"/>
    <w:rsid w:val="00490F85"/>
    <w:rsid w:val="0049210E"/>
    <w:rsid w:val="0049297D"/>
    <w:rsid w:val="0049327D"/>
    <w:rsid w:val="0049405D"/>
    <w:rsid w:val="0049455C"/>
    <w:rsid w:val="00495A03"/>
    <w:rsid w:val="004A135B"/>
    <w:rsid w:val="004A1BE1"/>
    <w:rsid w:val="004A3251"/>
    <w:rsid w:val="004A4980"/>
    <w:rsid w:val="004A4F68"/>
    <w:rsid w:val="004A63CB"/>
    <w:rsid w:val="004A67B0"/>
    <w:rsid w:val="004A6FB2"/>
    <w:rsid w:val="004B0847"/>
    <w:rsid w:val="004B0E6D"/>
    <w:rsid w:val="004B16E8"/>
    <w:rsid w:val="004B67DB"/>
    <w:rsid w:val="004C0541"/>
    <w:rsid w:val="004C3A16"/>
    <w:rsid w:val="004C634A"/>
    <w:rsid w:val="004C660B"/>
    <w:rsid w:val="004D050C"/>
    <w:rsid w:val="004D23D9"/>
    <w:rsid w:val="004D29A9"/>
    <w:rsid w:val="004D3537"/>
    <w:rsid w:val="004D4D4E"/>
    <w:rsid w:val="004D614E"/>
    <w:rsid w:val="004D650F"/>
    <w:rsid w:val="004E2133"/>
    <w:rsid w:val="004E4E04"/>
    <w:rsid w:val="004E6CBA"/>
    <w:rsid w:val="004F521C"/>
    <w:rsid w:val="00502CD8"/>
    <w:rsid w:val="0050361C"/>
    <w:rsid w:val="00503BF4"/>
    <w:rsid w:val="00506A40"/>
    <w:rsid w:val="0051064F"/>
    <w:rsid w:val="00513461"/>
    <w:rsid w:val="00513A0E"/>
    <w:rsid w:val="00515D7B"/>
    <w:rsid w:val="00515F29"/>
    <w:rsid w:val="0052009E"/>
    <w:rsid w:val="00523F04"/>
    <w:rsid w:val="00524368"/>
    <w:rsid w:val="0052438C"/>
    <w:rsid w:val="00530161"/>
    <w:rsid w:val="00532DB7"/>
    <w:rsid w:val="00536F71"/>
    <w:rsid w:val="00544342"/>
    <w:rsid w:val="005450F7"/>
    <w:rsid w:val="00545A0B"/>
    <w:rsid w:val="0054672F"/>
    <w:rsid w:val="00547FA4"/>
    <w:rsid w:val="005536D4"/>
    <w:rsid w:val="00553EC8"/>
    <w:rsid w:val="005564EE"/>
    <w:rsid w:val="00557D4A"/>
    <w:rsid w:val="0056176B"/>
    <w:rsid w:val="00561889"/>
    <w:rsid w:val="005621F6"/>
    <w:rsid w:val="0056291C"/>
    <w:rsid w:val="005668D3"/>
    <w:rsid w:val="00566EBD"/>
    <w:rsid w:val="00571535"/>
    <w:rsid w:val="0057154B"/>
    <w:rsid w:val="0057278A"/>
    <w:rsid w:val="005742DB"/>
    <w:rsid w:val="00575C75"/>
    <w:rsid w:val="00577209"/>
    <w:rsid w:val="005800A9"/>
    <w:rsid w:val="00581139"/>
    <w:rsid w:val="00581645"/>
    <w:rsid w:val="0058694E"/>
    <w:rsid w:val="005875F9"/>
    <w:rsid w:val="00593A35"/>
    <w:rsid w:val="00593C74"/>
    <w:rsid w:val="00594934"/>
    <w:rsid w:val="005954CF"/>
    <w:rsid w:val="00597D8B"/>
    <w:rsid w:val="005A46FF"/>
    <w:rsid w:val="005A557E"/>
    <w:rsid w:val="005A63FD"/>
    <w:rsid w:val="005B462A"/>
    <w:rsid w:val="005B5137"/>
    <w:rsid w:val="005B6047"/>
    <w:rsid w:val="005C0ED7"/>
    <w:rsid w:val="005C5409"/>
    <w:rsid w:val="005C62A5"/>
    <w:rsid w:val="005C6FF7"/>
    <w:rsid w:val="005C7D00"/>
    <w:rsid w:val="005D01A4"/>
    <w:rsid w:val="005D0BAB"/>
    <w:rsid w:val="005D1893"/>
    <w:rsid w:val="005D26E9"/>
    <w:rsid w:val="005D2CAA"/>
    <w:rsid w:val="005D4B66"/>
    <w:rsid w:val="005D4CBA"/>
    <w:rsid w:val="005E01A3"/>
    <w:rsid w:val="005E0354"/>
    <w:rsid w:val="005E6C62"/>
    <w:rsid w:val="005E6F13"/>
    <w:rsid w:val="005E726C"/>
    <w:rsid w:val="005F293E"/>
    <w:rsid w:val="005F43B9"/>
    <w:rsid w:val="005F458B"/>
    <w:rsid w:val="005F4A6A"/>
    <w:rsid w:val="005F4E28"/>
    <w:rsid w:val="005F56BA"/>
    <w:rsid w:val="0060008E"/>
    <w:rsid w:val="00602321"/>
    <w:rsid w:val="006033E3"/>
    <w:rsid w:val="00606B29"/>
    <w:rsid w:val="0060758A"/>
    <w:rsid w:val="00607D0E"/>
    <w:rsid w:val="006101F5"/>
    <w:rsid w:val="00610DA5"/>
    <w:rsid w:val="00611663"/>
    <w:rsid w:val="00611CB2"/>
    <w:rsid w:val="0061321C"/>
    <w:rsid w:val="00613F44"/>
    <w:rsid w:val="006160BD"/>
    <w:rsid w:val="00620EDB"/>
    <w:rsid w:val="0062386E"/>
    <w:rsid w:val="00624C10"/>
    <w:rsid w:val="006253EF"/>
    <w:rsid w:val="00626075"/>
    <w:rsid w:val="0062680E"/>
    <w:rsid w:val="00630C47"/>
    <w:rsid w:val="00631158"/>
    <w:rsid w:val="00632923"/>
    <w:rsid w:val="006341E6"/>
    <w:rsid w:val="00634439"/>
    <w:rsid w:val="006366C6"/>
    <w:rsid w:val="00636B55"/>
    <w:rsid w:val="00636EB1"/>
    <w:rsid w:val="006373D6"/>
    <w:rsid w:val="006403D4"/>
    <w:rsid w:val="00642CBC"/>
    <w:rsid w:val="0064454A"/>
    <w:rsid w:val="00645293"/>
    <w:rsid w:val="006456D3"/>
    <w:rsid w:val="00651B78"/>
    <w:rsid w:val="0065237A"/>
    <w:rsid w:val="00652FF5"/>
    <w:rsid w:val="0065303C"/>
    <w:rsid w:val="00653246"/>
    <w:rsid w:val="00654382"/>
    <w:rsid w:val="006548FA"/>
    <w:rsid w:val="0066098B"/>
    <w:rsid w:val="00661244"/>
    <w:rsid w:val="006640DF"/>
    <w:rsid w:val="00666A3C"/>
    <w:rsid w:val="00667519"/>
    <w:rsid w:val="006676A0"/>
    <w:rsid w:val="00670857"/>
    <w:rsid w:val="00670868"/>
    <w:rsid w:val="00673D69"/>
    <w:rsid w:val="00676431"/>
    <w:rsid w:val="00677A9C"/>
    <w:rsid w:val="0068050D"/>
    <w:rsid w:val="00684C6B"/>
    <w:rsid w:val="00685FFC"/>
    <w:rsid w:val="00686943"/>
    <w:rsid w:val="00686EDE"/>
    <w:rsid w:val="00687AD5"/>
    <w:rsid w:val="00690A31"/>
    <w:rsid w:val="006911CE"/>
    <w:rsid w:val="00692002"/>
    <w:rsid w:val="00695251"/>
    <w:rsid w:val="00695B58"/>
    <w:rsid w:val="006A1153"/>
    <w:rsid w:val="006A4828"/>
    <w:rsid w:val="006A7C09"/>
    <w:rsid w:val="006B046C"/>
    <w:rsid w:val="006B252F"/>
    <w:rsid w:val="006B3940"/>
    <w:rsid w:val="006B4B1E"/>
    <w:rsid w:val="006B7FA5"/>
    <w:rsid w:val="006C168D"/>
    <w:rsid w:val="006C21E6"/>
    <w:rsid w:val="006C4033"/>
    <w:rsid w:val="006C5BC9"/>
    <w:rsid w:val="006C642C"/>
    <w:rsid w:val="006C7247"/>
    <w:rsid w:val="006D462B"/>
    <w:rsid w:val="006D7386"/>
    <w:rsid w:val="006E0DAD"/>
    <w:rsid w:val="006E313F"/>
    <w:rsid w:val="006E6CA2"/>
    <w:rsid w:val="006F1F1A"/>
    <w:rsid w:val="006F5AC2"/>
    <w:rsid w:val="006F6C28"/>
    <w:rsid w:val="007007EB"/>
    <w:rsid w:val="00701109"/>
    <w:rsid w:val="00701F57"/>
    <w:rsid w:val="00701FD8"/>
    <w:rsid w:val="00703E8A"/>
    <w:rsid w:val="00706046"/>
    <w:rsid w:val="007112F0"/>
    <w:rsid w:val="00711343"/>
    <w:rsid w:val="00714309"/>
    <w:rsid w:val="0071450F"/>
    <w:rsid w:val="00717772"/>
    <w:rsid w:val="00720B42"/>
    <w:rsid w:val="00721DBE"/>
    <w:rsid w:val="007226EC"/>
    <w:rsid w:val="00722B5E"/>
    <w:rsid w:val="00724F6D"/>
    <w:rsid w:val="0072678C"/>
    <w:rsid w:val="00732D1D"/>
    <w:rsid w:val="00734119"/>
    <w:rsid w:val="007350D4"/>
    <w:rsid w:val="00736034"/>
    <w:rsid w:val="00740707"/>
    <w:rsid w:val="0074120F"/>
    <w:rsid w:val="00743764"/>
    <w:rsid w:val="00743B2D"/>
    <w:rsid w:val="00747930"/>
    <w:rsid w:val="0075060E"/>
    <w:rsid w:val="00752E8B"/>
    <w:rsid w:val="007541BB"/>
    <w:rsid w:val="00754D62"/>
    <w:rsid w:val="00756CFF"/>
    <w:rsid w:val="00757FD7"/>
    <w:rsid w:val="00761B7A"/>
    <w:rsid w:val="007651E5"/>
    <w:rsid w:val="00765256"/>
    <w:rsid w:val="007661D4"/>
    <w:rsid w:val="007661FD"/>
    <w:rsid w:val="00766A7C"/>
    <w:rsid w:val="00767A27"/>
    <w:rsid w:val="0077111A"/>
    <w:rsid w:val="00775419"/>
    <w:rsid w:val="007763A5"/>
    <w:rsid w:val="0078105B"/>
    <w:rsid w:val="00782B50"/>
    <w:rsid w:val="007836C2"/>
    <w:rsid w:val="00784FE0"/>
    <w:rsid w:val="007858B1"/>
    <w:rsid w:val="0078648E"/>
    <w:rsid w:val="00790803"/>
    <w:rsid w:val="00791A3A"/>
    <w:rsid w:val="00791D9C"/>
    <w:rsid w:val="007A391B"/>
    <w:rsid w:val="007A4409"/>
    <w:rsid w:val="007A4F37"/>
    <w:rsid w:val="007A5241"/>
    <w:rsid w:val="007A59B8"/>
    <w:rsid w:val="007B06C7"/>
    <w:rsid w:val="007B3D06"/>
    <w:rsid w:val="007B42F5"/>
    <w:rsid w:val="007B5157"/>
    <w:rsid w:val="007B5CD8"/>
    <w:rsid w:val="007C1122"/>
    <w:rsid w:val="007C19EC"/>
    <w:rsid w:val="007C364E"/>
    <w:rsid w:val="007C5359"/>
    <w:rsid w:val="007C6701"/>
    <w:rsid w:val="007D16ED"/>
    <w:rsid w:val="007D2398"/>
    <w:rsid w:val="007D440B"/>
    <w:rsid w:val="007D62F9"/>
    <w:rsid w:val="007D63A4"/>
    <w:rsid w:val="007D732D"/>
    <w:rsid w:val="007D7C43"/>
    <w:rsid w:val="007E0F19"/>
    <w:rsid w:val="007E2A84"/>
    <w:rsid w:val="007E5ECB"/>
    <w:rsid w:val="007F063D"/>
    <w:rsid w:val="007F0D73"/>
    <w:rsid w:val="007F153F"/>
    <w:rsid w:val="007F3137"/>
    <w:rsid w:val="007F432A"/>
    <w:rsid w:val="007F63AA"/>
    <w:rsid w:val="008006B7"/>
    <w:rsid w:val="008032FD"/>
    <w:rsid w:val="00806461"/>
    <w:rsid w:val="008064CE"/>
    <w:rsid w:val="0080673A"/>
    <w:rsid w:val="00807A94"/>
    <w:rsid w:val="00810B79"/>
    <w:rsid w:val="00810EAD"/>
    <w:rsid w:val="00814530"/>
    <w:rsid w:val="00815386"/>
    <w:rsid w:val="00821F9C"/>
    <w:rsid w:val="00825570"/>
    <w:rsid w:val="00826403"/>
    <w:rsid w:val="00827990"/>
    <w:rsid w:val="00834CA6"/>
    <w:rsid w:val="0083623B"/>
    <w:rsid w:val="00836C5A"/>
    <w:rsid w:val="00837E59"/>
    <w:rsid w:val="00840AC0"/>
    <w:rsid w:val="00842100"/>
    <w:rsid w:val="008428A9"/>
    <w:rsid w:val="0084308F"/>
    <w:rsid w:val="00846C2B"/>
    <w:rsid w:val="0085139A"/>
    <w:rsid w:val="008524F6"/>
    <w:rsid w:val="008532F3"/>
    <w:rsid w:val="00854B3F"/>
    <w:rsid w:val="00861C2C"/>
    <w:rsid w:val="00863744"/>
    <w:rsid w:val="00865CFA"/>
    <w:rsid w:val="008668B8"/>
    <w:rsid w:val="0086748F"/>
    <w:rsid w:val="00867B4D"/>
    <w:rsid w:val="00867CF3"/>
    <w:rsid w:val="00874AA3"/>
    <w:rsid w:val="00874AB5"/>
    <w:rsid w:val="00877671"/>
    <w:rsid w:val="00877A13"/>
    <w:rsid w:val="008811F8"/>
    <w:rsid w:val="008869BC"/>
    <w:rsid w:val="00887DDD"/>
    <w:rsid w:val="00887DE6"/>
    <w:rsid w:val="00887E9F"/>
    <w:rsid w:val="008908AA"/>
    <w:rsid w:val="00890E08"/>
    <w:rsid w:val="008927F0"/>
    <w:rsid w:val="00894DCA"/>
    <w:rsid w:val="00896602"/>
    <w:rsid w:val="00897D88"/>
    <w:rsid w:val="008A00BE"/>
    <w:rsid w:val="008A1539"/>
    <w:rsid w:val="008A2C5D"/>
    <w:rsid w:val="008A3BE2"/>
    <w:rsid w:val="008A6957"/>
    <w:rsid w:val="008A6B30"/>
    <w:rsid w:val="008B05E7"/>
    <w:rsid w:val="008B0758"/>
    <w:rsid w:val="008B1875"/>
    <w:rsid w:val="008B4146"/>
    <w:rsid w:val="008B5312"/>
    <w:rsid w:val="008B59CE"/>
    <w:rsid w:val="008B6078"/>
    <w:rsid w:val="008B6085"/>
    <w:rsid w:val="008B7110"/>
    <w:rsid w:val="008B7F4A"/>
    <w:rsid w:val="008C04E1"/>
    <w:rsid w:val="008C04FE"/>
    <w:rsid w:val="008C2F50"/>
    <w:rsid w:val="008C3109"/>
    <w:rsid w:val="008C32F7"/>
    <w:rsid w:val="008C383A"/>
    <w:rsid w:val="008C5312"/>
    <w:rsid w:val="008C5DBD"/>
    <w:rsid w:val="008C61D6"/>
    <w:rsid w:val="008C7498"/>
    <w:rsid w:val="008D49AF"/>
    <w:rsid w:val="008D4A2B"/>
    <w:rsid w:val="008D4A9F"/>
    <w:rsid w:val="008D6294"/>
    <w:rsid w:val="008E1FE0"/>
    <w:rsid w:val="008E3939"/>
    <w:rsid w:val="008E3DDD"/>
    <w:rsid w:val="008F23F4"/>
    <w:rsid w:val="008F61C4"/>
    <w:rsid w:val="008F7763"/>
    <w:rsid w:val="009007CB"/>
    <w:rsid w:val="009010F0"/>
    <w:rsid w:val="00901162"/>
    <w:rsid w:val="00901C2E"/>
    <w:rsid w:val="00901D46"/>
    <w:rsid w:val="009028E2"/>
    <w:rsid w:val="00903692"/>
    <w:rsid w:val="00904E07"/>
    <w:rsid w:val="00906059"/>
    <w:rsid w:val="00912BAF"/>
    <w:rsid w:val="0091311E"/>
    <w:rsid w:val="00914EAB"/>
    <w:rsid w:val="0091541F"/>
    <w:rsid w:val="00920D98"/>
    <w:rsid w:val="0092108C"/>
    <w:rsid w:val="00922D49"/>
    <w:rsid w:val="009238DB"/>
    <w:rsid w:val="00925E37"/>
    <w:rsid w:val="00925EDD"/>
    <w:rsid w:val="0092665C"/>
    <w:rsid w:val="00930079"/>
    <w:rsid w:val="00930966"/>
    <w:rsid w:val="00932F64"/>
    <w:rsid w:val="00935FB1"/>
    <w:rsid w:val="00936075"/>
    <w:rsid w:val="00936D40"/>
    <w:rsid w:val="00937ABF"/>
    <w:rsid w:val="00937DB1"/>
    <w:rsid w:val="009463CC"/>
    <w:rsid w:val="0094687A"/>
    <w:rsid w:val="00950413"/>
    <w:rsid w:val="0095078E"/>
    <w:rsid w:val="00952404"/>
    <w:rsid w:val="00952A72"/>
    <w:rsid w:val="009542B3"/>
    <w:rsid w:val="009550A8"/>
    <w:rsid w:val="00955FF2"/>
    <w:rsid w:val="0095693D"/>
    <w:rsid w:val="00956B0D"/>
    <w:rsid w:val="0096224F"/>
    <w:rsid w:val="0096260B"/>
    <w:rsid w:val="009631C1"/>
    <w:rsid w:val="00970C69"/>
    <w:rsid w:val="00973B57"/>
    <w:rsid w:val="00973E0D"/>
    <w:rsid w:val="0097403F"/>
    <w:rsid w:val="00976797"/>
    <w:rsid w:val="00980C0C"/>
    <w:rsid w:val="00982E47"/>
    <w:rsid w:val="00983E7D"/>
    <w:rsid w:val="00991642"/>
    <w:rsid w:val="0099260C"/>
    <w:rsid w:val="009942F4"/>
    <w:rsid w:val="00995B3C"/>
    <w:rsid w:val="00996BCA"/>
    <w:rsid w:val="00997454"/>
    <w:rsid w:val="009A045B"/>
    <w:rsid w:val="009A0513"/>
    <w:rsid w:val="009A1119"/>
    <w:rsid w:val="009A2283"/>
    <w:rsid w:val="009A31AF"/>
    <w:rsid w:val="009A3507"/>
    <w:rsid w:val="009A529F"/>
    <w:rsid w:val="009A5C1D"/>
    <w:rsid w:val="009A6018"/>
    <w:rsid w:val="009A7C28"/>
    <w:rsid w:val="009B0273"/>
    <w:rsid w:val="009B4286"/>
    <w:rsid w:val="009B5BF9"/>
    <w:rsid w:val="009B5DAF"/>
    <w:rsid w:val="009B5F83"/>
    <w:rsid w:val="009B61C5"/>
    <w:rsid w:val="009B769E"/>
    <w:rsid w:val="009C03E5"/>
    <w:rsid w:val="009C3F17"/>
    <w:rsid w:val="009C4D19"/>
    <w:rsid w:val="009C5FDB"/>
    <w:rsid w:val="009C65AF"/>
    <w:rsid w:val="009C70CB"/>
    <w:rsid w:val="009C74DD"/>
    <w:rsid w:val="009D0312"/>
    <w:rsid w:val="009D27AA"/>
    <w:rsid w:val="009D2AD9"/>
    <w:rsid w:val="009D514E"/>
    <w:rsid w:val="009D5A40"/>
    <w:rsid w:val="009D5C39"/>
    <w:rsid w:val="009D6FED"/>
    <w:rsid w:val="009E0A95"/>
    <w:rsid w:val="009E0D47"/>
    <w:rsid w:val="009E549D"/>
    <w:rsid w:val="009E54AF"/>
    <w:rsid w:val="009E5C59"/>
    <w:rsid w:val="009E6BB8"/>
    <w:rsid w:val="009F0FB1"/>
    <w:rsid w:val="009F1CC3"/>
    <w:rsid w:val="009F26F2"/>
    <w:rsid w:val="009F3E1E"/>
    <w:rsid w:val="009F4CC5"/>
    <w:rsid w:val="009F6550"/>
    <w:rsid w:val="00A003BE"/>
    <w:rsid w:val="00A02F51"/>
    <w:rsid w:val="00A0520F"/>
    <w:rsid w:val="00A05ACE"/>
    <w:rsid w:val="00A06788"/>
    <w:rsid w:val="00A104A4"/>
    <w:rsid w:val="00A10D63"/>
    <w:rsid w:val="00A115BC"/>
    <w:rsid w:val="00A11776"/>
    <w:rsid w:val="00A1276C"/>
    <w:rsid w:val="00A14098"/>
    <w:rsid w:val="00A14304"/>
    <w:rsid w:val="00A14399"/>
    <w:rsid w:val="00A14C46"/>
    <w:rsid w:val="00A15524"/>
    <w:rsid w:val="00A15EE9"/>
    <w:rsid w:val="00A16675"/>
    <w:rsid w:val="00A1724E"/>
    <w:rsid w:val="00A17E5B"/>
    <w:rsid w:val="00A20263"/>
    <w:rsid w:val="00A2168F"/>
    <w:rsid w:val="00A248B1"/>
    <w:rsid w:val="00A26437"/>
    <w:rsid w:val="00A30E4D"/>
    <w:rsid w:val="00A32410"/>
    <w:rsid w:val="00A32B48"/>
    <w:rsid w:val="00A35D6F"/>
    <w:rsid w:val="00A36D00"/>
    <w:rsid w:val="00A42462"/>
    <w:rsid w:val="00A43389"/>
    <w:rsid w:val="00A4642E"/>
    <w:rsid w:val="00A47AF8"/>
    <w:rsid w:val="00A52D75"/>
    <w:rsid w:val="00A53013"/>
    <w:rsid w:val="00A54BD6"/>
    <w:rsid w:val="00A5643A"/>
    <w:rsid w:val="00A57678"/>
    <w:rsid w:val="00A6090C"/>
    <w:rsid w:val="00A6200E"/>
    <w:rsid w:val="00A62D1E"/>
    <w:rsid w:val="00A65C6D"/>
    <w:rsid w:val="00A670C7"/>
    <w:rsid w:val="00A716B9"/>
    <w:rsid w:val="00A720D8"/>
    <w:rsid w:val="00A72216"/>
    <w:rsid w:val="00A733F2"/>
    <w:rsid w:val="00A75705"/>
    <w:rsid w:val="00A75BE1"/>
    <w:rsid w:val="00A8187C"/>
    <w:rsid w:val="00A82C9E"/>
    <w:rsid w:val="00A8324F"/>
    <w:rsid w:val="00A84193"/>
    <w:rsid w:val="00A85142"/>
    <w:rsid w:val="00A875B4"/>
    <w:rsid w:val="00A95B37"/>
    <w:rsid w:val="00A96B6F"/>
    <w:rsid w:val="00AA0CE8"/>
    <w:rsid w:val="00AA35FD"/>
    <w:rsid w:val="00AA3DB7"/>
    <w:rsid w:val="00AA5EF2"/>
    <w:rsid w:val="00AA5F63"/>
    <w:rsid w:val="00AA7EBD"/>
    <w:rsid w:val="00AB0590"/>
    <w:rsid w:val="00AB1112"/>
    <w:rsid w:val="00AB67DE"/>
    <w:rsid w:val="00AB69EF"/>
    <w:rsid w:val="00AC11DC"/>
    <w:rsid w:val="00AC23B0"/>
    <w:rsid w:val="00AC3E87"/>
    <w:rsid w:val="00AC469F"/>
    <w:rsid w:val="00AD0611"/>
    <w:rsid w:val="00AD0E4F"/>
    <w:rsid w:val="00AD26D7"/>
    <w:rsid w:val="00AD3905"/>
    <w:rsid w:val="00AD4555"/>
    <w:rsid w:val="00AD4A31"/>
    <w:rsid w:val="00AD5638"/>
    <w:rsid w:val="00AD7214"/>
    <w:rsid w:val="00AE1066"/>
    <w:rsid w:val="00AE12A4"/>
    <w:rsid w:val="00AE2480"/>
    <w:rsid w:val="00AE2E1B"/>
    <w:rsid w:val="00AE5129"/>
    <w:rsid w:val="00AE5645"/>
    <w:rsid w:val="00AE68BC"/>
    <w:rsid w:val="00AF1D6B"/>
    <w:rsid w:val="00AF24AA"/>
    <w:rsid w:val="00AF3AF9"/>
    <w:rsid w:val="00AF3E5F"/>
    <w:rsid w:val="00AF44C1"/>
    <w:rsid w:val="00AF4F09"/>
    <w:rsid w:val="00AF643E"/>
    <w:rsid w:val="00AF79C8"/>
    <w:rsid w:val="00B00FA8"/>
    <w:rsid w:val="00B011B0"/>
    <w:rsid w:val="00B0391C"/>
    <w:rsid w:val="00B047F6"/>
    <w:rsid w:val="00B06019"/>
    <w:rsid w:val="00B06246"/>
    <w:rsid w:val="00B0700F"/>
    <w:rsid w:val="00B1493B"/>
    <w:rsid w:val="00B15119"/>
    <w:rsid w:val="00B17169"/>
    <w:rsid w:val="00B23996"/>
    <w:rsid w:val="00B23CB2"/>
    <w:rsid w:val="00B249C0"/>
    <w:rsid w:val="00B24A18"/>
    <w:rsid w:val="00B255C5"/>
    <w:rsid w:val="00B25807"/>
    <w:rsid w:val="00B268DD"/>
    <w:rsid w:val="00B32AE1"/>
    <w:rsid w:val="00B35FEC"/>
    <w:rsid w:val="00B37780"/>
    <w:rsid w:val="00B37813"/>
    <w:rsid w:val="00B37EEF"/>
    <w:rsid w:val="00B404F1"/>
    <w:rsid w:val="00B41C1D"/>
    <w:rsid w:val="00B43917"/>
    <w:rsid w:val="00B4515C"/>
    <w:rsid w:val="00B46220"/>
    <w:rsid w:val="00B464EA"/>
    <w:rsid w:val="00B47574"/>
    <w:rsid w:val="00B5430C"/>
    <w:rsid w:val="00B54884"/>
    <w:rsid w:val="00B56A90"/>
    <w:rsid w:val="00B5711C"/>
    <w:rsid w:val="00B57BCF"/>
    <w:rsid w:val="00B57E36"/>
    <w:rsid w:val="00B60209"/>
    <w:rsid w:val="00B606A3"/>
    <w:rsid w:val="00B625CB"/>
    <w:rsid w:val="00B63F2B"/>
    <w:rsid w:val="00B64D3A"/>
    <w:rsid w:val="00B65D6F"/>
    <w:rsid w:val="00B673F3"/>
    <w:rsid w:val="00B67A25"/>
    <w:rsid w:val="00B7354A"/>
    <w:rsid w:val="00B7435B"/>
    <w:rsid w:val="00B74446"/>
    <w:rsid w:val="00B74B59"/>
    <w:rsid w:val="00B75F09"/>
    <w:rsid w:val="00B76BBB"/>
    <w:rsid w:val="00B77142"/>
    <w:rsid w:val="00B8024E"/>
    <w:rsid w:val="00B80C3A"/>
    <w:rsid w:val="00B84643"/>
    <w:rsid w:val="00B90452"/>
    <w:rsid w:val="00B90780"/>
    <w:rsid w:val="00B916D6"/>
    <w:rsid w:val="00B91AD8"/>
    <w:rsid w:val="00B9209B"/>
    <w:rsid w:val="00B9240D"/>
    <w:rsid w:val="00B95753"/>
    <w:rsid w:val="00B97E42"/>
    <w:rsid w:val="00BA0425"/>
    <w:rsid w:val="00BA0C05"/>
    <w:rsid w:val="00BA54D0"/>
    <w:rsid w:val="00BA7E30"/>
    <w:rsid w:val="00BB04BF"/>
    <w:rsid w:val="00BB1013"/>
    <w:rsid w:val="00BB4515"/>
    <w:rsid w:val="00BB7B89"/>
    <w:rsid w:val="00BC1A9B"/>
    <w:rsid w:val="00BC2A22"/>
    <w:rsid w:val="00BC4986"/>
    <w:rsid w:val="00BC5E2E"/>
    <w:rsid w:val="00BC6379"/>
    <w:rsid w:val="00BC6C3E"/>
    <w:rsid w:val="00BC7EEF"/>
    <w:rsid w:val="00BD2308"/>
    <w:rsid w:val="00BD43BB"/>
    <w:rsid w:val="00BD72C1"/>
    <w:rsid w:val="00BD7ADE"/>
    <w:rsid w:val="00BE1A85"/>
    <w:rsid w:val="00BE46ED"/>
    <w:rsid w:val="00BE4FD1"/>
    <w:rsid w:val="00BE642D"/>
    <w:rsid w:val="00BE6D7A"/>
    <w:rsid w:val="00BF07C4"/>
    <w:rsid w:val="00BF2511"/>
    <w:rsid w:val="00BF377F"/>
    <w:rsid w:val="00BF3F88"/>
    <w:rsid w:val="00BF416F"/>
    <w:rsid w:val="00BF57BE"/>
    <w:rsid w:val="00C0042B"/>
    <w:rsid w:val="00C02E58"/>
    <w:rsid w:val="00C030B6"/>
    <w:rsid w:val="00C04B38"/>
    <w:rsid w:val="00C067B7"/>
    <w:rsid w:val="00C10A09"/>
    <w:rsid w:val="00C121BC"/>
    <w:rsid w:val="00C12FA4"/>
    <w:rsid w:val="00C14D92"/>
    <w:rsid w:val="00C16739"/>
    <w:rsid w:val="00C17F3F"/>
    <w:rsid w:val="00C23BA2"/>
    <w:rsid w:val="00C260A2"/>
    <w:rsid w:val="00C30CFF"/>
    <w:rsid w:val="00C30DEC"/>
    <w:rsid w:val="00C31142"/>
    <w:rsid w:val="00C31DEF"/>
    <w:rsid w:val="00C338EB"/>
    <w:rsid w:val="00C35BB7"/>
    <w:rsid w:val="00C36B35"/>
    <w:rsid w:val="00C400CD"/>
    <w:rsid w:val="00C41617"/>
    <w:rsid w:val="00C4309A"/>
    <w:rsid w:val="00C43F23"/>
    <w:rsid w:val="00C43FF1"/>
    <w:rsid w:val="00C45494"/>
    <w:rsid w:val="00C52D18"/>
    <w:rsid w:val="00C559CE"/>
    <w:rsid w:val="00C55E19"/>
    <w:rsid w:val="00C563AD"/>
    <w:rsid w:val="00C563BF"/>
    <w:rsid w:val="00C56EF8"/>
    <w:rsid w:val="00C57512"/>
    <w:rsid w:val="00C57607"/>
    <w:rsid w:val="00C61133"/>
    <w:rsid w:val="00C64009"/>
    <w:rsid w:val="00C7016D"/>
    <w:rsid w:val="00C754C7"/>
    <w:rsid w:val="00C767B3"/>
    <w:rsid w:val="00C76C07"/>
    <w:rsid w:val="00C80F23"/>
    <w:rsid w:val="00C850A3"/>
    <w:rsid w:val="00C87568"/>
    <w:rsid w:val="00C9167A"/>
    <w:rsid w:val="00C92451"/>
    <w:rsid w:val="00C9272C"/>
    <w:rsid w:val="00C97764"/>
    <w:rsid w:val="00C97C9B"/>
    <w:rsid w:val="00CA2211"/>
    <w:rsid w:val="00CA28FE"/>
    <w:rsid w:val="00CA344C"/>
    <w:rsid w:val="00CA7FF7"/>
    <w:rsid w:val="00CB142D"/>
    <w:rsid w:val="00CB29F6"/>
    <w:rsid w:val="00CB2BBF"/>
    <w:rsid w:val="00CB481C"/>
    <w:rsid w:val="00CB4C8C"/>
    <w:rsid w:val="00CB62E1"/>
    <w:rsid w:val="00CB6EFE"/>
    <w:rsid w:val="00CC16F9"/>
    <w:rsid w:val="00CC28A9"/>
    <w:rsid w:val="00CC4183"/>
    <w:rsid w:val="00CC70A4"/>
    <w:rsid w:val="00CC78C7"/>
    <w:rsid w:val="00CD4A0C"/>
    <w:rsid w:val="00CD5CEF"/>
    <w:rsid w:val="00CE06EC"/>
    <w:rsid w:val="00CE592E"/>
    <w:rsid w:val="00CE5BB5"/>
    <w:rsid w:val="00CE5BC5"/>
    <w:rsid w:val="00CF16A4"/>
    <w:rsid w:val="00CF299F"/>
    <w:rsid w:val="00CF3357"/>
    <w:rsid w:val="00CF58DF"/>
    <w:rsid w:val="00D00BC3"/>
    <w:rsid w:val="00D03538"/>
    <w:rsid w:val="00D04410"/>
    <w:rsid w:val="00D05EE7"/>
    <w:rsid w:val="00D06394"/>
    <w:rsid w:val="00D06A9D"/>
    <w:rsid w:val="00D07C15"/>
    <w:rsid w:val="00D11D4F"/>
    <w:rsid w:val="00D13A01"/>
    <w:rsid w:val="00D15733"/>
    <w:rsid w:val="00D20364"/>
    <w:rsid w:val="00D207B2"/>
    <w:rsid w:val="00D2130C"/>
    <w:rsid w:val="00D26746"/>
    <w:rsid w:val="00D26DDD"/>
    <w:rsid w:val="00D27BDC"/>
    <w:rsid w:val="00D3194F"/>
    <w:rsid w:val="00D33751"/>
    <w:rsid w:val="00D36169"/>
    <w:rsid w:val="00D37343"/>
    <w:rsid w:val="00D37495"/>
    <w:rsid w:val="00D41727"/>
    <w:rsid w:val="00D427E4"/>
    <w:rsid w:val="00D45F1B"/>
    <w:rsid w:val="00D47A9E"/>
    <w:rsid w:val="00D52289"/>
    <w:rsid w:val="00D55A37"/>
    <w:rsid w:val="00D55B7E"/>
    <w:rsid w:val="00D564C7"/>
    <w:rsid w:val="00D64354"/>
    <w:rsid w:val="00D66685"/>
    <w:rsid w:val="00D70D35"/>
    <w:rsid w:val="00D71351"/>
    <w:rsid w:val="00D71997"/>
    <w:rsid w:val="00D753E9"/>
    <w:rsid w:val="00D777B9"/>
    <w:rsid w:val="00D82273"/>
    <w:rsid w:val="00D82FA5"/>
    <w:rsid w:val="00D84A4B"/>
    <w:rsid w:val="00D84B45"/>
    <w:rsid w:val="00D857AE"/>
    <w:rsid w:val="00D8623D"/>
    <w:rsid w:val="00D867FB"/>
    <w:rsid w:val="00D873C4"/>
    <w:rsid w:val="00D90E11"/>
    <w:rsid w:val="00D9110D"/>
    <w:rsid w:val="00D91124"/>
    <w:rsid w:val="00D91987"/>
    <w:rsid w:val="00D92168"/>
    <w:rsid w:val="00D93426"/>
    <w:rsid w:val="00D94B22"/>
    <w:rsid w:val="00D958D3"/>
    <w:rsid w:val="00D9594F"/>
    <w:rsid w:val="00D97213"/>
    <w:rsid w:val="00DA134E"/>
    <w:rsid w:val="00DA13F3"/>
    <w:rsid w:val="00DA2DE3"/>
    <w:rsid w:val="00DA451D"/>
    <w:rsid w:val="00DA64AF"/>
    <w:rsid w:val="00DB1F4F"/>
    <w:rsid w:val="00DB2AC7"/>
    <w:rsid w:val="00DB704C"/>
    <w:rsid w:val="00DC693B"/>
    <w:rsid w:val="00DC7C77"/>
    <w:rsid w:val="00DD0F5D"/>
    <w:rsid w:val="00DD426D"/>
    <w:rsid w:val="00DD74FC"/>
    <w:rsid w:val="00DE117F"/>
    <w:rsid w:val="00DE1769"/>
    <w:rsid w:val="00DE1A17"/>
    <w:rsid w:val="00DE44C8"/>
    <w:rsid w:val="00DE64CC"/>
    <w:rsid w:val="00DE6AA9"/>
    <w:rsid w:val="00DE7037"/>
    <w:rsid w:val="00DE7B30"/>
    <w:rsid w:val="00DF0C0B"/>
    <w:rsid w:val="00DF18FE"/>
    <w:rsid w:val="00DF20C7"/>
    <w:rsid w:val="00DF4D0C"/>
    <w:rsid w:val="00DF5C20"/>
    <w:rsid w:val="00DF7D81"/>
    <w:rsid w:val="00E02DEB"/>
    <w:rsid w:val="00E042A1"/>
    <w:rsid w:val="00E0476C"/>
    <w:rsid w:val="00E0576B"/>
    <w:rsid w:val="00E067EA"/>
    <w:rsid w:val="00E06D18"/>
    <w:rsid w:val="00E104FA"/>
    <w:rsid w:val="00E12F1F"/>
    <w:rsid w:val="00E1320D"/>
    <w:rsid w:val="00E139F8"/>
    <w:rsid w:val="00E16022"/>
    <w:rsid w:val="00E1738C"/>
    <w:rsid w:val="00E174FF"/>
    <w:rsid w:val="00E205AA"/>
    <w:rsid w:val="00E22296"/>
    <w:rsid w:val="00E270C6"/>
    <w:rsid w:val="00E27360"/>
    <w:rsid w:val="00E27C04"/>
    <w:rsid w:val="00E27C82"/>
    <w:rsid w:val="00E30713"/>
    <w:rsid w:val="00E30EDF"/>
    <w:rsid w:val="00E312D7"/>
    <w:rsid w:val="00E316AF"/>
    <w:rsid w:val="00E31FBA"/>
    <w:rsid w:val="00E328E2"/>
    <w:rsid w:val="00E336BB"/>
    <w:rsid w:val="00E3384E"/>
    <w:rsid w:val="00E34B63"/>
    <w:rsid w:val="00E374C8"/>
    <w:rsid w:val="00E40156"/>
    <w:rsid w:val="00E4042D"/>
    <w:rsid w:val="00E4135D"/>
    <w:rsid w:val="00E43750"/>
    <w:rsid w:val="00E508EB"/>
    <w:rsid w:val="00E521E3"/>
    <w:rsid w:val="00E53B7A"/>
    <w:rsid w:val="00E550C9"/>
    <w:rsid w:val="00E55405"/>
    <w:rsid w:val="00E5645D"/>
    <w:rsid w:val="00E627A4"/>
    <w:rsid w:val="00E6280E"/>
    <w:rsid w:val="00E62C9C"/>
    <w:rsid w:val="00E630EE"/>
    <w:rsid w:val="00E67A61"/>
    <w:rsid w:val="00E70455"/>
    <w:rsid w:val="00E73221"/>
    <w:rsid w:val="00E7356F"/>
    <w:rsid w:val="00E75116"/>
    <w:rsid w:val="00E763EB"/>
    <w:rsid w:val="00E80A5B"/>
    <w:rsid w:val="00E8153C"/>
    <w:rsid w:val="00E8342F"/>
    <w:rsid w:val="00E84632"/>
    <w:rsid w:val="00E847EE"/>
    <w:rsid w:val="00E85E29"/>
    <w:rsid w:val="00E876F9"/>
    <w:rsid w:val="00E90508"/>
    <w:rsid w:val="00E90B39"/>
    <w:rsid w:val="00E94FFB"/>
    <w:rsid w:val="00E96A72"/>
    <w:rsid w:val="00E96B52"/>
    <w:rsid w:val="00EA01F7"/>
    <w:rsid w:val="00EA083F"/>
    <w:rsid w:val="00EA1D33"/>
    <w:rsid w:val="00EA1F5A"/>
    <w:rsid w:val="00EA375F"/>
    <w:rsid w:val="00EA6415"/>
    <w:rsid w:val="00EA7104"/>
    <w:rsid w:val="00EA7533"/>
    <w:rsid w:val="00EB067F"/>
    <w:rsid w:val="00EB2419"/>
    <w:rsid w:val="00EB45F5"/>
    <w:rsid w:val="00EB58F5"/>
    <w:rsid w:val="00EB6E6B"/>
    <w:rsid w:val="00EC010F"/>
    <w:rsid w:val="00EC224D"/>
    <w:rsid w:val="00EC2E3A"/>
    <w:rsid w:val="00EC3CCB"/>
    <w:rsid w:val="00EC54CD"/>
    <w:rsid w:val="00EC5A74"/>
    <w:rsid w:val="00EC737D"/>
    <w:rsid w:val="00ED2154"/>
    <w:rsid w:val="00ED4277"/>
    <w:rsid w:val="00ED576D"/>
    <w:rsid w:val="00ED7C8C"/>
    <w:rsid w:val="00ED7DDB"/>
    <w:rsid w:val="00ED7FDD"/>
    <w:rsid w:val="00EE0DEA"/>
    <w:rsid w:val="00EE431B"/>
    <w:rsid w:val="00EE4874"/>
    <w:rsid w:val="00EE53E5"/>
    <w:rsid w:val="00EE6654"/>
    <w:rsid w:val="00EE73FB"/>
    <w:rsid w:val="00EE7BF0"/>
    <w:rsid w:val="00EF2674"/>
    <w:rsid w:val="00EF556F"/>
    <w:rsid w:val="00EF7BE0"/>
    <w:rsid w:val="00EF7D07"/>
    <w:rsid w:val="00F016DD"/>
    <w:rsid w:val="00F0181C"/>
    <w:rsid w:val="00F03512"/>
    <w:rsid w:val="00F0433A"/>
    <w:rsid w:val="00F0519B"/>
    <w:rsid w:val="00F059D4"/>
    <w:rsid w:val="00F11783"/>
    <w:rsid w:val="00F119AF"/>
    <w:rsid w:val="00F1480B"/>
    <w:rsid w:val="00F1498D"/>
    <w:rsid w:val="00F20065"/>
    <w:rsid w:val="00F22211"/>
    <w:rsid w:val="00F22341"/>
    <w:rsid w:val="00F22F1D"/>
    <w:rsid w:val="00F22F9F"/>
    <w:rsid w:val="00F24039"/>
    <w:rsid w:val="00F24E0E"/>
    <w:rsid w:val="00F26693"/>
    <w:rsid w:val="00F33991"/>
    <w:rsid w:val="00F3477D"/>
    <w:rsid w:val="00F347FE"/>
    <w:rsid w:val="00F34859"/>
    <w:rsid w:val="00F356F7"/>
    <w:rsid w:val="00F40055"/>
    <w:rsid w:val="00F40868"/>
    <w:rsid w:val="00F44FDE"/>
    <w:rsid w:val="00F4518C"/>
    <w:rsid w:val="00F46467"/>
    <w:rsid w:val="00F4715C"/>
    <w:rsid w:val="00F47FF8"/>
    <w:rsid w:val="00F50707"/>
    <w:rsid w:val="00F529B5"/>
    <w:rsid w:val="00F52AA4"/>
    <w:rsid w:val="00F56162"/>
    <w:rsid w:val="00F56B7E"/>
    <w:rsid w:val="00F6052F"/>
    <w:rsid w:val="00F60F44"/>
    <w:rsid w:val="00F62FDE"/>
    <w:rsid w:val="00F645D2"/>
    <w:rsid w:val="00F654E6"/>
    <w:rsid w:val="00F662CD"/>
    <w:rsid w:val="00F67E39"/>
    <w:rsid w:val="00F703A8"/>
    <w:rsid w:val="00F707F1"/>
    <w:rsid w:val="00F7094A"/>
    <w:rsid w:val="00F710BE"/>
    <w:rsid w:val="00F72579"/>
    <w:rsid w:val="00F804B9"/>
    <w:rsid w:val="00F80AE2"/>
    <w:rsid w:val="00F8265F"/>
    <w:rsid w:val="00F83FF9"/>
    <w:rsid w:val="00F85FCB"/>
    <w:rsid w:val="00F870C3"/>
    <w:rsid w:val="00F91B52"/>
    <w:rsid w:val="00F97478"/>
    <w:rsid w:val="00F97B71"/>
    <w:rsid w:val="00F97B9E"/>
    <w:rsid w:val="00FA0527"/>
    <w:rsid w:val="00FA085E"/>
    <w:rsid w:val="00FA0947"/>
    <w:rsid w:val="00FA2D49"/>
    <w:rsid w:val="00FA472B"/>
    <w:rsid w:val="00FA4B52"/>
    <w:rsid w:val="00FA4D4F"/>
    <w:rsid w:val="00FA4D5B"/>
    <w:rsid w:val="00FA54E8"/>
    <w:rsid w:val="00FA6245"/>
    <w:rsid w:val="00FA786F"/>
    <w:rsid w:val="00FA7D19"/>
    <w:rsid w:val="00FA7EB3"/>
    <w:rsid w:val="00FB058F"/>
    <w:rsid w:val="00FB387C"/>
    <w:rsid w:val="00FB3C94"/>
    <w:rsid w:val="00FB48C1"/>
    <w:rsid w:val="00FB6808"/>
    <w:rsid w:val="00FB6CD0"/>
    <w:rsid w:val="00FB723C"/>
    <w:rsid w:val="00FB72B4"/>
    <w:rsid w:val="00FC0A2D"/>
    <w:rsid w:val="00FC13C8"/>
    <w:rsid w:val="00FC39F9"/>
    <w:rsid w:val="00FC59F8"/>
    <w:rsid w:val="00FC60F6"/>
    <w:rsid w:val="00FC7F43"/>
    <w:rsid w:val="00FD7D41"/>
    <w:rsid w:val="00FE0072"/>
    <w:rsid w:val="00FE0C71"/>
    <w:rsid w:val="00FE1E47"/>
    <w:rsid w:val="00FE275D"/>
    <w:rsid w:val="00FE4F1A"/>
    <w:rsid w:val="00FE65AC"/>
    <w:rsid w:val="00FE7FBD"/>
    <w:rsid w:val="00FF10BC"/>
    <w:rsid w:val="00FF5DCF"/>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D865CEF0-6338-4ADA-9C78-D49DC24FE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semiHidden="1" w:unhideWhenUsed="1"/>
    <w:lsdException w:name="annotation text" w:semiHidden="1" w:uiPriority="0"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828"/>
    <w:pPr>
      <w:widowControl w:val="0"/>
      <w:jc w:val="both"/>
    </w:pPr>
    <w:rPr>
      <w:kern w:val="2"/>
      <w:sz w:val="21"/>
      <w:szCs w:val="24"/>
    </w:rPr>
  </w:style>
  <w:style w:type="paragraph" w:styleId="1">
    <w:name w:val="heading 1"/>
    <w:basedOn w:val="a"/>
    <w:next w:val="a"/>
    <w:link w:val="1Char"/>
    <w:uiPriority w:val="99"/>
    <w:qFormat/>
    <w:rsid w:val="00180952"/>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6A4828"/>
    <w:pPr>
      <w:keepNext/>
      <w:keepLines/>
      <w:spacing w:before="260" w:after="260" w:line="360" w:lineRule="auto"/>
      <w:outlineLvl w:val="1"/>
    </w:pPr>
    <w:rPr>
      <w:rFonts w:ascii="Cambria" w:hAnsi="Cambria"/>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180952"/>
    <w:rPr>
      <w:b/>
      <w:kern w:val="44"/>
      <w:sz w:val="44"/>
    </w:rPr>
  </w:style>
  <w:style w:type="character" w:customStyle="1" w:styleId="2Char">
    <w:name w:val="标题 2 Char"/>
    <w:link w:val="2"/>
    <w:uiPriority w:val="99"/>
    <w:semiHidden/>
    <w:locked/>
    <w:rsid w:val="00AB1112"/>
    <w:rPr>
      <w:rFonts w:ascii="Cambria" w:eastAsia="宋体" w:hAnsi="Cambria"/>
      <w:b/>
      <w:sz w:val="32"/>
    </w:rPr>
  </w:style>
  <w:style w:type="paragraph" w:styleId="a0">
    <w:name w:val="Normal Indent"/>
    <w:basedOn w:val="a"/>
    <w:uiPriority w:val="99"/>
    <w:rsid w:val="006A4828"/>
    <w:pPr>
      <w:ind w:firstLineChars="200" w:firstLine="420"/>
    </w:pPr>
  </w:style>
  <w:style w:type="paragraph" w:styleId="a4">
    <w:name w:val="Body Text Indent"/>
    <w:basedOn w:val="a"/>
    <w:link w:val="Char"/>
    <w:uiPriority w:val="99"/>
    <w:rsid w:val="006A4828"/>
    <w:pPr>
      <w:widowControl/>
      <w:spacing w:before="100" w:beforeAutospacing="1" w:after="100" w:afterAutospacing="1"/>
      <w:jc w:val="left"/>
    </w:pPr>
    <w:rPr>
      <w:kern w:val="0"/>
      <w:sz w:val="24"/>
    </w:rPr>
  </w:style>
  <w:style w:type="character" w:customStyle="1" w:styleId="Char">
    <w:name w:val="正文文本缩进 Char"/>
    <w:link w:val="a4"/>
    <w:uiPriority w:val="99"/>
    <w:semiHidden/>
    <w:locked/>
    <w:rsid w:val="00AB1112"/>
    <w:rPr>
      <w:sz w:val="24"/>
    </w:rPr>
  </w:style>
  <w:style w:type="paragraph" w:styleId="a5">
    <w:name w:val="Plain Text"/>
    <w:basedOn w:val="a"/>
    <w:link w:val="Char0"/>
    <w:uiPriority w:val="99"/>
    <w:rsid w:val="006A4828"/>
    <w:rPr>
      <w:rFonts w:ascii="宋体" w:hAnsi="Courier New"/>
      <w:szCs w:val="21"/>
    </w:rPr>
  </w:style>
  <w:style w:type="character" w:customStyle="1" w:styleId="Char0">
    <w:name w:val="纯文本 Char"/>
    <w:link w:val="a5"/>
    <w:uiPriority w:val="99"/>
    <w:locked/>
    <w:rsid w:val="009A045B"/>
    <w:rPr>
      <w:rFonts w:ascii="宋体" w:hAnsi="Courier New"/>
      <w:kern w:val="2"/>
      <w:sz w:val="21"/>
    </w:rPr>
  </w:style>
  <w:style w:type="paragraph" w:styleId="20">
    <w:name w:val="Body Text Indent 2"/>
    <w:basedOn w:val="a"/>
    <w:link w:val="2Char0"/>
    <w:uiPriority w:val="99"/>
    <w:rsid w:val="006A4828"/>
    <w:pPr>
      <w:spacing w:line="560" w:lineRule="exact"/>
      <w:ind w:firstLineChars="200" w:firstLine="480"/>
    </w:pPr>
    <w:rPr>
      <w:kern w:val="0"/>
      <w:sz w:val="24"/>
    </w:rPr>
  </w:style>
  <w:style w:type="character" w:customStyle="1" w:styleId="2Char0">
    <w:name w:val="正文文本缩进 2 Char"/>
    <w:link w:val="20"/>
    <w:uiPriority w:val="99"/>
    <w:semiHidden/>
    <w:locked/>
    <w:rsid w:val="00AB1112"/>
    <w:rPr>
      <w:sz w:val="24"/>
    </w:rPr>
  </w:style>
  <w:style w:type="paragraph" w:styleId="a6">
    <w:name w:val="footer"/>
    <w:basedOn w:val="a"/>
    <w:link w:val="Char1"/>
    <w:uiPriority w:val="99"/>
    <w:rsid w:val="006A4828"/>
    <w:pPr>
      <w:tabs>
        <w:tab w:val="center" w:pos="4153"/>
        <w:tab w:val="right" w:pos="8306"/>
      </w:tabs>
      <w:snapToGrid w:val="0"/>
      <w:jc w:val="left"/>
    </w:pPr>
    <w:rPr>
      <w:kern w:val="0"/>
      <w:sz w:val="18"/>
      <w:szCs w:val="18"/>
    </w:rPr>
  </w:style>
  <w:style w:type="character" w:customStyle="1" w:styleId="Char1">
    <w:name w:val="页脚 Char"/>
    <w:link w:val="a6"/>
    <w:uiPriority w:val="99"/>
    <w:semiHidden/>
    <w:locked/>
    <w:rsid w:val="00AB1112"/>
    <w:rPr>
      <w:sz w:val="18"/>
    </w:rPr>
  </w:style>
  <w:style w:type="character" w:styleId="a7">
    <w:name w:val="page number"/>
    <w:uiPriority w:val="99"/>
    <w:rsid w:val="006A4828"/>
    <w:rPr>
      <w:rFonts w:cs="Times New Roman"/>
    </w:rPr>
  </w:style>
  <w:style w:type="character" w:styleId="a8">
    <w:name w:val="Hyperlink"/>
    <w:uiPriority w:val="99"/>
    <w:rsid w:val="006A4828"/>
    <w:rPr>
      <w:rFonts w:cs="Times New Roman"/>
      <w:color w:val="0000FF"/>
      <w:u w:val="single"/>
    </w:rPr>
  </w:style>
  <w:style w:type="paragraph" w:styleId="3">
    <w:name w:val="Body Text Indent 3"/>
    <w:basedOn w:val="a"/>
    <w:link w:val="3Char"/>
    <w:uiPriority w:val="99"/>
    <w:rsid w:val="006A4828"/>
    <w:pPr>
      <w:spacing w:line="560" w:lineRule="exact"/>
      <w:ind w:firstLineChars="200" w:firstLine="420"/>
    </w:pPr>
    <w:rPr>
      <w:kern w:val="0"/>
      <w:sz w:val="16"/>
      <w:szCs w:val="16"/>
    </w:rPr>
  </w:style>
  <w:style w:type="character" w:customStyle="1" w:styleId="3Char">
    <w:name w:val="正文文本缩进 3 Char"/>
    <w:link w:val="3"/>
    <w:uiPriority w:val="99"/>
    <w:semiHidden/>
    <w:locked/>
    <w:rsid w:val="00AB1112"/>
    <w:rPr>
      <w:sz w:val="16"/>
    </w:rPr>
  </w:style>
  <w:style w:type="paragraph" w:styleId="a9">
    <w:name w:val="header"/>
    <w:basedOn w:val="a"/>
    <w:link w:val="Char2"/>
    <w:uiPriority w:val="99"/>
    <w:rsid w:val="006A4828"/>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9"/>
    <w:uiPriority w:val="99"/>
    <w:locked/>
    <w:rsid w:val="001207F2"/>
    <w:rPr>
      <w:kern w:val="2"/>
      <w:sz w:val="18"/>
    </w:rPr>
  </w:style>
  <w:style w:type="character" w:customStyle="1" w:styleId="10">
    <w:name w:val="已访问的超链接1"/>
    <w:uiPriority w:val="99"/>
    <w:rsid w:val="006A4828"/>
    <w:rPr>
      <w:color w:val="800080"/>
      <w:u w:val="single"/>
    </w:rPr>
  </w:style>
  <w:style w:type="paragraph" w:styleId="aa">
    <w:name w:val="List"/>
    <w:basedOn w:val="ab"/>
    <w:uiPriority w:val="99"/>
    <w:rsid w:val="006A4828"/>
    <w:pPr>
      <w:spacing w:after="220" w:line="220" w:lineRule="atLeast"/>
      <w:ind w:left="1440" w:hanging="360"/>
    </w:pPr>
    <w:rPr>
      <w:szCs w:val="20"/>
    </w:rPr>
  </w:style>
  <w:style w:type="paragraph" w:styleId="ab">
    <w:name w:val="Body Text"/>
    <w:basedOn w:val="a"/>
    <w:link w:val="Char3"/>
    <w:uiPriority w:val="99"/>
    <w:rsid w:val="006A4828"/>
    <w:pPr>
      <w:spacing w:after="120"/>
    </w:pPr>
    <w:rPr>
      <w:kern w:val="0"/>
      <w:sz w:val="24"/>
    </w:rPr>
  </w:style>
  <w:style w:type="character" w:customStyle="1" w:styleId="Char3">
    <w:name w:val="正文文本 Char"/>
    <w:link w:val="ab"/>
    <w:uiPriority w:val="99"/>
    <w:semiHidden/>
    <w:locked/>
    <w:rsid w:val="00AB1112"/>
    <w:rPr>
      <w:sz w:val="24"/>
    </w:rPr>
  </w:style>
  <w:style w:type="paragraph" w:styleId="ac">
    <w:name w:val="Date"/>
    <w:basedOn w:val="a"/>
    <w:next w:val="a"/>
    <w:link w:val="Char4"/>
    <w:uiPriority w:val="99"/>
    <w:rsid w:val="006A4828"/>
    <w:rPr>
      <w:sz w:val="24"/>
      <w:szCs w:val="20"/>
    </w:rPr>
  </w:style>
  <w:style w:type="character" w:customStyle="1" w:styleId="Char4">
    <w:name w:val="日期 Char"/>
    <w:link w:val="ac"/>
    <w:uiPriority w:val="99"/>
    <w:locked/>
    <w:rsid w:val="00D66685"/>
    <w:rPr>
      <w:kern w:val="2"/>
      <w:sz w:val="24"/>
    </w:rPr>
  </w:style>
  <w:style w:type="character" w:customStyle="1" w:styleId="c1">
    <w:name w:val="c1"/>
    <w:uiPriority w:val="99"/>
    <w:rsid w:val="006A4828"/>
    <w:rPr>
      <w:color w:val="000000"/>
      <w:sz w:val="18"/>
    </w:rPr>
  </w:style>
  <w:style w:type="paragraph" w:styleId="11">
    <w:name w:val="index 1"/>
    <w:basedOn w:val="a"/>
    <w:next w:val="a"/>
    <w:autoRedefine/>
    <w:uiPriority w:val="99"/>
    <w:semiHidden/>
    <w:rsid w:val="006A4828"/>
    <w:pPr>
      <w:jc w:val="right"/>
    </w:pPr>
    <w:rPr>
      <w:color w:val="008000"/>
    </w:rPr>
  </w:style>
  <w:style w:type="paragraph" w:customStyle="1" w:styleId="font5">
    <w:name w:val="font5"/>
    <w:basedOn w:val="a"/>
    <w:uiPriority w:val="99"/>
    <w:rsid w:val="006A4828"/>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6A4828"/>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d">
    <w:name w:val="Balloon Text"/>
    <w:basedOn w:val="a"/>
    <w:link w:val="Char5"/>
    <w:uiPriority w:val="99"/>
    <w:semiHidden/>
    <w:rsid w:val="006A4828"/>
    <w:rPr>
      <w:kern w:val="0"/>
      <w:sz w:val="2"/>
      <w:szCs w:val="20"/>
    </w:rPr>
  </w:style>
  <w:style w:type="character" w:customStyle="1" w:styleId="Char5">
    <w:name w:val="批注框文本 Char"/>
    <w:link w:val="ad"/>
    <w:uiPriority w:val="99"/>
    <w:semiHidden/>
    <w:locked/>
    <w:rsid w:val="00AB1112"/>
    <w:rPr>
      <w:sz w:val="2"/>
    </w:rPr>
  </w:style>
  <w:style w:type="character" w:styleId="ae">
    <w:name w:val="annotation reference"/>
    <w:semiHidden/>
    <w:rsid w:val="006A4828"/>
    <w:rPr>
      <w:rFonts w:cs="Times New Roman"/>
      <w:sz w:val="21"/>
    </w:rPr>
  </w:style>
  <w:style w:type="paragraph" w:styleId="af">
    <w:name w:val="annotation text"/>
    <w:basedOn w:val="a"/>
    <w:link w:val="Char6"/>
    <w:semiHidden/>
    <w:rsid w:val="006A4828"/>
    <w:pPr>
      <w:jc w:val="left"/>
    </w:pPr>
    <w:rPr>
      <w:kern w:val="0"/>
      <w:sz w:val="24"/>
    </w:rPr>
  </w:style>
  <w:style w:type="character" w:customStyle="1" w:styleId="Char6">
    <w:name w:val="批注文字 Char"/>
    <w:link w:val="af"/>
    <w:uiPriority w:val="99"/>
    <w:semiHidden/>
    <w:locked/>
    <w:rsid w:val="00AB1112"/>
    <w:rPr>
      <w:sz w:val="24"/>
    </w:rPr>
  </w:style>
  <w:style w:type="paragraph" w:styleId="af0">
    <w:name w:val="annotation subject"/>
    <w:basedOn w:val="af"/>
    <w:next w:val="af"/>
    <w:link w:val="Char7"/>
    <w:uiPriority w:val="99"/>
    <w:semiHidden/>
    <w:rsid w:val="006A4828"/>
    <w:rPr>
      <w:b/>
      <w:bCs/>
    </w:rPr>
  </w:style>
  <w:style w:type="character" w:customStyle="1" w:styleId="Char7">
    <w:name w:val="批注主题 Char"/>
    <w:link w:val="af0"/>
    <w:uiPriority w:val="99"/>
    <w:semiHidden/>
    <w:locked/>
    <w:rsid w:val="00AB1112"/>
    <w:rPr>
      <w:b/>
      <w:sz w:val="24"/>
    </w:rPr>
  </w:style>
  <w:style w:type="paragraph" w:customStyle="1" w:styleId="Char8">
    <w:name w:val="Char"/>
    <w:basedOn w:val="a"/>
    <w:uiPriority w:val="99"/>
    <w:rsid w:val="006A4828"/>
  </w:style>
  <w:style w:type="paragraph" w:styleId="af1">
    <w:name w:val="Document Map"/>
    <w:basedOn w:val="a"/>
    <w:link w:val="Char9"/>
    <w:uiPriority w:val="99"/>
    <w:semiHidden/>
    <w:rsid w:val="000A549A"/>
    <w:pPr>
      <w:shd w:val="clear" w:color="auto" w:fill="000080"/>
    </w:pPr>
    <w:rPr>
      <w:kern w:val="0"/>
      <w:sz w:val="2"/>
      <w:szCs w:val="20"/>
    </w:rPr>
  </w:style>
  <w:style w:type="character" w:customStyle="1" w:styleId="Char9">
    <w:name w:val="文档结构图 Char"/>
    <w:link w:val="af1"/>
    <w:uiPriority w:val="99"/>
    <w:semiHidden/>
    <w:locked/>
    <w:rsid w:val="00AB1112"/>
    <w:rPr>
      <w:sz w:val="2"/>
    </w:rPr>
  </w:style>
  <w:style w:type="table" w:styleId="af2">
    <w:name w:val="Table Grid"/>
    <w:basedOn w:val="a2"/>
    <w:qFormat/>
    <w:rsid w:val="009A31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Chara"/>
    <w:uiPriority w:val="99"/>
    <w:rsid w:val="000B251E"/>
    <w:pPr>
      <w:snapToGrid w:val="0"/>
      <w:jc w:val="left"/>
    </w:pPr>
    <w:rPr>
      <w:sz w:val="18"/>
      <w:szCs w:val="18"/>
    </w:rPr>
  </w:style>
  <w:style w:type="character" w:customStyle="1" w:styleId="Chara">
    <w:name w:val="脚注文本 Char"/>
    <w:link w:val="af3"/>
    <w:uiPriority w:val="99"/>
    <w:locked/>
    <w:rsid w:val="00CB481C"/>
    <w:rPr>
      <w:kern w:val="2"/>
      <w:sz w:val="18"/>
    </w:rPr>
  </w:style>
  <w:style w:type="character" w:styleId="af4">
    <w:name w:val="footnote reference"/>
    <w:uiPriority w:val="99"/>
    <w:rsid w:val="000B251E"/>
    <w:rPr>
      <w:rFonts w:cs="Times New Roman"/>
      <w:vertAlign w:val="superscript"/>
    </w:rPr>
  </w:style>
  <w:style w:type="paragraph" w:styleId="af5">
    <w:name w:val="Normal (Web)"/>
    <w:basedOn w:val="a"/>
    <w:uiPriority w:val="99"/>
    <w:rsid w:val="00B25807"/>
    <w:pPr>
      <w:widowControl/>
      <w:spacing w:before="100" w:beforeAutospacing="1" w:after="100" w:afterAutospacing="1"/>
      <w:jc w:val="left"/>
    </w:pPr>
    <w:rPr>
      <w:rFonts w:ascii="宋体" w:hAnsi="宋体"/>
      <w:kern w:val="0"/>
      <w:sz w:val="24"/>
    </w:rPr>
  </w:style>
  <w:style w:type="paragraph" w:customStyle="1" w:styleId="Char10">
    <w:name w:val="Char1"/>
    <w:basedOn w:val="a"/>
    <w:uiPriority w:val="99"/>
    <w:rsid w:val="00D97213"/>
  </w:style>
  <w:style w:type="character" w:customStyle="1" w:styleId="t1">
    <w:name w:val="t1"/>
    <w:uiPriority w:val="99"/>
    <w:rsid w:val="002D2A00"/>
    <w:rPr>
      <w:color w:val="990000"/>
    </w:rPr>
  </w:style>
  <w:style w:type="paragraph" w:customStyle="1" w:styleId="Default">
    <w:name w:val="Default"/>
    <w:uiPriority w:val="99"/>
    <w:rsid w:val="00CB481C"/>
    <w:pPr>
      <w:widowControl w:val="0"/>
      <w:autoSpaceDE w:val="0"/>
      <w:autoSpaceDN w:val="0"/>
      <w:adjustRightInd w:val="0"/>
    </w:pPr>
    <w:rPr>
      <w:rFonts w:ascii="FangSong" w:hAnsi="FangSong" w:cs="FangSong"/>
      <w:color w:val="000000"/>
      <w:sz w:val="24"/>
      <w:szCs w:val="24"/>
    </w:rPr>
  </w:style>
  <w:style w:type="numbering" w:customStyle="1" w:styleId="5">
    <w:name w:val="样式5"/>
    <w:rsid w:val="00C00FED"/>
    <w:pPr>
      <w:numPr>
        <w:numId w:val="8"/>
      </w:numPr>
    </w:pPr>
  </w:style>
  <w:style w:type="character" w:styleId="af6">
    <w:name w:val="Strong"/>
    <w:uiPriority w:val="22"/>
    <w:qFormat/>
    <w:locked/>
    <w:rsid w:val="00AE24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423083">
      <w:marLeft w:val="0"/>
      <w:marRight w:val="0"/>
      <w:marTop w:val="0"/>
      <w:marBottom w:val="0"/>
      <w:divBdr>
        <w:top w:val="none" w:sz="0" w:space="0" w:color="auto"/>
        <w:left w:val="none" w:sz="0" w:space="0" w:color="auto"/>
        <w:bottom w:val="none" w:sz="0" w:space="0" w:color="auto"/>
        <w:right w:val="none" w:sz="0" w:space="0" w:color="auto"/>
      </w:divBdr>
    </w:div>
    <w:div w:id="888423084">
      <w:marLeft w:val="0"/>
      <w:marRight w:val="0"/>
      <w:marTop w:val="0"/>
      <w:marBottom w:val="0"/>
      <w:divBdr>
        <w:top w:val="none" w:sz="0" w:space="0" w:color="auto"/>
        <w:left w:val="none" w:sz="0" w:space="0" w:color="auto"/>
        <w:bottom w:val="none" w:sz="0" w:space="0" w:color="auto"/>
        <w:right w:val="none" w:sz="0" w:space="0" w:color="auto"/>
      </w:divBdr>
    </w:div>
    <w:div w:id="888423085">
      <w:marLeft w:val="0"/>
      <w:marRight w:val="0"/>
      <w:marTop w:val="0"/>
      <w:marBottom w:val="0"/>
      <w:divBdr>
        <w:top w:val="none" w:sz="0" w:space="0" w:color="auto"/>
        <w:left w:val="none" w:sz="0" w:space="0" w:color="auto"/>
        <w:bottom w:val="none" w:sz="0" w:space="0" w:color="auto"/>
        <w:right w:val="none" w:sz="0" w:space="0" w:color="auto"/>
      </w:divBdr>
    </w:div>
    <w:div w:id="888423086">
      <w:marLeft w:val="0"/>
      <w:marRight w:val="0"/>
      <w:marTop w:val="0"/>
      <w:marBottom w:val="0"/>
      <w:divBdr>
        <w:top w:val="none" w:sz="0" w:space="0" w:color="auto"/>
        <w:left w:val="none" w:sz="0" w:space="0" w:color="auto"/>
        <w:bottom w:val="none" w:sz="0" w:space="0" w:color="auto"/>
        <w:right w:val="none" w:sz="0" w:space="0" w:color="auto"/>
      </w:divBdr>
    </w:div>
    <w:div w:id="888423087">
      <w:marLeft w:val="0"/>
      <w:marRight w:val="0"/>
      <w:marTop w:val="0"/>
      <w:marBottom w:val="0"/>
      <w:divBdr>
        <w:top w:val="none" w:sz="0" w:space="0" w:color="auto"/>
        <w:left w:val="none" w:sz="0" w:space="0" w:color="auto"/>
        <w:bottom w:val="none" w:sz="0" w:space="0" w:color="auto"/>
        <w:right w:val="none" w:sz="0" w:space="0" w:color="auto"/>
      </w:divBdr>
    </w:div>
    <w:div w:id="888423088">
      <w:marLeft w:val="0"/>
      <w:marRight w:val="0"/>
      <w:marTop w:val="0"/>
      <w:marBottom w:val="0"/>
      <w:divBdr>
        <w:top w:val="none" w:sz="0" w:space="0" w:color="auto"/>
        <w:left w:val="none" w:sz="0" w:space="0" w:color="auto"/>
        <w:bottom w:val="none" w:sz="0" w:space="0" w:color="auto"/>
        <w:right w:val="none" w:sz="0" w:space="0" w:color="auto"/>
      </w:divBdr>
    </w:div>
    <w:div w:id="888423089">
      <w:marLeft w:val="0"/>
      <w:marRight w:val="0"/>
      <w:marTop w:val="0"/>
      <w:marBottom w:val="0"/>
      <w:divBdr>
        <w:top w:val="none" w:sz="0" w:space="0" w:color="auto"/>
        <w:left w:val="none" w:sz="0" w:space="0" w:color="auto"/>
        <w:bottom w:val="none" w:sz="0" w:space="0" w:color="auto"/>
        <w:right w:val="none" w:sz="0" w:space="0" w:color="auto"/>
      </w:divBdr>
    </w:div>
    <w:div w:id="888423090">
      <w:marLeft w:val="0"/>
      <w:marRight w:val="0"/>
      <w:marTop w:val="0"/>
      <w:marBottom w:val="0"/>
      <w:divBdr>
        <w:top w:val="none" w:sz="0" w:space="0" w:color="auto"/>
        <w:left w:val="none" w:sz="0" w:space="0" w:color="auto"/>
        <w:bottom w:val="none" w:sz="0" w:space="0" w:color="auto"/>
        <w:right w:val="none" w:sz="0" w:space="0" w:color="auto"/>
      </w:divBdr>
    </w:div>
    <w:div w:id="888423091">
      <w:marLeft w:val="0"/>
      <w:marRight w:val="0"/>
      <w:marTop w:val="0"/>
      <w:marBottom w:val="0"/>
      <w:divBdr>
        <w:top w:val="none" w:sz="0" w:space="0" w:color="auto"/>
        <w:left w:val="none" w:sz="0" w:space="0" w:color="auto"/>
        <w:bottom w:val="none" w:sz="0" w:space="0" w:color="auto"/>
        <w:right w:val="none" w:sz="0" w:space="0" w:color="auto"/>
      </w:divBdr>
    </w:div>
    <w:div w:id="888423092">
      <w:marLeft w:val="0"/>
      <w:marRight w:val="0"/>
      <w:marTop w:val="0"/>
      <w:marBottom w:val="0"/>
      <w:divBdr>
        <w:top w:val="none" w:sz="0" w:space="0" w:color="auto"/>
        <w:left w:val="none" w:sz="0" w:space="0" w:color="auto"/>
        <w:bottom w:val="none" w:sz="0" w:space="0" w:color="auto"/>
        <w:right w:val="none" w:sz="0" w:space="0" w:color="auto"/>
      </w:divBdr>
    </w:div>
    <w:div w:id="888423093">
      <w:marLeft w:val="0"/>
      <w:marRight w:val="0"/>
      <w:marTop w:val="0"/>
      <w:marBottom w:val="0"/>
      <w:divBdr>
        <w:top w:val="none" w:sz="0" w:space="0" w:color="auto"/>
        <w:left w:val="none" w:sz="0" w:space="0" w:color="auto"/>
        <w:bottom w:val="none" w:sz="0" w:space="0" w:color="auto"/>
        <w:right w:val="none" w:sz="0" w:space="0" w:color="auto"/>
      </w:divBdr>
    </w:div>
    <w:div w:id="888423095">
      <w:marLeft w:val="0"/>
      <w:marRight w:val="0"/>
      <w:marTop w:val="0"/>
      <w:marBottom w:val="0"/>
      <w:divBdr>
        <w:top w:val="none" w:sz="0" w:space="0" w:color="auto"/>
        <w:left w:val="none" w:sz="0" w:space="0" w:color="auto"/>
        <w:bottom w:val="none" w:sz="0" w:space="0" w:color="auto"/>
        <w:right w:val="none" w:sz="0" w:space="0" w:color="auto"/>
      </w:divBdr>
    </w:div>
    <w:div w:id="888423096">
      <w:marLeft w:val="0"/>
      <w:marRight w:val="0"/>
      <w:marTop w:val="0"/>
      <w:marBottom w:val="0"/>
      <w:divBdr>
        <w:top w:val="none" w:sz="0" w:space="0" w:color="auto"/>
        <w:left w:val="none" w:sz="0" w:space="0" w:color="auto"/>
        <w:bottom w:val="none" w:sz="0" w:space="0" w:color="auto"/>
        <w:right w:val="none" w:sz="0" w:space="0" w:color="auto"/>
      </w:divBdr>
    </w:div>
    <w:div w:id="888423097">
      <w:marLeft w:val="0"/>
      <w:marRight w:val="0"/>
      <w:marTop w:val="0"/>
      <w:marBottom w:val="0"/>
      <w:divBdr>
        <w:top w:val="none" w:sz="0" w:space="0" w:color="auto"/>
        <w:left w:val="none" w:sz="0" w:space="0" w:color="auto"/>
        <w:bottom w:val="none" w:sz="0" w:space="0" w:color="auto"/>
        <w:right w:val="none" w:sz="0" w:space="0" w:color="auto"/>
      </w:divBdr>
    </w:div>
    <w:div w:id="888423098">
      <w:marLeft w:val="0"/>
      <w:marRight w:val="0"/>
      <w:marTop w:val="0"/>
      <w:marBottom w:val="0"/>
      <w:divBdr>
        <w:top w:val="none" w:sz="0" w:space="0" w:color="auto"/>
        <w:left w:val="none" w:sz="0" w:space="0" w:color="auto"/>
        <w:bottom w:val="none" w:sz="0" w:space="0" w:color="auto"/>
        <w:right w:val="none" w:sz="0" w:space="0" w:color="auto"/>
      </w:divBdr>
    </w:div>
    <w:div w:id="888423099">
      <w:marLeft w:val="0"/>
      <w:marRight w:val="0"/>
      <w:marTop w:val="0"/>
      <w:marBottom w:val="0"/>
      <w:divBdr>
        <w:top w:val="none" w:sz="0" w:space="0" w:color="auto"/>
        <w:left w:val="none" w:sz="0" w:space="0" w:color="auto"/>
        <w:bottom w:val="none" w:sz="0" w:space="0" w:color="auto"/>
        <w:right w:val="none" w:sz="0" w:space="0" w:color="auto"/>
      </w:divBdr>
    </w:div>
    <w:div w:id="888423100">
      <w:marLeft w:val="150"/>
      <w:marRight w:val="150"/>
      <w:marTop w:val="150"/>
      <w:marBottom w:val="150"/>
      <w:divBdr>
        <w:top w:val="none" w:sz="0" w:space="0" w:color="auto"/>
        <w:left w:val="none" w:sz="0" w:space="0" w:color="auto"/>
        <w:bottom w:val="none" w:sz="0" w:space="0" w:color="auto"/>
        <w:right w:val="none" w:sz="0" w:space="0" w:color="auto"/>
      </w:divBdr>
      <w:divsChild>
        <w:div w:id="888423094">
          <w:marLeft w:val="0"/>
          <w:marRight w:val="0"/>
          <w:marTop w:val="0"/>
          <w:marBottom w:val="0"/>
          <w:divBdr>
            <w:top w:val="none" w:sz="0" w:space="0" w:color="auto"/>
            <w:left w:val="none" w:sz="0" w:space="0" w:color="auto"/>
            <w:bottom w:val="none" w:sz="0" w:space="0" w:color="auto"/>
            <w:right w:val="none" w:sz="0" w:space="0" w:color="auto"/>
          </w:divBdr>
        </w:div>
      </w:divsChild>
    </w:div>
    <w:div w:id="1691950885">
      <w:bodyDiv w:val="1"/>
      <w:marLeft w:val="0"/>
      <w:marRight w:val="0"/>
      <w:marTop w:val="0"/>
      <w:marBottom w:val="0"/>
      <w:divBdr>
        <w:top w:val="none" w:sz="0" w:space="0" w:color="auto"/>
        <w:left w:val="none" w:sz="0" w:space="0" w:color="auto"/>
        <w:bottom w:val="none" w:sz="0" w:space="0" w:color="auto"/>
        <w:right w:val="none" w:sz="0" w:space="0" w:color="auto"/>
      </w:divBdr>
    </w:div>
    <w:div w:id="170401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abc&#23395;&#2525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abc季报.dot</Template>
  <TotalTime>387</TotalTime>
  <Pages>3</Pages>
  <Words>1100</Words>
  <Characters>6272</Characters>
  <Application>Microsoft Office Word</Application>
  <DocSecurity>0</DocSecurity>
  <Lines>52</Lines>
  <Paragraphs>14</Paragraphs>
  <ScaleCrop>false</ScaleCrop>
  <Company>TRT. Ltd. Co.</Company>
  <LinksUpToDate>false</LinksUpToDate>
  <CharactersWithSpaces>7358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李维</cp:lastModifiedBy>
  <cp:revision>168</cp:revision>
  <cp:lastPrinted>2019-10-16T13:56:00Z</cp:lastPrinted>
  <dcterms:created xsi:type="dcterms:W3CDTF">2013-06-21T06:56:00Z</dcterms:created>
  <dcterms:modified xsi:type="dcterms:W3CDTF">2019-10-16T13:56:00Z</dcterms:modified>
</cp:coreProperties>
</file>