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易方达恒利3个月定期开放债券型发起式证券投资基金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3E3865" w:rsidRDefault="006C765B">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3E3865" w:rsidRDefault="006C765B">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3E3865" w:rsidRDefault="006C765B">
      <w:pPr>
        <w:spacing w:line="360" w:lineRule="auto"/>
        <w:ind w:firstLineChars="200" w:firstLine="480"/>
        <w:rPr>
          <w:color w:val="000000"/>
          <w:sz w:val="24"/>
          <w:szCs w:val="24"/>
        </w:rPr>
      </w:pPr>
      <w:r>
        <w:rPr>
          <w:color w:val="000000"/>
          <w:sz w:val="24"/>
          <w:szCs w:val="24"/>
        </w:rPr>
        <w:t>基金管</w:t>
      </w:r>
      <w:r>
        <w:rPr>
          <w:color w:val="000000"/>
          <w:sz w:val="24"/>
          <w:szCs w:val="24"/>
        </w:rPr>
        <w:t>理人承诺以诚实信用、勤勉尽责的原则管理和运用基金资产，但不保证基金一定盈利。</w:t>
      </w:r>
      <w:r>
        <w:rPr>
          <w:color w:val="000000"/>
          <w:sz w:val="24"/>
          <w:szCs w:val="24"/>
        </w:rPr>
        <w:t xml:space="preserve"> </w:t>
      </w:r>
    </w:p>
    <w:p w:rsidR="003E3865" w:rsidRDefault="006C765B">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3E3865" w:rsidRDefault="006C765B">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易方达恒利</w:t>
            </w:r>
            <w:r w:rsidRPr="00232B03">
              <w:rPr>
                <w:color w:val="000000"/>
                <w:kern w:val="0"/>
                <w:sz w:val="24"/>
                <w:szCs w:val="24"/>
              </w:rPr>
              <w:t>3</w:t>
            </w:r>
            <w:r w:rsidRPr="00232B03">
              <w:rPr>
                <w:color w:val="000000"/>
                <w:kern w:val="0"/>
                <w:sz w:val="24"/>
                <w:szCs w:val="24"/>
              </w:rPr>
              <w:t>个月定开债券发起式</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007104</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007104</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2019</w:t>
            </w:r>
            <w:r w:rsidRPr="00232B03">
              <w:rPr>
                <w:color w:val="000000"/>
                <w:kern w:val="0"/>
                <w:sz w:val="24"/>
                <w:szCs w:val="24"/>
              </w:rPr>
              <w:t>年</w:t>
            </w:r>
            <w:r w:rsidRPr="00232B03">
              <w:rPr>
                <w:color w:val="000000"/>
                <w:kern w:val="0"/>
                <w:sz w:val="24"/>
                <w:szCs w:val="24"/>
              </w:rPr>
              <w:t>4</w:t>
            </w:r>
            <w:r w:rsidRPr="00232B03">
              <w:rPr>
                <w:color w:val="000000"/>
                <w:kern w:val="0"/>
                <w:sz w:val="24"/>
                <w:szCs w:val="24"/>
              </w:rPr>
              <w:t>月</w:t>
            </w:r>
            <w:r w:rsidRPr="00232B03">
              <w:rPr>
                <w:color w:val="000000"/>
                <w:kern w:val="0"/>
                <w:sz w:val="24"/>
                <w:szCs w:val="24"/>
              </w:rPr>
              <w:t>4</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1,499,117,694.36</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本基金为纯债基金，管理人主要通过分析影响债券市场的各类要素，对债券组合的平均久期、期限结构、类属品种进行有效配置，力争为投资人提供长期稳定的投资回报。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本基金在封闭运作期与开放运作期采取不同的投资策略。封闭运作期内，本基金在债券投资上主要通过久期配置、类属配置、期限结构配置和个券选</w:t>
            </w:r>
            <w:r w:rsidRPr="00232B03">
              <w:rPr>
                <w:color w:val="000000"/>
                <w:kern w:val="0"/>
                <w:sz w:val="24"/>
                <w:szCs w:val="24"/>
              </w:rPr>
              <w:lastRenderedPageBreak/>
              <w:t>择四个层次进行投资管理。在投资组合平均久期与封闭运作期适当匹配的基础上，本基金将对宏观经济走势、经济周期所处阶段和宏观经济政策动向等进行研究，预测未来收益率曲线变动趋势，并据此积极调整债券组合的平均久期。类属配置上，在对宏观经济周期、市场利率走势、资金供求变化，以及信用债券的信用风险等因素进行分析的基础上，根据各债券类属的风险收益特征，定期对债券类属资产进行优化配置和调整。期限结构方面，对市场收益率曲线变动情况进行研判，在长期、中期和短期债券之间进行配置，适时采用子弹型、哑铃型或梯型策略构建投资组合。个券选择方面，将根据发行人的公司背景、行业特性、盈利能力、偿债能力、流动性等因素，对信用债进行信用风险评估，积极发掘信用利差具有相对投资机会的个券进行投资，并采取分散化投资策略。另外本基金还将对资金面进行综合分析，比较债券收益率、存款利率和融资成本，判断利差空间，力争通过杠杆操作提高组合收益。开放运作期内，本基金为保持较高的组合流动性，方便投资人安排投资，在遵守本基金有关投资限制与投资比例的前提下，将主要投资于高流动性的投资品种，减小基金净值的波动。</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中债新综合指数（全价）收益率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本基金为债券型基金，其长期平均风险和预期收益率理论上低于股票型基金、混合型基金，高于货币市场基金。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17,057,549.50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18,798,804.08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0.0146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1,532,673,085.99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1.0224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3E3865" w:rsidRDefault="006C765B">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w:t>
      </w:r>
      <w:r w:rsidRPr="006506EF">
        <w:rPr>
          <w:color w:val="000000"/>
          <w:sz w:val="24"/>
        </w:rPr>
        <w:t>(</w:t>
      </w:r>
      <w:r w:rsidRPr="006506EF">
        <w:rPr>
          <w:color w:val="000000"/>
          <w:sz w:val="24"/>
        </w:rPr>
        <w:t>不含公允价值变动收益</w:t>
      </w:r>
      <w:r w:rsidRPr="006506EF">
        <w:rPr>
          <w:color w:val="000000"/>
          <w:sz w:val="24"/>
        </w:rPr>
        <w:t>)</w:t>
      </w:r>
      <w:r w:rsidRPr="006506EF">
        <w:rPr>
          <w:color w:val="000000"/>
          <w:sz w:val="24"/>
        </w:rPr>
        <w:t>扣除相关费用后的余额</w:t>
      </w:r>
      <w:r w:rsidRPr="006506EF">
        <w:rPr>
          <w:color w:val="000000"/>
          <w:sz w:val="24"/>
        </w:rPr>
        <w:t>,</w:t>
      </w:r>
      <w:r w:rsidRPr="006506EF">
        <w:rPr>
          <w:color w:val="000000"/>
          <w:sz w:val="24"/>
        </w:rPr>
        <w:t>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3E3865">
        <w:tc>
          <w:tcPr>
            <w:tcW w:w="1395" w:type="dxa"/>
            <w:vAlign w:val="center"/>
          </w:tcPr>
          <w:p w:rsidR="003E3865" w:rsidRDefault="006C765B">
            <w:pPr>
              <w:jc w:val="left"/>
            </w:pPr>
            <w:r>
              <w:rPr>
                <w:color w:val="000000"/>
                <w:kern w:val="0"/>
                <w:sz w:val="24"/>
                <w:szCs w:val="24"/>
              </w:rPr>
              <w:t>过去三个月</w:t>
            </w:r>
          </w:p>
        </w:tc>
        <w:tc>
          <w:tcPr>
            <w:tcW w:w="1092" w:type="dxa"/>
            <w:vAlign w:val="center"/>
          </w:tcPr>
          <w:p w:rsidR="003E3865" w:rsidRDefault="006C765B">
            <w:pPr>
              <w:jc w:val="center"/>
            </w:pPr>
            <w:r>
              <w:rPr>
                <w:color w:val="000000"/>
                <w:kern w:val="0"/>
                <w:sz w:val="24"/>
                <w:szCs w:val="24"/>
              </w:rPr>
              <w:t>1.47%</w:t>
            </w:r>
          </w:p>
        </w:tc>
        <w:tc>
          <w:tcPr>
            <w:tcW w:w="1161" w:type="dxa"/>
            <w:vAlign w:val="center"/>
          </w:tcPr>
          <w:p w:rsidR="003E3865" w:rsidRDefault="006C765B">
            <w:pPr>
              <w:jc w:val="center"/>
            </w:pPr>
            <w:r>
              <w:rPr>
                <w:color w:val="000000"/>
                <w:kern w:val="0"/>
                <w:sz w:val="24"/>
                <w:szCs w:val="24"/>
              </w:rPr>
              <w:t>0.04%</w:t>
            </w:r>
          </w:p>
        </w:tc>
        <w:tc>
          <w:tcPr>
            <w:tcW w:w="1181" w:type="dxa"/>
            <w:vAlign w:val="center"/>
          </w:tcPr>
          <w:p w:rsidR="003E3865" w:rsidRDefault="006C765B">
            <w:pPr>
              <w:jc w:val="center"/>
            </w:pPr>
            <w:r>
              <w:rPr>
                <w:color w:val="000000"/>
                <w:kern w:val="0"/>
                <w:sz w:val="24"/>
                <w:szCs w:val="24"/>
              </w:rPr>
              <w:t>0.46%</w:t>
            </w:r>
          </w:p>
        </w:tc>
        <w:tc>
          <w:tcPr>
            <w:tcW w:w="1188" w:type="dxa"/>
            <w:vAlign w:val="center"/>
          </w:tcPr>
          <w:p w:rsidR="003E3865" w:rsidRDefault="006C765B">
            <w:pPr>
              <w:jc w:val="center"/>
            </w:pPr>
            <w:r>
              <w:rPr>
                <w:color w:val="000000"/>
                <w:kern w:val="0"/>
                <w:sz w:val="24"/>
                <w:szCs w:val="24"/>
              </w:rPr>
              <w:t>0.04%</w:t>
            </w:r>
          </w:p>
        </w:tc>
        <w:tc>
          <w:tcPr>
            <w:tcW w:w="1199" w:type="dxa"/>
            <w:vAlign w:val="center"/>
          </w:tcPr>
          <w:p w:rsidR="003E3865" w:rsidRDefault="006C765B">
            <w:pPr>
              <w:jc w:val="center"/>
            </w:pPr>
            <w:r>
              <w:rPr>
                <w:color w:val="000000"/>
                <w:kern w:val="0"/>
                <w:sz w:val="24"/>
                <w:szCs w:val="24"/>
              </w:rPr>
              <w:t>1.01%</w:t>
            </w:r>
          </w:p>
        </w:tc>
        <w:tc>
          <w:tcPr>
            <w:tcW w:w="1204" w:type="dxa"/>
            <w:vAlign w:val="center"/>
          </w:tcPr>
          <w:p w:rsidR="003E3865" w:rsidRDefault="006C765B">
            <w:pPr>
              <w:jc w:val="center"/>
            </w:pPr>
            <w:r>
              <w:rPr>
                <w:color w:val="000000"/>
                <w:kern w:val="0"/>
                <w:sz w:val="24"/>
                <w:szCs w:val="24"/>
              </w:rPr>
              <w:t>0.00%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易方达恒利</w:t>
      </w:r>
      <w:r w:rsidRPr="0074694E">
        <w:rPr>
          <w:color w:val="000000"/>
          <w:sz w:val="24"/>
          <w:szCs w:val="24"/>
        </w:rPr>
        <w:t>3</w:t>
      </w:r>
      <w:r w:rsidRPr="0074694E">
        <w:rPr>
          <w:color w:val="000000"/>
          <w:sz w:val="24"/>
          <w:szCs w:val="24"/>
        </w:rPr>
        <w:t>个月定期开放债券型发起式证券投资基金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4</w:t>
      </w:r>
      <w:r w:rsidRPr="0074694E">
        <w:rPr>
          <w:rFonts w:ascii="Times New Roman" w:hAnsi="Times New Roman"/>
          <w:sz w:val="24"/>
          <w:szCs w:val="24"/>
        </w:rPr>
        <w:t>月</w:t>
      </w:r>
      <w:r w:rsidRPr="0074694E">
        <w:rPr>
          <w:rFonts w:ascii="Times New Roman" w:hAnsi="Times New Roman"/>
          <w:sz w:val="24"/>
          <w:szCs w:val="24"/>
        </w:rPr>
        <w:t>4</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6C765B"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3E3865" w:rsidRDefault="006C765B">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本基金合同于</w:t>
      </w:r>
      <w:r>
        <w:rPr>
          <w:color w:val="000000"/>
          <w:sz w:val="24"/>
          <w:szCs w:val="24"/>
        </w:rPr>
        <w:t>2019</w:t>
      </w:r>
      <w:r>
        <w:rPr>
          <w:color w:val="000000"/>
          <w:sz w:val="24"/>
          <w:szCs w:val="24"/>
        </w:rPr>
        <w:t>年</w:t>
      </w:r>
      <w:r>
        <w:rPr>
          <w:color w:val="000000"/>
          <w:sz w:val="24"/>
          <w:szCs w:val="24"/>
        </w:rPr>
        <w:t>4</w:t>
      </w:r>
      <w:r>
        <w:rPr>
          <w:color w:val="000000"/>
          <w:sz w:val="24"/>
          <w:szCs w:val="24"/>
        </w:rPr>
        <w:t>月</w:t>
      </w:r>
      <w:r>
        <w:rPr>
          <w:color w:val="000000"/>
          <w:sz w:val="24"/>
          <w:szCs w:val="24"/>
        </w:rPr>
        <w:t>4</w:t>
      </w:r>
      <w:r>
        <w:rPr>
          <w:color w:val="000000"/>
          <w:sz w:val="24"/>
          <w:szCs w:val="24"/>
        </w:rPr>
        <w:t>日生效，截至报告期末本基金合同生效未满一年。</w:t>
      </w:r>
    </w:p>
    <w:p w:rsidR="003E3865" w:rsidRDefault="006C765B">
      <w:pPr>
        <w:spacing w:line="360" w:lineRule="auto"/>
        <w:ind w:firstLineChars="200" w:firstLine="480"/>
        <w:rPr>
          <w:color w:val="000000"/>
          <w:sz w:val="24"/>
          <w:szCs w:val="24"/>
        </w:rPr>
      </w:pPr>
      <w:r>
        <w:rPr>
          <w:color w:val="000000"/>
          <w:sz w:val="24"/>
          <w:szCs w:val="24"/>
        </w:rPr>
        <w:t>2.</w:t>
      </w:r>
      <w:r>
        <w:rPr>
          <w:color w:val="000000"/>
          <w:sz w:val="24"/>
          <w:szCs w:val="24"/>
        </w:rPr>
        <w:t>按基金合同和招募说明书的约定，自基金合同生效之日起六个月内使基金的投资组合比例符合本基金合同（第十二部分二、投资范围，三、投资策略和四、投资限制）的有关约定。本报告期本基金处于建仓期内。</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3.</w:t>
      </w:r>
      <w:r w:rsidRPr="006C56AA">
        <w:rPr>
          <w:color w:val="000000"/>
          <w:sz w:val="24"/>
          <w:szCs w:val="24"/>
        </w:rPr>
        <w:t>自基金合同生效至报告期末，基金份额净值增长率为</w:t>
      </w:r>
      <w:r w:rsidRPr="006C56AA">
        <w:rPr>
          <w:color w:val="000000"/>
          <w:sz w:val="24"/>
          <w:szCs w:val="24"/>
        </w:rPr>
        <w:t>2.24%</w:t>
      </w:r>
      <w:r w:rsidRPr="006C56AA">
        <w:rPr>
          <w:color w:val="000000"/>
          <w:sz w:val="24"/>
          <w:szCs w:val="24"/>
        </w:rPr>
        <w:t>，同期业绩比较基准收益率为</w:t>
      </w:r>
      <w:r w:rsidRPr="006C56AA">
        <w:rPr>
          <w:color w:val="000000"/>
          <w:sz w:val="24"/>
          <w:szCs w:val="24"/>
        </w:rPr>
        <w:t>0.57%</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3E3865">
        <w:tc>
          <w:tcPr>
            <w:tcW w:w="567" w:type="dxa"/>
            <w:vAlign w:val="center"/>
          </w:tcPr>
          <w:p w:rsidR="003E3865" w:rsidRDefault="006C765B">
            <w:pPr>
              <w:jc w:val="center"/>
            </w:pPr>
            <w:r>
              <w:rPr>
                <w:color w:val="000000"/>
                <w:sz w:val="24"/>
              </w:rPr>
              <w:t>纪玲云</w:t>
            </w:r>
          </w:p>
        </w:tc>
        <w:tc>
          <w:tcPr>
            <w:tcW w:w="2835" w:type="dxa"/>
            <w:vAlign w:val="center"/>
          </w:tcPr>
          <w:p w:rsidR="003E3865" w:rsidRDefault="006C765B">
            <w:pPr>
              <w:jc w:val="center"/>
            </w:pPr>
            <w:r>
              <w:rPr>
                <w:color w:val="000000"/>
                <w:sz w:val="24"/>
              </w:rPr>
              <w:t>本基金的基金经理、易方达信用债债券型证券投资基金的基金经理、易方达瑞财灵活配置混合型证券投资基金的基金经理、易方达恒盛</w:t>
            </w:r>
            <w:r>
              <w:rPr>
                <w:color w:val="000000"/>
                <w:sz w:val="24"/>
              </w:rPr>
              <w:t>3</w:t>
            </w:r>
            <w:r>
              <w:rPr>
                <w:color w:val="000000"/>
                <w:sz w:val="24"/>
              </w:rPr>
              <w:t>个月定期开放混合型发起式证券投资基金的基金经理、易方达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的基金经理、易方达稳健收益债券型证券投资基金的基金经理助理、易方达丰惠混合型证券投资基金的基金经理助理、固定收益研究部总经理助理</w:t>
            </w:r>
          </w:p>
        </w:tc>
        <w:tc>
          <w:tcPr>
            <w:tcW w:w="851" w:type="dxa"/>
            <w:vAlign w:val="center"/>
          </w:tcPr>
          <w:p w:rsidR="003E3865" w:rsidRDefault="006C765B">
            <w:pPr>
              <w:jc w:val="center"/>
            </w:pPr>
            <w:r>
              <w:rPr>
                <w:color w:val="000000"/>
                <w:sz w:val="24"/>
              </w:rPr>
              <w:t>2019-04-04</w:t>
            </w:r>
          </w:p>
        </w:tc>
        <w:tc>
          <w:tcPr>
            <w:tcW w:w="850" w:type="dxa"/>
            <w:vAlign w:val="center"/>
          </w:tcPr>
          <w:p w:rsidR="003E3865" w:rsidRDefault="006C765B">
            <w:pPr>
              <w:jc w:val="center"/>
            </w:pPr>
            <w:r>
              <w:rPr>
                <w:color w:val="000000"/>
                <w:sz w:val="24"/>
              </w:rPr>
              <w:t>-</w:t>
            </w:r>
          </w:p>
        </w:tc>
        <w:tc>
          <w:tcPr>
            <w:tcW w:w="851" w:type="dxa"/>
            <w:vAlign w:val="center"/>
          </w:tcPr>
          <w:p w:rsidR="003E3865" w:rsidRDefault="006C765B">
            <w:pPr>
              <w:jc w:val="center"/>
            </w:pPr>
            <w:r>
              <w:rPr>
                <w:color w:val="000000"/>
                <w:sz w:val="24"/>
              </w:rPr>
              <w:t>10</w:t>
            </w:r>
            <w:r>
              <w:rPr>
                <w:color w:val="000000"/>
                <w:sz w:val="24"/>
              </w:rPr>
              <w:t>年</w:t>
            </w:r>
          </w:p>
        </w:tc>
        <w:tc>
          <w:tcPr>
            <w:tcW w:w="2977" w:type="dxa"/>
            <w:vAlign w:val="center"/>
          </w:tcPr>
          <w:p w:rsidR="003E3865" w:rsidRDefault="006C765B">
            <w:r>
              <w:rPr>
                <w:color w:val="000000"/>
                <w:sz w:val="24"/>
              </w:rPr>
              <w:t>硕士研究生，曾任易方达基金管理有限公司固定收益研究员、投资经理助理兼固定收益研究员。</w:t>
            </w:r>
          </w:p>
        </w:tc>
      </w:tr>
      <w:tr w:rsidR="003E3865">
        <w:tc>
          <w:tcPr>
            <w:tcW w:w="567" w:type="dxa"/>
            <w:vAlign w:val="center"/>
          </w:tcPr>
          <w:p w:rsidR="003E3865" w:rsidRDefault="006C765B">
            <w:pPr>
              <w:jc w:val="center"/>
            </w:pPr>
            <w:r>
              <w:rPr>
                <w:color w:val="000000"/>
                <w:sz w:val="24"/>
              </w:rPr>
              <w:t>胡剑</w:t>
            </w:r>
          </w:p>
        </w:tc>
        <w:tc>
          <w:tcPr>
            <w:tcW w:w="2835" w:type="dxa"/>
            <w:vAlign w:val="center"/>
          </w:tcPr>
          <w:p w:rsidR="003E3865" w:rsidRDefault="006C765B">
            <w:pPr>
              <w:jc w:val="center"/>
            </w:pPr>
            <w:r>
              <w:rPr>
                <w:color w:val="000000"/>
                <w:sz w:val="24"/>
              </w:rPr>
              <w:t>本基金的基金经理、易方达裕惠回报定期开放式混合型发起式证券投资基金的基金经理、易方达信用债债券型证券投资基金的基金经理、易方达稳健收益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w:t>
            </w:r>
            <w:r>
              <w:rPr>
                <w:color w:val="000000"/>
                <w:sz w:val="24"/>
              </w:rPr>
              <w:t>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日）、易方达瑞富灵活配置混合型证券投资基金的基金经理、易方达瑞财灵活配置混合型证券投资基金的基金经理、易方达恒益定期开放债券型发起式证券投资基金的基金经理、易方达恒盛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日）、易方达丰惠混合型证券投资基金的基金经理、易方达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的基金经理、固定收益研究部总经理、固定收益投资部总经理</w:t>
            </w:r>
          </w:p>
        </w:tc>
        <w:tc>
          <w:tcPr>
            <w:tcW w:w="851" w:type="dxa"/>
            <w:vAlign w:val="center"/>
          </w:tcPr>
          <w:p w:rsidR="003E3865" w:rsidRDefault="006C765B">
            <w:pPr>
              <w:jc w:val="center"/>
            </w:pPr>
            <w:r>
              <w:rPr>
                <w:color w:val="000000"/>
                <w:sz w:val="24"/>
              </w:rPr>
              <w:t>2019-04-04</w:t>
            </w:r>
          </w:p>
        </w:tc>
        <w:tc>
          <w:tcPr>
            <w:tcW w:w="850" w:type="dxa"/>
            <w:vAlign w:val="center"/>
          </w:tcPr>
          <w:p w:rsidR="003E3865" w:rsidRDefault="006C765B">
            <w:pPr>
              <w:jc w:val="center"/>
            </w:pPr>
            <w:r>
              <w:rPr>
                <w:color w:val="000000"/>
                <w:sz w:val="24"/>
              </w:rPr>
              <w:t>-</w:t>
            </w:r>
          </w:p>
        </w:tc>
        <w:tc>
          <w:tcPr>
            <w:tcW w:w="851" w:type="dxa"/>
            <w:vAlign w:val="center"/>
          </w:tcPr>
          <w:p w:rsidR="003E3865" w:rsidRDefault="006C765B">
            <w:pPr>
              <w:jc w:val="center"/>
            </w:pPr>
            <w:r>
              <w:rPr>
                <w:color w:val="000000"/>
                <w:sz w:val="24"/>
              </w:rPr>
              <w:t>13</w:t>
            </w:r>
            <w:r>
              <w:rPr>
                <w:color w:val="000000"/>
                <w:sz w:val="24"/>
              </w:rPr>
              <w:t>年</w:t>
            </w:r>
          </w:p>
        </w:tc>
        <w:tc>
          <w:tcPr>
            <w:tcW w:w="2977" w:type="dxa"/>
            <w:vAlign w:val="center"/>
          </w:tcPr>
          <w:p w:rsidR="003E3865" w:rsidRDefault="006C765B">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bl>
    <w:p w:rsidR="003E3865" w:rsidRDefault="006C765B">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3E3865" w:rsidRDefault="006C765B">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3E3865" w:rsidRDefault="006C765B">
      <w:pPr>
        <w:spacing w:line="360" w:lineRule="auto"/>
        <w:ind w:firstLineChars="200" w:firstLine="480"/>
        <w:rPr>
          <w:color w:val="000000"/>
          <w:sz w:val="24"/>
          <w:szCs w:val="24"/>
        </w:rPr>
      </w:pPr>
      <w:r>
        <w:rPr>
          <w:color w:val="000000"/>
          <w:sz w:val="24"/>
          <w:szCs w:val="24"/>
        </w:rPr>
        <w:t>2019</w:t>
      </w:r>
      <w:r>
        <w:rPr>
          <w:color w:val="000000"/>
          <w:sz w:val="24"/>
          <w:szCs w:val="24"/>
        </w:rPr>
        <w:t>年三季度经济数据继续呈现月底波动较大但整体偏弱的特征。经济数据在</w:t>
      </w:r>
      <w:r>
        <w:rPr>
          <w:color w:val="000000"/>
          <w:sz w:val="24"/>
          <w:szCs w:val="24"/>
        </w:rPr>
        <w:t>6</w:t>
      </w:r>
      <w:r>
        <w:rPr>
          <w:color w:val="000000"/>
          <w:sz w:val="24"/>
          <w:szCs w:val="24"/>
        </w:rPr>
        <w:t>月份全面大幅回升之后，</w:t>
      </w:r>
      <w:r>
        <w:rPr>
          <w:color w:val="000000"/>
          <w:sz w:val="24"/>
          <w:szCs w:val="24"/>
        </w:rPr>
        <w:t>7</w:t>
      </w:r>
      <w:r>
        <w:rPr>
          <w:color w:val="000000"/>
          <w:sz w:val="24"/>
          <w:szCs w:val="24"/>
        </w:rPr>
        <w:t>月份显著回落。</w:t>
      </w:r>
      <w:r>
        <w:rPr>
          <w:color w:val="000000"/>
          <w:sz w:val="24"/>
          <w:szCs w:val="24"/>
        </w:rPr>
        <w:t>8</w:t>
      </w:r>
      <w:r>
        <w:rPr>
          <w:color w:val="000000"/>
          <w:sz w:val="24"/>
          <w:szCs w:val="24"/>
        </w:rPr>
        <w:t>月份数据则在</w:t>
      </w:r>
      <w:r>
        <w:rPr>
          <w:color w:val="000000"/>
          <w:sz w:val="24"/>
          <w:szCs w:val="24"/>
        </w:rPr>
        <w:t>7</w:t>
      </w:r>
      <w:r>
        <w:rPr>
          <w:color w:val="000000"/>
          <w:sz w:val="24"/>
          <w:szCs w:val="24"/>
        </w:rPr>
        <w:t>月份的基础上持平，显示经济整体在偏弱的水平。从结构上看，制造业投资和以汽车消费为代表的零售数据波动较大。基建投资低位企稳，房地产投资平稳略有波动，维持在相对较好的水平。房地产销售随着三、四线城市的持续好转，显示出较好的韧性。通胀压力略有抬升，但主要是食品价格的大幅抬升带来，非食品价格压力较小，</w:t>
      </w:r>
      <w:r>
        <w:rPr>
          <w:color w:val="000000"/>
          <w:sz w:val="24"/>
          <w:szCs w:val="24"/>
        </w:rPr>
        <w:t>PPI</w:t>
      </w:r>
      <w:r>
        <w:rPr>
          <w:color w:val="000000"/>
          <w:sz w:val="24"/>
          <w:szCs w:val="24"/>
        </w:rPr>
        <w:t>再度回到负值区间。</w:t>
      </w:r>
    </w:p>
    <w:p w:rsidR="003E3865" w:rsidRDefault="006C765B">
      <w:pPr>
        <w:spacing w:line="360" w:lineRule="auto"/>
        <w:ind w:firstLineChars="200" w:firstLine="480"/>
        <w:rPr>
          <w:color w:val="000000"/>
          <w:sz w:val="24"/>
          <w:szCs w:val="24"/>
        </w:rPr>
      </w:pPr>
      <w:r>
        <w:rPr>
          <w:color w:val="000000"/>
          <w:sz w:val="24"/>
          <w:szCs w:val="24"/>
        </w:rPr>
        <w:t>政策面对债券市场影响相对偏负面。央行的货币政策更加专注于疏通传导</w:t>
      </w:r>
      <w:r>
        <w:rPr>
          <w:color w:val="000000"/>
          <w:sz w:val="24"/>
          <w:szCs w:val="24"/>
        </w:rPr>
        <w:t>机制，以</w:t>
      </w:r>
      <w:r>
        <w:rPr>
          <w:color w:val="000000"/>
          <w:sz w:val="24"/>
          <w:szCs w:val="24"/>
        </w:rPr>
        <w:t>LPR</w:t>
      </w:r>
      <w:r>
        <w:rPr>
          <w:color w:val="000000"/>
          <w:sz w:val="24"/>
          <w:szCs w:val="24"/>
        </w:rPr>
        <w:t>改革为主导的不对称降息是其主要的政策推进方向，该方向对债券市场影响偏负面。财政方面，地方债额度提前下放增加了基建投资的使用空间。受上述政策面的影响，收益率水平在</w:t>
      </w:r>
      <w:r>
        <w:rPr>
          <w:color w:val="000000"/>
          <w:sz w:val="24"/>
          <w:szCs w:val="24"/>
        </w:rPr>
        <w:t>8</w:t>
      </w:r>
      <w:r>
        <w:rPr>
          <w:color w:val="000000"/>
          <w:sz w:val="24"/>
          <w:szCs w:val="24"/>
        </w:rPr>
        <w:t>月上旬冲低后回升，收益率回到季初水平。债券市场呈现明显的震荡格局。</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操作上，组合在</w:t>
      </w:r>
      <w:r w:rsidRPr="006C56AA">
        <w:rPr>
          <w:color w:val="000000"/>
          <w:sz w:val="24"/>
          <w:szCs w:val="24"/>
        </w:rPr>
        <w:t>7</w:t>
      </w:r>
      <w:r w:rsidRPr="006C56AA">
        <w:rPr>
          <w:color w:val="000000"/>
          <w:sz w:val="24"/>
          <w:szCs w:val="24"/>
        </w:rPr>
        <w:t>、</w:t>
      </w:r>
      <w:r w:rsidRPr="006C56AA">
        <w:rPr>
          <w:color w:val="000000"/>
          <w:sz w:val="24"/>
          <w:szCs w:val="24"/>
        </w:rPr>
        <w:t>8</w:t>
      </w:r>
      <w:r w:rsidRPr="006C56AA">
        <w:rPr>
          <w:color w:val="000000"/>
          <w:sz w:val="24"/>
          <w:szCs w:val="24"/>
        </w:rPr>
        <w:t>月保持了相对偏长的有效久期，在</w:t>
      </w:r>
      <w:r w:rsidRPr="006C56AA">
        <w:rPr>
          <w:color w:val="000000"/>
          <w:sz w:val="24"/>
          <w:szCs w:val="24"/>
        </w:rPr>
        <w:t>9</w:t>
      </w:r>
      <w:r w:rsidRPr="006C56AA">
        <w:rPr>
          <w:color w:val="000000"/>
          <w:sz w:val="24"/>
          <w:szCs w:val="24"/>
        </w:rPr>
        <w:t>月下旬逐步降低了杠杆和有效久期。信用债方面积极进行个券调整，获取利差波动的收益。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1.0224</w:t>
      </w:r>
      <w:r w:rsidRPr="006C56AA">
        <w:rPr>
          <w:color w:val="000000"/>
          <w:sz w:val="24"/>
          <w:szCs w:val="24"/>
        </w:rPr>
        <w:t>元，本报告期份额净值增长率为</w:t>
      </w:r>
      <w:r w:rsidRPr="006C56AA">
        <w:rPr>
          <w:color w:val="000000"/>
          <w:sz w:val="24"/>
          <w:szCs w:val="24"/>
        </w:rPr>
        <w:t>1.47%</w:t>
      </w:r>
      <w:r w:rsidRPr="006C56AA">
        <w:rPr>
          <w:color w:val="000000"/>
          <w:sz w:val="24"/>
          <w:szCs w:val="24"/>
        </w:rPr>
        <w:t>，同期业绩比较基准收益率为</w:t>
      </w:r>
      <w:r w:rsidRPr="006C56AA">
        <w:rPr>
          <w:color w:val="000000"/>
          <w:sz w:val="24"/>
          <w:szCs w:val="24"/>
        </w:rPr>
        <w:t>0.46%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1,852,532,000.00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95.60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1,852,532,000.00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95.60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61,998,515.64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3.20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23,167,541.42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1.20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1,937,698,057.06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976,818,000.00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63.73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110,428,000.00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7.20</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765,286,000.00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49.93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1,852,532,000.00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120.87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3E3865">
        <w:tc>
          <w:tcPr>
            <w:tcW w:w="959" w:type="dxa"/>
            <w:vAlign w:val="center"/>
          </w:tcPr>
          <w:p w:rsidR="003E3865" w:rsidRDefault="006C765B">
            <w:pPr>
              <w:jc w:val="center"/>
            </w:pPr>
            <w:r>
              <w:rPr>
                <w:color w:val="000000"/>
                <w:kern w:val="0"/>
                <w:sz w:val="24"/>
                <w:szCs w:val="24"/>
              </w:rPr>
              <w:t>1</w:t>
            </w:r>
          </w:p>
        </w:tc>
        <w:tc>
          <w:tcPr>
            <w:tcW w:w="1276" w:type="dxa"/>
            <w:vAlign w:val="center"/>
          </w:tcPr>
          <w:p w:rsidR="003E3865" w:rsidRDefault="006C765B">
            <w:pPr>
              <w:jc w:val="center"/>
            </w:pPr>
            <w:r>
              <w:rPr>
                <w:color w:val="000000"/>
                <w:kern w:val="0"/>
                <w:sz w:val="24"/>
                <w:szCs w:val="24"/>
              </w:rPr>
              <w:t>143408</w:t>
            </w:r>
          </w:p>
        </w:tc>
        <w:tc>
          <w:tcPr>
            <w:tcW w:w="1275" w:type="dxa"/>
            <w:vAlign w:val="center"/>
          </w:tcPr>
          <w:p w:rsidR="003E3865" w:rsidRDefault="006C765B">
            <w:pPr>
              <w:jc w:val="center"/>
            </w:pPr>
            <w:r>
              <w:rPr>
                <w:color w:val="000000"/>
                <w:kern w:val="0"/>
                <w:sz w:val="24"/>
                <w:szCs w:val="24"/>
              </w:rPr>
              <w:t>18</w:t>
            </w:r>
            <w:r>
              <w:rPr>
                <w:color w:val="000000"/>
                <w:kern w:val="0"/>
                <w:sz w:val="24"/>
                <w:szCs w:val="24"/>
              </w:rPr>
              <w:t>招金</w:t>
            </w:r>
            <w:r>
              <w:rPr>
                <w:color w:val="000000"/>
                <w:kern w:val="0"/>
                <w:sz w:val="24"/>
                <w:szCs w:val="24"/>
              </w:rPr>
              <w:t>02</w:t>
            </w:r>
          </w:p>
        </w:tc>
        <w:tc>
          <w:tcPr>
            <w:tcW w:w="1560" w:type="dxa"/>
            <w:vAlign w:val="center"/>
          </w:tcPr>
          <w:p w:rsidR="003E3865" w:rsidRDefault="006C765B">
            <w:pPr>
              <w:jc w:val="right"/>
            </w:pPr>
            <w:r>
              <w:rPr>
                <w:color w:val="000000"/>
                <w:kern w:val="0"/>
                <w:sz w:val="24"/>
                <w:szCs w:val="24"/>
              </w:rPr>
              <w:t>800,000</w:t>
            </w:r>
          </w:p>
        </w:tc>
        <w:tc>
          <w:tcPr>
            <w:tcW w:w="1984" w:type="dxa"/>
            <w:vAlign w:val="center"/>
          </w:tcPr>
          <w:p w:rsidR="003E3865" w:rsidRDefault="006C765B">
            <w:pPr>
              <w:jc w:val="right"/>
            </w:pPr>
            <w:r>
              <w:rPr>
                <w:color w:val="000000"/>
                <w:kern w:val="0"/>
                <w:sz w:val="24"/>
                <w:szCs w:val="24"/>
              </w:rPr>
              <w:t>81,744,000.00</w:t>
            </w:r>
          </w:p>
        </w:tc>
        <w:tc>
          <w:tcPr>
            <w:tcW w:w="1474" w:type="dxa"/>
            <w:vAlign w:val="center"/>
          </w:tcPr>
          <w:p w:rsidR="003E3865" w:rsidRDefault="006C765B">
            <w:pPr>
              <w:jc w:val="right"/>
            </w:pPr>
            <w:r>
              <w:rPr>
                <w:color w:val="000000"/>
                <w:kern w:val="0"/>
                <w:sz w:val="24"/>
                <w:szCs w:val="24"/>
              </w:rPr>
              <w:t>5.33</w:t>
            </w:r>
          </w:p>
        </w:tc>
      </w:tr>
      <w:tr w:rsidR="003E3865">
        <w:tc>
          <w:tcPr>
            <w:tcW w:w="959" w:type="dxa"/>
            <w:vAlign w:val="center"/>
          </w:tcPr>
          <w:p w:rsidR="003E3865" w:rsidRDefault="006C765B">
            <w:pPr>
              <w:jc w:val="center"/>
            </w:pPr>
            <w:r>
              <w:rPr>
                <w:color w:val="000000"/>
                <w:kern w:val="0"/>
                <w:sz w:val="24"/>
                <w:szCs w:val="24"/>
              </w:rPr>
              <w:t>2</w:t>
            </w:r>
          </w:p>
        </w:tc>
        <w:tc>
          <w:tcPr>
            <w:tcW w:w="1276" w:type="dxa"/>
            <w:vAlign w:val="center"/>
          </w:tcPr>
          <w:p w:rsidR="003E3865" w:rsidRDefault="006C765B">
            <w:pPr>
              <w:jc w:val="center"/>
            </w:pPr>
            <w:r>
              <w:rPr>
                <w:color w:val="000000"/>
                <w:kern w:val="0"/>
                <w:sz w:val="24"/>
                <w:szCs w:val="24"/>
              </w:rPr>
              <w:t>101800629</w:t>
            </w:r>
          </w:p>
        </w:tc>
        <w:tc>
          <w:tcPr>
            <w:tcW w:w="1275" w:type="dxa"/>
            <w:vAlign w:val="center"/>
          </w:tcPr>
          <w:p w:rsidR="003E3865" w:rsidRDefault="006C765B">
            <w:pPr>
              <w:jc w:val="center"/>
            </w:pPr>
            <w:r>
              <w:rPr>
                <w:color w:val="000000"/>
                <w:kern w:val="0"/>
                <w:sz w:val="24"/>
                <w:szCs w:val="24"/>
              </w:rPr>
              <w:t>18</w:t>
            </w:r>
            <w:r>
              <w:rPr>
                <w:color w:val="000000"/>
                <w:kern w:val="0"/>
                <w:sz w:val="24"/>
                <w:szCs w:val="24"/>
              </w:rPr>
              <w:t>河钢集</w:t>
            </w:r>
            <w:r>
              <w:rPr>
                <w:color w:val="000000"/>
                <w:kern w:val="0"/>
                <w:sz w:val="24"/>
                <w:szCs w:val="24"/>
              </w:rPr>
              <w:t>MTN005</w:t>
            </w:r>
          </w:p>
        </w:tc>
        <w:tc>
          <w:tcPr>
            <w:tcW w:w="1560" w:type="dxa"/>
            <w:vAlign w:val="center"/>
          </w:tcPr>
          <w:p w:rsidR="003E3865" w:rsidRDefault="006C765B">
            <w:pPr>
              <w:jc w:val="right"/>
            </w:pPr>
            <w:r>
              <w:rPr>
                <w:color w:val="000000"/>
                <w:kern w:val="0"/>
                <w:sz w:val="24"/>
                <w:szCs w:val="24"/>
              </w:rPr>
              <w:t>700,000</w:t>
            </w:r>
          </w:p>
        </w:tc>
        <w:tc>
          <w:tcPr>
            <w:tcW w:w="1984" w:type="dxa"/>
            <w:vAlign w:val="center"/>
          </w:tcPr>
          <w:p w:rsidR="003E3865" w:rsidRDefault="006C765B">
            <w:pPr>
              <w:jc w:val="right"/>
            </w:pPr>
            <w:r>
              <w:rPr>
                <w:color w:val="000000"/>
                <w:kern w:val="0"/>
                <w:sz w:val="24"/>
                <w:szCs w:val="24"/>
              </w:rPr>
              <w:t>72,114,000.00</w:t>
            </w:r>
          </w:p>
        </w:tc>
        <w:tc>
          <w:tcPr>
            <w:tcW w:w="1474" w:type="dxa"/>
            <w:vAlign w:val="center"/>
          </w:tcPr>
          <w:p w:rsidR="003E3865" w:rsidRDefault="006C765B">
            <w:pPr>
              <w:jc w:val="right"/>
            </w:pPr>
            <w:r>
              <w:rPr>
                <w:color w:val="000000"/>
                <w:kern w:val="0"/>
                <w:sz w:val="24"/>
                <w:szCs w:val="24"/>
              </w:rPr>
              <w:t>4.71</w:t>
            </w:r>
          </w:p>
        </w:tc>
      </w:tr>
      <w:tr w:rsidR="003E3865">
        <w:tc>
          <w:tcPr>
            <w:tcW w:w="959" w:type="dxa"/>
            <w:vAlign w:val="center"/>
          </w:tcPr>
          <w:p w:rsidR="003E3865" w:rsidRDefault="006C765B">
            <w:pPr>
              <w:jc w:val="center"/>
            </w:pPr>
            <w:r>
              <w:rPr>
                <w:color w:val="000000"/>
                <w:kern w:val="0"/>
                <w:sz w:val="24"/>
                <w:szCs w:val="24"/>
              </w:rPr>
              <w:t>3</w:t>
            </w:r>
          </w:p>
        </w:tc>
        <w:tc>
          <w:tcPr>
            <w:tcW w:w="1276" w:type="dxa"/>
            <w:vAlign w:val="center"/>
          </w:tcPr>
          <w:p w:rsidR="003E3865" w:rsidRDefault="006C765B">
            <w:pPr>
              <w:jc w:val="center"/>
            </w:pPr>
            <w:r>
              <w:rPr>
                <w:color w:val="000000"/>
                <w:kern w:val="0"/>
                <w:sz w:val="24"/>
                <w:szCs w:val="24"/>
              </w:rPr>
              <w:t>101801178</w:t>
            </w:r>
          </w:p>
        </w:tc>
        <w:tc>
          <w:tcPr>
            <w:tcW w:w="1275" w:type="dxa"/>
            <w:vAlign w:val="center"/>
          </w:tcPr>
          <w:p w:rsidR="003E3865" w:rsidRDefault="006C765B">
            <w:pPr>
              <w:jc w:val="center"/>
            </w:pPr>
            <w:r>
              <w:rPr>
                <w:color w:val="000000"/>
                <w:kern w:val="0"/>
                <w:sz w:val="24"/>
                <w:szCs w:val="24"/>
              </w:rPr>
              <w:t>18</w:t>
            </w:r>
            <w:r>
              <w:rPr>
                <w:color w:val="000000"/>
                <w:kern w:val="0"/>
                <w:sz w:val="24"/>
                <w:szCs w:val="24"/>
              </w:rPr>
              <w:t>华菱钢铁</w:t>
            </w:r>
            <w:r>
              <w:rPr>
                <w:color w:val="000000"/>
                <w:kern w:val="0"/>
                <w:sz w:val="24"/>
                <w:szCs w:val="24"/>
              </w:rPr>
              <w:t>MTN002</w:t>
            </w:r>
          </w:p>
        </w:tc>
        <w:tc>
          <w:tcPr>
            <w:tcW w:w="1560" w:type="dxa"/>
            <w:vAlign w:val="center"/>
          </w:tcPr>
          <w:p w:rsidR="003E3865" w:rsidRDefault="006C765B">
            <w:pPr>
              <w:jc w:val="right"/>
            </w:pPr>
            <w:r>
              <w:rPr>
                <w:color w:val="000000"/>
                <w:kern w:val="0"/>
                <w:sz w:val="24"/>
                <w:szCs w:val="24"/>
              </w:rPr>
              <w:t>700,000</w:t>
            </w:r>
          </w:p>
        </w:tc>
        <w:tc>
          <w:tcPr>
            <w:tcW w:w="1984" w:type="dxa"/>
            <w:vAlign w:val="center"/>
          </w:tcPr>
          <w:p w:rsidR="003E3865" w:rsidRDefault="006C765B">
            <w:pPr>
              <w:jc w:val="right"/>
            </w:pPr>
            <w:r>
              <w:rPr>
                <w:color w:val="000000"/>
                <w:kern w:val="0"/>
                <w:sz w:val="24"/>
                <w:szCs w:val="24"/>
              </w:rPr>
              <w:t>71,792,000.00</w:t>
            </w:r>
          </w:p>
        </w:tc>
        <w:tc>
          <w:tcPr>
            <w:tcW w:w="1474" w:type="dxa"/>
            <w:vAlign w:val="center"/>
          </w:tcPr>
          <w:p w:rsidR="003E3865" w:rsidRDefault="006C765B">
            <w:pPr>
              <w:jc w:val="right"/>
            </w:pPr>
            <w:r>
              <w:rPr>
                <w:color w:val="000000"/>
                <w:kern w:val="0"/>
                <w:sz w:val="24"/>
                <w:szCs w:val="24"/>
              </w:rPr>
              <w:t>4.68</w:t>
            </w:r>
          </w:p>
        </w:tc>
      </w:tr>
      <w:tr w:rsidR="003E3865">
        <w:tc>
          <w:tcPr>
            <w:tcW w:w="959" w:type="dxa"/>
            <w:vAlign w:val="center"/>
          </w:tcPr>
          <w:p w:rsidR="003E3865" w:rsidRDefault="006C765B">
            <w:pPr>
              <w:jc w:val="center"/>
            </w:pPr>
            <w:r>
              <w:rPr>
                <w:color w:val="000000"/>
                <w:kern w:val="0"/>
                <w:sz w:val="24"/>
                <w:szCs w:val="24"/>
              </w:rPr>
              <w:t>4</w:t>
            </w:r>
          </w:p>
        </w:tc>
        <w:tc>
          <w:tcPr>
            <w:tcW w:w="1276" w:type="dxa"/>
            <w:vAlign w:val="center"/>
          </w:tcPr>
          <w:p w:rsidR="003E3865" w:rsidRDefault="006C765B">
            <w:pPr>
              <w:jc w:val="center"/>
            </w:pPr>
            <w:r>
              <w:rPr>
                <w:color w:val="000000"/>
                <w:kern w:val="0"/>
                <w:sz w:val="24"/>
                <w:szCs w:val="24"/>
              </w:rPr>
              <w:t>143503</w:t>
            </w:r>
          </w:p>
        </w:tc>
        <w:tc>
          <w:tcPr>
            <w:tcW w:w="1275" w:type="dxa"/>
            <w:vAlign w:val="center"/>
          </w:tcPr>
          <w:p w:rsidR="003E3865" w:rsidRDefault="006C765B">
            <w:pPr>
              <w:jc w:val="center"/>
            </w:pPr>
            <w:r>
              <w:rPr>
                <w:color w:val="000000"/>
                <w:kern w:val="0"/>
                <w:sz w:val="24"/>
                <w:szCs w:val="24"/>
              </w:rPr>
              <w:t>18</w:t>
            </w:r>
            <w:r>
              <w:rPr>
                <w:color w:val="000000"/>
                <w:kern w:val="0"/>
                <w:sz w:val="24"/>
                <w:szCs w:val="24"/>
              </w:rPr>
              <w:t>招金</w:t>
            </w:r>
            <w:r>
              <w:rPr>
                <w:color w:val="000000"/>
                <w:kern w:val="0"/>
                <w:sz w:val="24"/>
                <w:szCs w:val="24"/>
              </w:rPr>
              <w:t>01</w:t>
            </w:r>
          </w:p>
        </w:tc>
        <w:tc>
          <w:tcPr>
            <w:tcW w:w="1560" w:type="dxa"/>
            <w:vAlign w:val="center"/>
          </w:tcPr>
          <w:p w:rsidR="003E3865" w:rsidRDefault="006C765B">
            <w:pPr>
              <w:jc w:val="right"/>
            </w:pPr>
            <w:r>
              <w:rPr>
                <w:color w:val="000000"/>
                <w:kern w:val="0"/>
                <w:sz w:val="24"/>
                <w:szCs w:val="24"/>
              </w:rPr>
              <w:t>600,000</w:t>
            </w:r>
          </w:p>
        </w:tc>
        <w:tc>
          <w:tcPr>
            <w:tcW w:w="1984" w:type="dxa"/>
            <w:vAlign w:val="center"/>
          </w:tcPr>
          <w:p w:rsidR="003E3865" w:rsidRDefault="006C765B">
            <w:pPr>
              <w:jc w:val="right"/>
            </w:pPr>
            <w:r>
              <w:rPr>
                <w:color w:val="000000"/>
                <w:kern w:val="0"/>
                <w:sz w:val="24"/>
                <w:szCs w:val="24"/>
              </w:rPr>
              <w:t>61,698,000.00</w:t>
            </w:r>
          </w:p>
        </w:tc>
        <w:tc>
          <w:tcPr>
            <w:tcW w:w="1474" w:type="dxa"/>
            <w:vAlign w:val="center"/>
          </w:tcPr>
          <w:p w:rsidR="003E3865" w:rsidRDefault="006C765B">
            <w:pPr>
              <w:jc w:val="right"/>
            </w:pPr>
            <w:r>
              <w:rPr>
                <w:color w:val="000000"/>
                <w:kern w:val="0"/>
                <w:sz w:val="24"/>
                <w:szCs w:val="24"/>
              </w:rPr>
              <w:t>4.03</w:t>
            </w:r>
          </w:p>
        </w:tc>
      </w:tr>
      <w:tr w:rsidR="003E3865">
        <w:tc>
          <w:tcPr>
            <w:tcW w:w="959" w:type="dxa"/>
            <w:vAlign w:val="center"/>
          </w:tcPr>
          <w:p w:rsidR="003E3865" w:rsidRDefault="006C765B">
            <w:pPr>
              <w:jc w:val="center"/>
            </w:pPr>
            <w:r>
              <w:rPr>
                <w:color w:val="000000"/>
                <w:kern w:val="0"/>
                <w:sz w:val="24"/>
                <w:szCs w:val="24"/>
              </w:rPr>
              <w:t>5</w:t>
            </w:r>
          </w:p>
        </w:tc>
        <w:tc>
          <w:tcPr>
            <w:tcW w:w="1276" w:type="dxa"/>
            <w:vAlign w:val="center"/>
          </w:tcPr>
          <w:p w:rsidR="003E3865" w:rsidRDefault="006C765B">
            <w:pPr>
              <w:jc w:val="center"/>
            </w:pPr>
            <w:r>
              <w:rPr>
                <w:color w:val="000000"/>
                <w:kern w:val="0"/>
                <w:sz w:val="24"/>
                <w:szCs w:val="24"/>
              </w:rPr>
              <w:t>143213</w:t>
            </w:r>
          </w:p>
        </w:tc>
        <w:tc>
          <w:tcPr>
            <w:tcW w:w="1275" w:type="dxa"/>
            <w:vAlign w:val="center"/>
          </w:tcPr>
          <w:p w:rsidR="003E3865" w:rsidRDefault="006C765B">
            <w:pPr>
              <w:jc w:val="center"/>
            </w:pPr>
            <w:r>
              <w:rPr>
                <w:color w:val="000000"/>
                <w:kern w:val="0"/>
                <w:sz w:val="24"/>
                <w:szCs w:val="24"/>
              </w:rPr>
              <w:t>17</w:t>
            </w:r>
            <w:r>
              <w:rPr>
                <w:color w:val="000000"/>
                <w:kern w:val="0"/>
                <w:sz w:val="24"/>
                <w:szCs w:val="24"/>
              </w:rPr>
              <w:t>豫高速</w:t>
            </w:r>
          </w:p>
        </w:tc>
        <w:tc>
          <w:tcPr>
            <w:tcW w:w="1560" w:type="dxa"/>
            <w:vAlign w:val="center"/>
          </w:tcPr>
          <w:p w:rsidR="003E3865" w:rsidRDefault="006C765B">
            <w:pPr>
              <w:jc w:val="right"/>
            </w:pPr>
            <w:r>
              <w:rPr>
                <w:color w:val="000000"/>
                <w:kern w:val="0"/>
                <w:sz w:val="24"/>
                <w:szCs w:val="24"/>
              </w:rPr>
              <w:t>600,000</w:t>
            </w:r>
          </w:p>
        </w:tc>
        <w:tc>
          <w:tcPr>
            <w:tcW w:w="1984" w:type="dxa"/>
            <w:vAlign w:val="center"/>
          </w:tcPr>
          <w:p w:rsidR="003E3865" w:rsidRDefault="006C765B">
            <w:pPr>
              <w:jc w:val="right"/>
            </w:pPr>
            <w:r>
              <w:rPr>
                <w:color w:val="000000"/>
                <w:kern w:val="0"/>
                <w:sz w:val="24"/>
                <w:szCs w:val="24"/>
              </w:rPr>
              <w:t>61,488,000.00</w:t>
            </w:r>
          </w:p>
        </w:tc>
        <w:tc>
          <w:tcPr>
            <w:tcW w:w="1474" w:type="dxa"/>
            <w:vAlign w:val="center"/>
          </w:tcPr>
          <w:p w:rsidR="003E3865" w:rsidRDefault="006C765B">
            <w:pPr>
              <w:jc w:val="right"/>
            </w:pPr>
            <w:r>
              <w:rPr>
                <w:color w:val="000000"/>
                <w:kern w:val="0"/>
                <w:sz w:val="24"/>
                <w:szCs w:val="24"/>
              </w:rPr>
              <w:t>4.01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221,893.72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22,945,647.70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23,167,541.42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509,999,000.00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989,118,694.36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1,499,117,694.36</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0.67</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Pr>
          <w:rFonts w:ascii="宋体" w:hAnsi="宋体" w:hint="eastAsia"/>
          <w:color w:val="000000"/>
          <w:kern w:val="0"/>
          <w:sz w:val="24"/>
          <w:szCs w:val="24"/>
        </w:rPr>
        <w:t>报告期末</w:t>
      </w:r>
      <w:r w:rsidRPr="00264E55">
        <w:rPr>
          <w:rFonts w:ascii="宋体" w:hAnsi="宋体"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43"/>
        <w:gridCol w:w="1276"/>
        <w:gridCol w:w="1984"/>
        <w:gridCol w:w="1276"/>
        <w:gridCol w:w="941"/>
      </w:tblGrid>
      <w:tr w:rsidR="00750D48" w:rsidRPr="00264E55" w:rsidTr="00507F99">
        <w:trPr>
          <w:trHeight w:val="543"/>
          <w:jc w:val="center"/>
        </w:trPr>
        <w:tc>
          <w:tcPr>
            <w:tcW w:w="1560" w:type="dxa"/>
            <w:vAlign w:val="center"/>
          </w:tcPr>
          <w:p w:rsidR="00750D48" w:rsidRPr="00B227EA" w:rsidRDefault="00750D48" w:rsidP="00597E49">
            <w:pPr>
              <w:widowControl/>
              <w:jc w:val="left"/>
              <w:rPr>
                <w:color w:val="000000"/>
                <w:sz w:val="24"/>
                <w:szCs w:val="24"/>
              </w:rPr>
            </w:pPr>
            <w:r w:rsidRPr="00B227EA">
              <w:rPr>
                <w:color w:val="000000"/>
                <w:sz w:val="24"/>
                <w:szCs w:val="24"/>
              </w:rPr>
              <w:t>项目</w:t>
            </w:r>
          </w:p>
        </w:tc>
        <w:tc>
          <w:tcPr>
            <w:tcW w:w="1843"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持有份额占基金总份额比例</w:t>
            </w:r>
          </w:p>
        </w:tc>
        <w:tc>
          <w:tcPr>
            <w:tcW w:w="1984"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发起份额占基金总份额比例</w:t>
            </w:r>
          </w:p>
        </w:tc>
        <w:tc>
          <w:tcPr>
            <w:tcW w:w="941" w:type="dxa"/>
          </w:tcPr>
          <w:p w:rsidR="00750D48" w:rsidRPr="00B227EA" w:rsidRDefault="00750D48" w:rsidP="00597E49">
            <w:pPr>
              <w:widowControl/>
              <w:jc w:val="left"/>
              <w:rPr>
                <w:color w:val="000000"/>
                <w:sz w:val="24"/>
                <w:szCs w:val="24"/>
              </w:rPr>
            </w:pPr>
            <w:r w:rsidRPr="00B227EA">
              <w:rPr>
                <w:color w:val="000000"/>
                <w:sz w:val="24"/>
                <w:szCs w:val="24"/>
              </w:rPr>
              <w:t>发起份额承诺持有期限</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基金管理人固有资金</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0.6671%</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0.6671%</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不少于</w:t>
            </w:r>
            <w:r w:rsidRPr="00B227EA">
              <w:rPr>
                <w:kern w:val="0"/>
                <w:sz w:val="24"/>
                <w:szCs w:val="24"/>
              </w:rPr>
              <w:t>3</w:t>
            </w:r>
            <w:r w:rsidRPr="00B227EA">
              <w:rPr>
                <w:kern w:val="0"/>
                <w:sz w:val="24"/>
                <w:szCs w:val="24"/>
              </w:rPr>
              <w:t>年</w:t>
            </w:r>
          </w:p>
        </w:tc>
      </w:tr>
      <w:tr w:rsidR="00750D48" w:rsidRPr="00264E55" w:rsidTr="00507F99">
        <w:trPr>
          <w:trHeight w:val="790"/>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基金管理人高级管理人员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基金经理等人员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基金管理人股东</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其他</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合计</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0.6671%</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0.6671%</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bl>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9</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3E3865">
        <w:trPr>
          <w:jc w:val="center"/>
        </w:trPr>
        <w:tc>
          <w:tcPr>
            <w:tcW w:w="1798" w:type="dxa"/>
            <w:vMerge w:val="restart"/>
            <w:vAlign w:val="center"/>
          </w:tcPr>
          <w:p w:rsidR="003E3865" w:rsidRDefault="006C765B">
            <w:r>
              <w:rPr>
                <w:rFonts w:eastAsiaTheme="minorEastAsia"/>
                <w:bCs/>
                <w:color w:val="000000" w:themeColor="text1"/>
                <w:sz w:val="24"/>
                <w:szCs w:val="24"/>
              </w:rPr>
              <w:t>机构</w:t>
            </w:r>
          </w:p>
        </w:tc>
        <w:tc>
          <w:tcPr>
            <w:tcW w:w="709" w:type="dxa"/>
            <w:vAlign w:val="center"/>
          </w:tcPr>
          <w:p w:rsidR="003E3865" w:rsidRDefault="006C765B">
            <w:pPr>
              <w:jc w:val="center"/>
            </w:pPr>
            <w:r>
              <w:rPr>
                <w:sz w:val="24"/>
                <w:szCs w:val="24"/>
              </w:rPr>
              <w:t>1</w:t>
            </w:r>
          </w:p>
        </w:tc>
        <w:tc>
          <w:tcPr>
            <w:tcW w:w="1985" w:type="dxa"/>
            <w:vAlign w:val="center"/>
          </w:tcPr>
          <w:p w:rsidR="003E3865" w:rsidRDefault="006C765B">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3E3865" w:rsidRDefault="006C765B">
            <w:pPr>
              <w:jc w:val="center"/>
            </w:pPr>
            <w:r>
              <w:rPr>
                <w:sz w:val="24"/>
                <w:szCs w:val="24"/>
              </w:rPr>
              <w:t>499,999,000.00</w:t>
            </w:r>
          </w:p>
        </w:tc>
        <w:tc>
          <w:tcPr>
            <w:tcW w:w="992" w:type="dxa"/>
            <w:vAlign w:val="center"/>
          </w:tcPr>
          <w:p w:rsidR="003E3865" w:rsidRDefault="006C765B">
            <w:pPr>
              <w:jc w:val="center"/>
            </w:pPr>
            <w:r>
              <w:rPr>
                <w:sz w:val="24"/>
                <w:szCs w:val="24"/>
              </w:rPr>
              <w:t>989,118,694.36</w:t>
            </w:r>
          </w:p>
        </w:tc>
        <w:tc>
          <w:tcPr>
            <w:tcW w:w="1134" w:type="dxa"/>
            <w:vAlign w:val="center"/>
          </w:tcPr>
          <w:p w:rsidR="003E3865" w:rsidRDefault="006C765B">
            <w:pPr>
              <w:jc w:val="center"/>
            </w:pPr>
            <w:r>
              <w:rPr>
                <w:sz w:val="24"/>
                <w:szCs w:val="24"/>
              </w:rPr>
              <w:t>-</w:t>
            </w:r>
          </w:p>
        </w:tc>
        <w:tc>
          <w:tcPr>
            <w:tcW w:w="1037" w:type="dxa"/>
            <w:vAlign w:val="center"/>
          </w:tcPr>
          <w:p w:rsidR="003E3865" w:rsidRDefault="006C765B">
            <w:pPr>
              <w:jc w:val="center"/>
            </w:pPr>
            <w:r>
              <w:rPr>
                <w:sz w:val="24"/>
                <w:szCs w:val="24"/>
              </w:rPr>
              <w:t>1,489,117,694.36</w:t>
            </w:r>
          </w:p>
        </w:tc>
        <w:tc>
          <w:tcPr>
            <w:tcW w:w="851" w:type="dxa"/>
            <w:vAlign w:val="center"/>
          </w:tcPr>
          <w:p w:rsidR="003E3865" w:rsidRDefault="006C765B">
            <w:pPr>
              <w:jc w:val="center"/>
            </w:pPr>
            <w:r>
              <w:rPr>
                <w:sz w:val="24"/>
                <w:szCs w:val="24"/>
              </w:rPr>
              <w:t>99.33%</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本基金基金合同生效满三年后继续存续时，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9.2 影响投资者决策的其他重要信息</w:t>
      </w:r>
    </w:p>
    <w:p w:rsidR="003E3865" w:rsidRDefault="006C765B">
      <w:pPr>
        <w:spacing w:line="360" w:lineRule="auto"/>
        <w:ind w:firstLineChars="200" w:firstLine="480"/>
        <w:rPr>
          <w:color w:val="000000"/>
          <w:sz w:val="24"/>
          <w:szCs w:val="24"/>
        </w:rPr>
      </w:pPr>
      <w:r>
        <w:rPr>
          <w:rFonts w:eastAsiaTheme="minorEastAsia"/>
          <w:color w:val="000000" w:themeColor="text1"/>
          <w:sz w:val="24"/>
          <w:szCs w:val="24"/>
        </w:rPr>
        <w:t>1</w:t>
      </w:r>
      <w:r>
        <w:rPr>
          <w:rFonts w:eastAsiaTheme="minorEastAsia"/>
          <w:color w:val="000000" w:themeColor="text1"/>
          <w:sz w:val="24"/>
          <w:szCs w:val="24"/>
        </w:rPr>
        <w:t>、定期开放运作的风险</w:t>
      </w:r>
    </w:p>
    <w:p w:rsidR="003E3865" w:rsidRDefault="006C765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以定期开放方式运作且不上市交易，投资者仅可在开放运作期申赎基金份额，在封闭运作期内无法申购赎回。若投资者在开放运作期未赎回基金份额，则需继续持有至下一封闭运作期结束才能赎回，投资者在封闭运作期内存在无法赎回基金份额的风险。</w:t>
      </w:r>
    </w:p>
    <w:p w:rsidR="003E3865" w:rsidRDefault="006C765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）基金合同生效后的首个运作期为封闭运作期，自基金合同生效日至基金管理人规定的时间，首个封闭运作期可能少于或者超过</w:t>
      </w:r>
      <w:r>
        <w:rPr>
          <w:rFonts w:eastAsiaTheme="minorEastAsia"/>
          <w:color w:val="000000" w:themeColor="text1"/>
          <w:sz w:val="24"/>
          <w:szCs w:val="24"/>
        </w:rPr>
        <w:t xml:space="preserve"> 3 </w:t>
      </w:r>
      <w:r>
        <w:rPr>
          <w:rFonts w:eastAsiaTheme="minorEastAsia"/>
          <w:color w:val="000000" w:themeColor="text1"/>
          <w:sz w:val="24"/>
          <w:szCs w:val="24"/>
        </w:rPr>
        <w:t>个月，投资者应仔细阅读相关法律文件及公告，并及时行使相关权利。</w:t>
      </w:r>
    </w:p>
    <w:p w:rsidR="003E3865" w:rsidRDefault="006C765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3</w:t>
      </w:r>
      <w:r>
        <w:rPr>
          <w:rFonts w:eastAsiaTheme="minorEastAsia"/>
          <w:color w:val="000000" w:themeColor="text1"/>
          <w:sz w:val="24"/>
          <w:szCs w:val="24"/>
        </w:rPr>
        <w:t>）除首个运作期封闭运作外，本基金的运作期包含</w:t>
      </w:r>
      <w:r>
        <w:rPr>
          <w:rFonts w:eastAsiaTheme="minorEastAsia"/>
          <w:color w:val="000000" w:themeColor="text1"/>
          <w:sz w:val="24"/>
          <w:szCs w:val="24"/>
        </w:rPr>
        <w:t>“</w:t>
      </w:r>
      <w:r>
        <w:rPr>
          <w:rFonts w:eastAsiaTheme="minorEastAsia"/>
          <w:color w:val="000000" w:themeColor="text1"/>
          <w:sz w:val="24"/>
          <w:szCs w:val="24"/>
        </w:rPr>
        <w:t>封闭运作期</w:t>
      </w:r>
      <w:r>
        <w:rPr>
          <w:rFonts w:eastAsiaTheme="minorEastAsia"/>
          <w:color w:val="000000" w:themeColor="text1"/>
          <w:sz w:val="24"/>
          <w:szCs w:val="24"/>
        </w:rPr>
        <w:t>”</w:t>
      </w:r>
      <w:r>
        <w:rPr>
          <w:rFonts w:eastAsiaTheme="minorEastAsia"/>
          <w:color w:val="000000" w:themeColor="text1"/>
          <w:sz w:val="24"/>
          <w:szCs w:val="24"/>
        </w:rPr>
        <w:t>和</w:t>
      </w:r>
      <w:r>
        <w:rPr>
          <w:rFonts w:eastAsiaTheme="minorEastAsia"/>
          <w:color w:val="000000" w:themeColor="text1"/>
          <w:sz w:val="24"/>
          <w:szCs w:val="24"/>
        </w:rPr>
        <w:t>“</w:t>
      </w:r>
      <w:r>
        <w:rPr>
          <w:rFonts w:eastAsiaTheme="minorEastAsia"/>
          <w:color w:val="000000" w:themeColor="text1"/>
          <w:sz w:val="24"/>
          <w:szCs w:val="24"/>
        </w:rPr>
        <w:t>开放运作期</w:t>
      </w:r>
      <w:r>
        <w:rPr>
          <w:rFonts w:eastAsiaTheme="minorEastAsia"/>
          <w:color w:val="000000" w:themeColor="text1"/>
          <w:sz w:val="24"/>
          <w:szCs w:val="24"/>
        </w:rPr>
        <w:t>”</w:t>
      </w:r>
      <w:r>
        <w:rPr>
          <w:rFonts w:eastAsiaTheme="minorEastAsia"/>
          <w:color w:val="000000" w:themeColor="text1"/>
          <w:sz w:val="24"/>
          <w:szCs w:val="24"/>
        </w:rPr>
        <w:t>，运作期期限</w:t>
      </w:r>
      <w:r>
        <w:rPr>
          <w:rFonts w:eastAsiaTheme="minorEastAsia"/>
          <w:color w:val="000000" w:themeColor="text1"/>
          <w:sz w:val="24"/>
          <w:szCs w:val="24"/>
        </w:rPr>
        <w:t xml:space="preserve"> 3 </w:t>
      </w:r>
      <w:r>
        <w:rPr>
          <w:rFonts w:eastAsiaTheme="minorEastAsia"/>
          <w:color w:val="000000" w:themeColor="text1"/>
          <w:sz w:val="24"/>
          <w:szCs w:val="24"/>
        </w:rPr>
        <w:t>个月，基金管理人在每个封闭运作期结束前公布开放运作期和下一封闭运作期的具体时间安排，由于市场环境等因素的影响，本基金每次开放运作期和封闭运作期的时间及长度不完全一样，投资者应关注相关公告并及时行使权利，否则会面临无法申购</w:t>
      </w:r>
      <w:r>
        <w:rPr>
          <w:rFonts w:eastAsiaTheme="minorEastAsia"/>
          <w:color w:val="000000" w:themeColor="text1"/>
          <w:sz w:val="24"/>
          <w:szCs w:val="24"/>
        </w:rPr>
        <w:t>/</w:t>
      </w:r>
      <w:r>
        <w:rPr>
          <w:rFonts w:eastAsiaTheme="minorEastAsia"/>
          <w:color w:val="000000" w:themeColor="text1"/>
          <w:sz w:val="24"/>
          <w:szCs w:val="24"/>
        </w:rPr>
        <w:t>赎回基金</w:t>
      </w:r>
      <w:r>
        <w:rPr>
          <w:rFonts w:eastAsiaTheme="minorEastAsia"/>
          <w:color w:val="000000" w:themeColor="text1"/>
          <w:sz w:val="24"/>
          <w:szCs w:val="24"/>
        </w:rPr>
        <w:t>份额的风险。</w:t>
      </w:r>
    </w:p>
    <w:p w:rsidR="003E3865" w:rsidRDefault="006C765B">
      <w:pPr>
        <w:spacing w:line="360" w:lineRule="auto"/>
        <w:ind w:firstLineChars="200" w:firstLine="480"/>
        <w:rPr>
          <w:color w:val="000000"/>
          <w:sz w:val="24"/>
          <w:szCs w:val="24"/>
        </w:rPr>
      </w:pPr>
      <w:r>
        <w:rPr>
          <w:rFonts w:eastAsiaTheme="minorEastAsia"/>
          <w:color w:val="000000" w:themeColor="text1"/>
          <w:sz w:val="24"/>
          <w:szCs w:val="24"/>
        </w:rPr>
        <w:t>2</w:t>
      </w:r>
      <w:r>
        <w:rPr>
          <w:rFonts w:eastAsiaTheme="minorEastAsia"/>
          <w:color w:val="000000" w:themeColor="text1"/>
          <w:sz w:val="24"/>
          <w:szCs w:val="24"/>
        </w:rPr>
        <w:t>、单一投资者或者构成一致行动人的多个投资者持有基金份额可达到或者超过</w:t>
      </w:r>
      <w:r>
        <w:rPr>
          <w:rFonts w:eastAsiaTheme="minorEastAsia"/>
          <w:color w:val="000000" w:themeColor="text1"/>
          <w:sz w:val="24"/>
          <w:szCs w:val="24"/>
        </w:rPr>
        <w:t xml:space="preserve"> 50%</w:t>
      </w:r>
      <w:r>
        <w:rPr>
          <w:rFonts w:eastAsiaTheme="minorEastAsia"/>
          <w:color w:val="000000" w:themeColor="text1"/>
          <w:sz w:val="24"/>
          <w:szCs w:val="24"/>
        </w:rPr>
        <w:t>的风险</w:t>
      </w:r>
    </w:p>
    <w:p w:rsidR="003E3865" w:rsidRDefault="006C765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）本基金单一投资者或者构成一致行动人的多个投资者持有基金份额可达到或者超过</w:t>
      </w:r>
      <w:r>
        <w:rPr>
          <w:rFonts w:eastAsiaTheme="minorEastAsia"/>
          <w:color w:val="000000" w:themeColor="text1"/>
          <w:sz w:val="24"/>
          <w:szCs w:val="24"/>
        </w:rPr>
        <w:t xml:space="preserve"> 50%</w:t>
      </w:r>
      <w:r>
        <w:rPr>
          <w:rFonts w:eastAsiaTheme="minorEastAsia"/>
          <w:color w:val="000000" w:themeColor="text1"/>
          <w:sz w:val="24"/>
          <w:szCs w:val="24"/>
        </w:rPr>
        <w:t>，单一投资者或者构成一致行动人的多个投资者大额赎回时，可能会对本基金资产运作及净值表现产生较大影响。</w:t>
      </w:r>
    </w:p>
    <w:p w:rsidR="003E3865" w:rsidRDefault="006C765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）巨额赎回的风险</w:t>
      </w:r>
    </w:p>
    <w:p w:rsidR="003E3865" w:rsidRDefault="006C765B">
      <w:pPr>
        <w:spacing w:line="360" w:lineRule="auto"/>
        <w:ind w:firstLineChars="200" w:firstLine="480"/>
        <w:rPr>
          <w:color w:val="000000"/>
          <w:sz w:val="24"/>
          <w:szCs w:val="24"/>
        </w:rPr>
      </w:pPr>
      <w:r>
        <w:rPr>
          <w:rFonts w:eastAsiaTheme="minorEastAsia"/>
          <w:color w:val="000000" w:themeColor="text1"/>
          <w:sz w:val="24"/>
          <w:szCs w:val="24"/>
        </w:rPr>
        <w:t>相对于其他基金，本基金更可能因开放期内单一投资者或者构成一致行动人的多个投资者集中大额赎回发生巨额赎回。当发生巨额赎回时，基金管理人可能根据基金当时的资产组合状况决定延缓支付赎回款，投资者面临赎回款被延</w:t>
      </w:r>
      <w:r>
        <w:rPr>
          <w:rFonts w:eastAsiaTheme="minorEastAsia"/>
          <w:color w:val="000000" w:themeColor="text1"/>
          <w:sz w:val="24"/>
          <w:szCs w:val="24"/>
        </w:rPr>
        <w:t>缓支付的风险。</w:t>
      </w:r>
    </w:p>
    <w:p w:rsidR="003E3865" w:rsidRDefault="006C765B">
      <w:pPr>
        <w:spacing w:line="360" w:lineRule="auto"/>
        <w:ind w:firstLineChars="200" w:firstLine="480"/>
        <w:rPr>
          <w:color w:val="000000"/>
          <w:sz w:val="24"/>
          <w:szCs w:val="24"/>
        </w:rPr>
      </w:pPr>
      <w:r>
        <w:rPr>
          <w:rFonts w:eastAsiaTheme="minorEastAsia"/>
          <w:color w:val="000000" w:themeColor="text1"/>
          <w:sz w:val="24"/>
          <w:szCs w:val="24"/>
        </w:rPr>
        <w:t>3</w:t>
      </w:r>
      <w:r>
        <w:rPr>
          <w:rFonts w:eastAsiaTheme="minorEastAsia"/>
          <w:color w:val="000000" w:themeColor="text1"/>
          <w:sz w:val="24"/>
          <w:szCs w:val="24"/>
        </w:rPr>
        <w:t>、转换运作方式、与其他基金合并或者终止基金合同的风险</w:t>
      </w:r>
    </w:p>
    <w:p w:rsidR="003E3865" w:rsidRDefault="006C765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）本基金的销售对象主要为机构投资者，不向个人投资者公开发售，基金持续营销及募集规模可能受到影响，若基金合同生效之日起三年后的对应日基金资产净值低于</w:t>
      </w:r>
      <w:r>
        <w:rPr>
          <w:rFonts w:eastAsiaTheme="minorEastAsia"/>
          <w:color w:val="000000" w:themeColor="text1"/>
          <w:sz w:val="24"/>
          <w:szCs w:val="24"/>
        </w:rPr>
        <w:t xml:space="preserve"> 2 </w:t>
      </w:r>
      <w:r>
        <w:rPr>
          <w:rFonts w:eastAsiaTheme="minorEastAsia"/>
          <w:color w:val="000000" w:themeColor="text1"/>
          <w:sz w:val="24"/>
          <w:szCs w:val="24"/>
        </w:rPr>
        <w:t>亿元，基金合同自动终止且不得通过召开基金份额持有人大会延续，投资者将面临基金合同终止的风险。</w:t>
      </w:r>
    </w:p>
    <w:p w:rsidR="00750D48" w:rsidRPr="004B7A92" w:rsidRDefault="001F5F5D" w:rsidP="001F5F5D">
      <w:pPr>
        <w:spacing w:line="360" w:lineRule="auto"/>
        <w:ind w:firstLineChars="200" w:firstLine="480"/>
        <w:rPr>
          <w:color w:val="000000"/>
          <w:sz w:val="24"/>
          <w:szCs w:val="24"/>
        </w:rPr>
      </w:pPr>
      <w:r w:rsidRPr="00FC0759">
        <w:rPr>
          <w:rFonts w:eastAsiaTheme="minorEastAsia"/>
          <w:color w:val="000000" w:themeColor="text1"/>
          <w:sz w:val="24"/>
          <w:szCs w:val="24"/>
        </w:rPr>
        <w:t>（</w:t>
      </w:r>
      <w:r w:rsidRPr="00FC0759">
        <w:rPr>
          <w:rFonts w:eastAsiaTheme="minorEastAsia"/>
          <w:color w:val="000000" w:themeColor="text1"/>
          <w:sz w:val="24"/>
          <w:szCs w:val="24"/>
        </w:rPr>
        <w:t>2</w:t>
      </w:r>
      <w:r w:rsidRPr="00FC0759">
        <w:rPr>
          <w:rFonts w:eastAsiaTheme="minorEastAsia"/>
          <w:color w:val="000000" w:themeColor="text1"/>
          <w:sz w:val="24"/>
          <w:szCs w:val="24"/>
        </w:rPr>
        <w:t>）本基金基金合同生效满三年后继续存续的，若连续</w:t>
      </w:r>
      <w:r w:rsidRPr="00FC0759">
        <w:rPr>
          <w:rFonts w:eastAsiaTheme="minorEastAsia"/>
          <w:color w:val="000000" w:themeColor="text1"/>
          <w:sz w:val="24"/>
          <w:szCs w:val="24"/>
        </w:rPr>
        <w:t xml:space="preserve"> 60 </w:t>
      </w:r>
      <w:r w:rsidRPr="00FC0759">
        <w:rPr>
          <w:rFonts w:eastAsiaTheme="minorEastAsia"/>
          <w:color w:val="000000" w:themeColor="text1"/>
          <w:sz w:val="24"/>
          <w:szCs w:val="24"/>
        </w:rPr>
        <w:t>个工作日出现基金份额持有人数量不满二百人或者基金资产净值低于</w:t>
      </w:r>
      <w:r w:rsidRPr="00FC0759">
        <w:rPr>
          <w:rFonts w:eastAsiaTheme="minorEastAsia"/>
          <w:color w:val="000000" w:themeColor="text1"/>
          <w:sz w:val="24"/>
          <w:szCs w:val="24"/>
        </w:rPr>
        <w:t xml:space="preserve"> 5000 </w:t>
      </w:r>
      <w:r w:rsidRPr="00FC0759">
        <w:rPr>
          <w:rFonts w:eastAsiaTheme="minorEastAsia"/>
          <w:color w:val="000000" w:themeColor="text1"/>
          <w:sz w:val="24"/>
          <w:szCs w:val="24"/>
        </w:rPr>
        <w:t>万元情形，基金管理人应当向中国证监会报告并提出解决方案，如转换运作方式、与其他基金合并等，并召开基金份额持有人大会进行表决。投资者面临转换基金运作方式、与其他基金合并的风险。《基金合同》生效满三年后的存续期内，若连续六十个工作日基金资产净值低于五千万元，经与基金托管人协商一致，基金管理人有权终止基金合同。若管理人与托管人根据实际情况决定终止基金合同，本基金面临终止清盘的风险。</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10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10.1 </w:t>
      </w:r>
      <w:r w:rsidRPr="00264E55">
        <w:rPr>
          <w:rFonts w:ascii="宋体" w:hAnsi="宋体" w:hint="eastAsia"/>
          <w:b/>
          <w:bCs/>
          <w:color w:val="000000"/>
          <w:kern w:val="0"/>
          <w:sz w:val="24"/>
          <w:szCs w:val="24"/>
        </w:rPr>
        <w:t>备查文件目录</w:t>
      </w:r>
    </w:p>
    <w:p w:rsidR="003E3865" w:rsidRDefault="006C765B">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中国证监会准予易方达恒利</w:t>
      </w:r>
      <w:r>
        <w:rPr>
          <w:color w:val="000000"/>
          <w:sz w:val="24"/>
          <w:szCs w:val="24"/>
        </w:rPr>
        <w:t>3</w:t>
      </w:r>
      <w:r>
        <w:rPr>
          <w:color w:val="000000"/>
          <w:sz w:val="24"/>
          <w:szCs w:val="24"/>
        </w:rPr>
        <w:t>个月定期开放债券型发起式证券投资基金注册的文件；</w:t>
      </w:r>
    </w:p>
    <w:p w:rsidR="003E3865" w:rsidRDefault="006C765B">
      <w:pPr>
        <w:spacing w:line="360" w:lineRule="auto"/>
        <w:ind w:firstLineChars="200" w:firstLine="480"/>
        <w:rPr>
          <w:color w:val="000000"/>
          <w:sz w:val="24"/>
          <w:szCs w:val="24"/>
        </w:rPr>
      </w:pPr>
      <w:r>
        <w:rPr>
          <w:color w:val="000000"/>
          <w:sz w:val="24"/>
          <w:szCs w:val="24"/>
        </w:rPr>
        <w:t>2.</w:t>
      </w:r>
      <w:r>
        <w:rPr>
          <w:color w:val="000000"/>
          <w:sz w:val="24"/>
          <w:szCs w:val="24"/>
        </w:rPr>
        <w:t>《易方达恒利</w:t>
      </w:r>
      <w:r>
        <w:rPr>
          <w:color w:val="000000"/>
          <w:sz w:val="24"/>
          <w:szCs w:val="24"/>
        </w:rPr>
        <w:t>3</w:t>
      </w:r>
      <w:r>
        <w:rPr>
          <w:color w:val="000000"/>
          <w:sz w:val="24"/>
          <w:szCs w:val="24"/>
        </w:rPr>
        <w:t>个月定期开放债券型发起式证券投资基金基金合同》；</w:t>
      </w:r>
    </w:p>
    <w:p w:rsidR="003E3865" w:rsidRDefault="006C765B">
      <w:pPr>
        <w:spacing w:line="360" w:lineRule="auto"/>
        <w:ind w:firstLineChars="200" w:firstLine="480"/>
        <w:rPr>
          <w:color w:val="000000"/>
          <w:sz w:val="24"/>
          <w:szCs w:val="24"/>
        </w:rPr>
      </w:pPr>
      <w:r>
        <w:rPr>
          <w:color w:val="000000"/>
          <w:sz w:val="24"/>
          <w:szCs w:val="24"/>
        </w:rPr>
        <w:t>3.</w:t>
      </w:r>
      <w:r>
        <w:rPr>
          <w:color w:val="000000"/>
          <w:sz w:val="24"/>
          <w:szCs w:val="24"/>
        </w:rPr>
        <w:t>《易方达恒利</w:t>
      </w:r>
      <w:r>
        <w:rPr>
          <w:color w:val="000000"/>
          <w:sz w:val="24"/>
          <w:szCs w:val="24"/>
        </w:rPr>
        <w:t>3</w:t>
      </w:r>
      <w:r>
        <w:rPr>
          <w:color w:val="000000"/>
          <w:sz w:val="24"/>
          <w:szCs w:val="24"/>
        </w:rPr>
        <w:t>个月定期开放债券型发起式证券投资基金托管协议》；</w:t>
      </w:r>
    </w:p>
    <w:p w:rsidR="003E3865" w:rsidRDefault="006C765B">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C765B">
      <w:rPr>
        <w:rStyle w:val="a7"/>
        <w:noProof/>
      </w:rPr>
      <w:t>1</w:t>
    </w:r>
    <w:r>
      <w:rPr>
        <w:rStyle w:val="a7"/>
      </w:rPr>
      <w:fldChar w:fldCharType="end"/>
    </w:r>
    <w:r>
      <w:rPr>
        <w:rStyle w:val="a7"/>
        <w:rFonts w:hint="eastAsia"/>
      </w:rPr>
      <w:t>页共</w:t>
    </w:r>
    <w:r w:rsidR="006C765B">
      <w:fldChar w:fldCharType="begin"/>
    </w:r>
    <w:r w:rsidR="006C765B">
      <w:instrText xml:space="preserve"> NUMPAGES  \* Arabic  \* MERGEFORMAT </w:instrText>
    </w:r>
    <w:r w:rsidR="006C765B">
      <w:fldChar w:fldCharType="separate"/>
    </w:r>
    <w:r w:rsidR="006C765B" w:rsidRPr="006C765B">
      <w:rPr>
        <w:rStyle w:val="a7"/>
        <w:noProof/>
      </w:rPr>
      <w:t>3</w:t>
    </w:r>
    <w:r w:rsidR="006C765B">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C765B">
      <w:rPr>
        <w:rStyle w:val="a7"/>
        <w:noProof/>
      </w:rPr>
      <w:t>15</w:t>
    </w:r>
    <w:r>
      <w:rPr>
        <w:rStyle w:val="a7"/>
      </w:rPr>
      <w:fldChar w:fldCharType="end"/>
    </w:r>
    <w:r>
      <w:rPr>
        <w:rStyle w:val="a7"/>
        <w:rFonts w:hint="eastAsia"/>
      </w:rPr>
      <w:t>页共</w:t>
    </w:r>
    <w:fldSimple w:instr=" NUMPAGES  \* Arabic  \* MERGEFORMAT ">
      <w:r w:rsidR="006C765B" w:rsidRPr="006C765B">
        <w:rPr>
          <w:rStyle w:val="a7"/>
          <w:noProof/>
        </w:rPr>
        <w:t>15</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易方达恒利</w:t>
    </w:r>
    <w:r w:rsidRPr="00093704">
      <w:t>3</w:t>
    </w:r>
    <w:r w:rsidRPr="00093704">
      <w:t>个月定期开放债券型发起式证券投资基金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3865"/>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65B"/>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4CD07-9A73-4503-90A8-DE140EC3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1285</Words>
  <Characters>7329</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