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易方达汇诚养老目标日期2038三年持有期混合型发起式基金中基金（FOF）</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中国邮政储蓄银行股份有限公司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565B7C" w:rsidRDefault="004578F5">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565B7C" w:rsidRDefault="004578F5">
      <w:pPr>
        <w:spacing w:line="360" w:lineRule="auto"/>
        <w:ind w:firstLineChars="200" w:firstLine="480"/>
        <w:rPr>
          <w:color w:val="000000"/>
          <w:sz w:val="24"/>
          <w:szCs w:val="24"/>
        </w:rPr>
      </w:pPr>
      <w:r>
        <w:rPr>
          <w:color w:val="000000"/>
          <w:sz w:val="24"/>
          <w:szCs w:val="24"/>
        </w:rPr>
        <w:t>基金托管人中国邮政储蓄银行股份有限公司根据本基金合同规定，于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565B7C" w:rsidRDefault="004578F5">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565B7C" w:rsidRDefault="004578F5">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565B7C" w:rsidRDefault="004578F5">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易方达汇诚养老</w:t>
            </w:r>
            <w:r w:rsidRPr="00232B03">
              <w:rPr>
                <w:color w:val="000000"/>
                <w:kern w:val="0"/>
                <w:sz w:val="24"/>
                <w:szCs w:val="24"/>
              </w:rPr>
              <w:t>2038</w:t>
            </w:r>
            <w:r w:rsidRPr="00232B03">
              <w:rPr>
                <w:color w:val="000000"/>
                <w:kern w:val="0"/>
                <w:sz w:val="24"/>
                <w:szCs w:val="24"/>
              </w:rPr>
              <w:t>三年持有混合发起式（</w:t>
            </w:r>
            <w:r w:rsidRPr="00232B03">
              <w:rPr>
                <w:color w:val="000000"/>
                <w:kern w:val="0"/>
                <w:sz w:val="24"/>
                <w:szCs w:val="24"/>
              </w:rPr>
              <w:t>FOF</w:t>
            </w:r>
            <w:r w:rsidRPr="00232B03">
              <w:rPr>
                <w:color w:val="000000"/>
                <w:kern w:val="0"/>
                <w:sz w:val="24"/>
                <w:szCs w:val="24"/>
              </w:rPr>
              <w:t>）</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006860</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006860</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2019</w:t>
            </w:r>
            <w:r w:rsidRPr="00232B03">
              <w:rPr>
                <w:color w:val="000000"/>
                <w:kern w:val="0"/>
                <w:sz w:val="24"/>
                <w:szCs w:val="24"/>
              </w:rPr>
              <w:t>年</w:t>
            </w:r>
            <w:r w:rsidRPr="00232B03">
              <w:rPr>
                <w:color w:val="000000"/>
                <w:kern w:val="0"/>
                <w:sz w:val="24"/>
                <w:szCs w:val="24"/>
              </w:rPr>
              <w:t>4</w:t>
            </w:r>
            <w:r w:rsidRPr="00232B03">
              <w:rPr>
                <w:color w:val="000000"/>
                <w:kern w:val="0"/>
                <w:sz w:val="24"/>
                <w:szCs w:val="24"/>
              </w:rPr>
              <w:t>月</w:t>
            </w:r>
            <w:r w:rsidRPr="00232B03">
              <w:rPr>
                <w:color w:val="000000"/>
                <w:kern w:val="0"/>
                <w:sz w:val="24"/>
                <w:szCs w:val="24"/>
              </w:rPr>
              <w:t>30</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10,502,415.43</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在投资管理过程中遵循各个阶段既定的投资比例，动态调整大类资产配置，控制基金下行风险，力争追求基金长期稳健增值。</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本基金属于目标日期策略基金，基金管理人根据设计的下滑曲线确定权益类资产与非权益类资产的配置比例，随着所设定目标日期的临近，本基金从整体趋势上将逐步降低权益类资产的配置比例，增</w:t>
            </w:r>
            <w:r w:rsidRPr="00232B03">
              <w:rPr>
                <w:color w:val="000000"/>
                <w:kern w:val="0"/>
                <w:sz w:val="24"/>
                <w:szCs w:val="24"/>
              </w:rPr>
              <w:lastRenderedPageBreak/>
              <w:t>加非权益类资产的配置比例。本基金的主要投资策略包括资产配置策略、基金筛选策略、基金配置策略。资产配置策略在根据下滑曲线确定的投资比例范围之内通过战略资产配置与战术资产配置确定各个大类资产的配置比例。本基金根据下滑曲线在不同时期均设定了权益类资产与非权益类资产投资比例范围。本基金的战略资产配置策略即在满足各个时间段约定的权益类资产与非权益类资产投资比例限制的前提下，确定股票、债券、商品、货币等各类资产的资产配置比例。战术资产配置是根据经济状况与市场环境对资产配置进行动态调整，进一步优化配置、增强收益的方法。本基金使用的战术资产配置策略主要基于对宏观经济面、政策面、基本面、技术面、估值面的深入分析，形成战术配置观点。通过战略资产配置策略与战术资产配置策略，本基金将最终形成目标资产配置比例，并以此指导后续基金的配置。基金筛选策略通过全方位的定量和定性分析筛选出符合基金管理人要求的标的基金，本基金所投资的全部基金都应是通过基金筛选策略选择出的标的基金。基金配置策略是通过对短周期内的基金多因子分解，结合公开披露的信息估算拟投资基金的最新的资产配置比例和短期的风格定位，通过优化求解的方法，得到匹配目标资产配置比例的最优基金组合，在此基础之上，基金管理人可以结合其他定性因素对组合进行调整，形成最终的投资组合。</w:t>
            </w:r>
            <w:r w:rsidRPr="00232B03">
              <w:rPr>
                <w:color w:val="000000"/>
                <w:kern w:val="0"/>
                <w:sz w:val="24"/>
                <w:szCs w:val="24"/>
              </w:rPr>
              <w:t xml:space="preserve"> </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基金合同生效日至</w:t>
            </w:r>
            <w:r w:rsidRPr="00232B03">
              <w:rPr>
                <w:color w:val="000000"/>
                <w:kern w:val="0"/>
                <w:sz w:val="24"/>
                <w:szCs w:val="24"/>
              </w:rPr>
              <w:t>2023</w:t>
            </w:r>
            <w:r w:rsidRPr="00232B03">
              <w:rPr>
                <w:color w:val="000000"/>
                <w:kern w:val="0"/>
                <w:sz w:val="24"/>
                <w:szCs w:val="24"/>
              </w:rPr>
              <w:t>年</w:t>
            </w:r>
            <w:r w:rsidRPr="00232B03">
              <w:rPr>
                <w:color w:val="000000"/>
                <w:kern w:val="0"/>
                <w:sz w:val="24"/>
                <w:szCs w:val="24"/>
              </w:rPr>
              <w:t>12</w:t>
            </w:r>
            <w:r w:rsidRPr="00232B03">
              <w:rPr>
                <w:color w:val="000000"/>
                <w:kern w:val="0"/>
                <w:sz w:val="24"/>
                <w:szCs w:val="24"/>
              </w:rPr>
              <w:t>月</w:t>
            </w:r>
            <w:r w:rsidRPr="00232B03">
              <w:rPr>
                <w:color w:val="000000"/>
                <w:kern w:val="0"/>
                <w:sz w:val="24"/>
                <w:szCs w:val="24"/>
              </w:rPr>
              <w:t>31</w:t>
            </w:r>
            <w:r w:rsidRPr="00232B03">
              <w:rPr>
                <w:color w:val="000000"/>
                <w:kern w:val="0"/>
                <w:sz w:val="24"/>
                <w:szCs w:val="24"/>
              </w:rPr>
              <w:t>日：</w:t>
            </w:r>
            <w:r w:rsidRPr="00232B03">
              <w:rPr>
                <w:color w:val="000000"/>
                <w:kern w:val="0"/>
                <w:sz w:val="24"/>
                <w:szCs w:val="24"/>
              </w:rPr>
              <w:t>45%×</w:t>
            </w:r>
            <w:r w:rsidRPr="00232B03">
              <w:rPr>
                <w:color w:val="000000"/>
                <w:kern w:val="0"/>
                <w:sz w:val="24"/>
                <w:szCs w:val="24"/>
              </w:rPr>
              <w:t>沪深</w:t>
            </w:r>
            <w:r w:rsidRPr="00232B03">
              <w:rPr>
                <w:color w:val="000000"/>
                <w:kern w:val="0"/>
                <w:sz w:val="24"/>
                <w:szCs w:val="24"/>
              </w:rPr>
              <w:t>300</w:t>
            </w:r>
            <w:r w:rsidRPr="00232B03">
              <w:rPr>
                <w:color w:val="000000"/>
                <w:kern w:val="0"/>
                <w:sz w:val="24"/>
                <w:szCs w:val="24"/>
              </w:rPr>
              <w:t>指数收益率</w:t>
            </w:r>
            <w:r w:rsidRPr="00232B03">
              <w:rPr>
                <w:color w:val="000000"/>
                <w:kern w:val="0"/>
                <w:sz w:val="24"/>
                <w:szCs w:val="24"/>
              </w:rPr>
              <w:t>+50%×</w:t>
            </w:r>
            <w:r w:rsidRPr="00232B03">
              <w:rPr>
                <w:color w:val="000000"/>
                <w:kern w:val="0"/>
                <w:sz w:val="24"/>
                <w:szCs w:val="24"/>
              </w:rPr>
              <w:t>中债新综合财富指数收益率</w:t>
            </w:r>
            <w:r w:rsidRPr="00232B03">
              <w:rPr>
                <w:color w:val="000000"/>
                <w:kern w:val="0"/>
                <w:sz w:val="24"/>
                <w:szCs w:val="24"/>
              </w:rPr>
              <w:t>+5%×</w:t>
            </w:r>
            <w:r w:rsidRPr="00232B03">
              <w:rPr>
                <w:color w:val="000000"/>
                <w:kern w:val="0"/>
                <w:sz w:val="24"/>
                <w:szCs w:val="24"/>
              </w:rPr>
              <w:t>活期存款利率；</w:t>
            </w:r>
            <w:r w:rsidRPr="00232B03">
              <w:rPr>
                <w:color w:val="000000"/>
                <w:kern w:val="0"/>
                <w:sz w:val="24"/>
                <w:szCs w:val="24"/>
              </w:rPr>
              <w:t>2024</w:t>
            </w:r>
            <w:r w:rsidRPr="00232B03">
              <w:rPr>
                <w:color w:val="000000"/>
                <w:kern w:val="0"/>
                <w:sz w:val="24"/>
                <w:szCs w:val="24"/>
              </w:rPr>
              <w:t>年</w:t>
            </w:r>
            <w:r w:rsidRPr="00232B03">
              <w:rPr>
                <w:color w:val="000000"/>
                <w:kern w:val="0"/>
                <w:sz w:val="24"/>
                <w:szCs w:val="24"/>
              </w:rPr>
              <w:t>1</w:t>
            </w:r>
            <w:r w:rsidRPr="00232B03">
              <w:rPr>
                <w:color w:val="000000"/>
                <w:kern w:val="0"/>
                <w:sz w:val="24"/>
                <w:szCs w:val="24"/>
              </w:rPr>
              <w:t>月</w:t>
            </w:r>
            <w:r w:rsidRPr="00232B03">
              <w:rPr>
                <w:color w:val="000000"/>
                <w:kern w:val="0"/>
                <w:sz w:val="24"/>
                <w:szCs w:val="24"/>
              </w:rPr>
              <w:t>1</w:t>
            </w:r>
            <w:r w:rsidRPr="00232B03">
              <w:rPr>
                <w:color w:val="000000"/>
                <w:kern w:val="0"/>
                <w:sz w:val="24"/>
                <w:szCs w:val="24"/>
              </w:rPr>
              <w:t>日至</w:t>
            </w:r>
            <w:r w:rsidRPr="00232B03">
              <w:rPr>
                <w:color w:val="000000"/>
                <w:kern w:val="0"/>
                <w:sz w:val="24"/>
                <w:szCs w:val="24"/>
              </w:rPr>
              <w:t>2028</w:t>
            </w:r>
            <w:r w:rsidRPr="00232B03">
              <w:rPr>
                <w:color w:val="000000"/>
                <w:kern w:val="0"/>
                <w:sz w:val="24"/>
                <w:szCs w:val="24"/>
              </w:rPr>
              <w:t>年</w:t>
            </w:r>
            <w:r w:rsidRPr="00232B03">
              <w:rPr>
                <w:color w:val="000000"/>
                <w:kern w:val="0"/>
                <w:sz w:val="24"/>
                <w:szCs w:val="24"/>
              </w:rPr>
              <w:lastRenderedPageBreak/>
              <w:t>12</w:t>
            </w:r>
            <w:r w:rsidRPr="00232B03">
              <w:rPr>
                <w:color w:val="000000"/>
                <w:kern w:val="0"/>
                <w:sz w:val="24"/>
                <w:szCs w:val="24"/>
              </w:rPr>
              <w:t>月</w:t>
            </w:r>
            <w:r w:rsidRPr="00232B03">
              <w:rPr>
                <w:color w:val="000000"/>
                <w:kern w:val="0"/>
                <w:sz w:val="24"/>
                <w:szCs w:val="24"/>
              </w:rPr>
              <w:t>31</w:t>
            </w:r>
            <w:r w:rsidRPr="00232B03">
              <w:rPr>
                <w:color w:val="000000"/>
                <w:kern w:val="0"/>
                <w:sz w:val="24"/>
                <w:szCs w:val="24"/>
              </w:rPr>
              <w:t>日：</w:t>
            </w:r>
            <w:r w:rsidRPr="00232B03">
              <w:rPr>
                <w:color w:val="000000"/>
                <w:kern w:val="0"/>
                <w:sz w:val="24"/>
                <w:szCs w:val="24"/>
              </w:rPr>
              <w:t>40%×</w:t>
            </w:r>
            <w:r w:rsidRPr="00232B03">
              <w:rPr>
                <w:color w:val="000000"/>
                <w:kern w:val="0"/>
                <w:sz w:val="24"/>
                <w:szCs w:val="24"/>
              </w:rPr>
              <w:t>沪深</w:t>
            </w:r>
            <w:r w:rsidRPr="00232B03">
              <w:rPr>
                <w:color w:val="000000"/>
                <w:kern w:val="0"/>
                <w:sz w:val="24"/>
                <w:szCs w:val="24"/>
              </w:rPr>
              <w:t>300</w:t>
            </w:r>
            <w:r w:rsidRPr="00232B03">
              <w:rPr>
                <w:color w:val="000000"/>
                <w:kern w:val="0"/>
                <w:sz w:val="24"/>
                <w:szCs w:val="24"/>
              </w:rPr>
              <w:t>指数收益率</w:t>
            </w:r>
            <w:r w:rsidRPr="00232B03">
              <w:rPr>
                <w:color w:val="000000"/>
                <w:kern w:val="0"/>
                <w:sz w:val="24"/>
                <w:szCs w:val="24"/>
              </w:rPr>
              <w:t>+55%×</w:t>
            </w:r>
            <w:r w:rsidRPr="00232B03">
              <w:rPr>
                <w:color w:val="000000"/>
                <w:kern w:val="0"/>
                <w:sz w:val="24"/>
                <w:szCs w:val="24"/>
              </w:rPr>
              <w:t>中债新综合财富指数收益率</w:t>
            </w:r>
            <w:r w:rsidRPr="00232B03">
              <w:rPr>
                <w:color w:val="000000"/>
                <w:kern w:val="0"/>
                <w:sz w:val="24"/>
                <w:szCs w:val="24"/>
              </w:rPr>
              <w:t>+5%×</w:t>
            </w:r>
            <w:r w:rsidRPr="00232B03">
              <w:rPr>
                <w:color w:val="000000"/>
                <w:kern w:val="0"/>
                <w:sz w:val="24"/>
                <w:szCs w:val="24"/>
              </w:rPr>
              <w:t>活期存款利率；</w:t>
            </w:r>
            <w:r w:rsidRPr="00232B03">
              <w:rPr>
                <w:color w:val="000000"/>
                <w:kern w:val="0"/>
                <w:sz w:val="24"/>
                <w:szCs w:val="24"/>
              </w:rPr>
              <w:t>2029</w:t>
            </w:r>
            <w:r w:rsidRPr="00232B03">
              <w:rPr>
                <w:color w:val="000000"/>
                <w:kern w:val="0"/>
                <w:sz w:val="24"/>
                <w:szCs w:val="24"/>
              </w:rPr>
              <w:t>年</w:t>
            </w:r>
            <w:r w:rsidRPr="00232B03">
              <w:rPr>
                <w:color w:val="000000"/>
                <w:kern w:val="0"/>
                <w:sz w:val="24"/>
                <w:szCs w:val="24"/>
              </w:rPr>
              <w:t>1</w:t>
            </w:r>
            <w:r w:rsidRPr="00232B03">
              <w:rPr>
                <w:color w:val="000000"/>
                <w:kern w:val="0"/>
                <w:sz w:val="24"/>
                <w:szCs w:val="24"/>
              </w:rPr>
              <w:t>月</w:t>
            </w:r>
            <w:r w:rsidRPr="00232B03">
              <w:rPr>
                <w:color w:val="000000"/>
                <w:kern w:val="0"/>
                <w:sz w:val="24"/>
                <w:szCs w:val="24"/>
              </w:rPr>
              <w:t>1</w:t>
            </w:r>
            <w:r w:rsidRPr="00232B03">
              <w:rPr>
                <w:color w:val="000000"/>
                <w:kern w:val="0"/>
                <w:sz w:val="24"/>
                <w:szCs w:val="24"/>
              </w:rPr>
              <w:t>日至</w:t>
            </w:r>
            <w:r w:rsidRPr="00232B03">
              <w:rPr>
                <w:color w:val="000000"/>
                <w:kern w:val="0"/>
                <w:sz w:val="24"/>
                <w:szCs w:val="24"/>
              </w:rPr>
              <w:t>2033</w:t>
            </w:r>
            <w:r w:rsidRPr="00232B03">
              <w:rPr>
                <w:color w:val="000000"/>
                <w:kern w:val="0"/>
                <w:sz w:val="24"/>
                <w:szCs w:val="24"/>
              </w:rPr>
              <w:t>年</w:t>
            </w:r>
            <w:r w:rsidRPr="00232B03">
              <w:rPr>
                <w:color w:val="000000"/>
                <w:kern w:val="0"/>
                <w:sz w:val="24"/>
                <w:szCs w:val="24"/>
              </w:rPr>
              <w:t>12</w:t>
            </w:r>
            <w:r w:rsidRPr="00232B03">
              <w:rPr>
                <w:color w:val="000000"/>
                <w:kern w:val="0"/>
                <w:sz w:val="24"/>
                <w:szCs w:val="24"/>
              </w:rPr>
              <w:t>月</w:t>
            </w:r>
            <w:r w:rsidRPr="00232B03">
              <w:rPr>
                <w:color w:val="000000"/>
                <w:kern w:val="0"/>
                <w:sz w:val="24"/>
                <w:szCs w:val="24"/>
              </w:rPr>
              <w:t>31</w:t>
            </w:r>
            <w:r w:rsidRPr="00232B03">
              <w:rPr>
                <w:color w:val="000000"/>
                <w:kern w:val="0"/>
                <w:sz w:val="24"/>
                <w:szCs w:val="24"/>
              </w:rPr>
              <w:t>日：</w:t>
            </w:r>
            <w:r w:rsidRPr="00232B03">
              <w:rPr>
                <w:color w:val="000000"/>
                <w:kern w:val="0"/>
                <w:sz w:val="24"/>
                <w:szCs w:val="24"/>
              </w:rPr>
              <w:t>30%×</w:t>
            </w:r>
            <w:r w:rsidRPr="00232B03">
              <w:rPr>
                <w:color w:val="000000"/>
                <w:kern w:val="0"/>
                <w:sz w:val="24"/>
                <w:szCs w:val="24"/>
              </w:rPr>
              <w:t>沪深</w:t>
            </w:r>
            <w:r w:rsidRPr="00232B03">
              <w:rPr>
                <w:color w:val="000000"/>
                <w:kern w:val="0"/>
                <w:sz w:val="24"/>
                <w:szCs w:val="24"/>
              </w:rPr>
              <w:t>300</w:t>
            </w:r>
            <w:r w:rsidRPr="00232B03">
              <w:rPr>
                <w:color w:val="000000"/>
                <w:kern w:val="0"/>
                <w:sz w:val="24"/>
                <w:szCs w:val="24"/>
              </w:rPr>
              <w:t>指数收益率</w:t>
            </w:r>
            <w:r w:rsidRPr="00232B03">
              <w:rPr>
                <w:color w:val="000000"/>
                <w:kern w:val="0"/>
                <w:sz w:val="24"/>
                <w:szCs w:val="24"/>
              </w:rPr>
              <w:t>+65%×</w:t>
            </w:r>
            <w:r w:rsidRPr="00232B03">
              <w:rPr>
                <w:color w:val="000000"/>
                <w:kern w:val="0"/>
                <w:sz w:val="24"/>
                <w:szCs w:val="24"/>
              </w:rPr>
              <w:t>中债新综合财富指数收益率</w:t>
            </w:r>
            <w:r w:rsidRPr="00232B03">
              <w:rPr>
                <w:color w:val="000000"/>
                <w:kern w:val="0"/>
                <w:sz w:val="24"/>
                <w:szCs w:val="24"/>
              </w:rPr>
              <w:t>+5%×</w:t>
            </w:r>
            <w:r w:rsidRPr="00232B03">
              <w:rPr>
                <w:color w:val="000000"/>
                <w:kern w:val="0"/>
                <w:sz w:val="24"/>
                <w:szCs w:val="24"/>
              </w:rPr>
              <w:t>活期存款利率；</w:t>
            </w:r>
            <w:r w:rsidRPr="00232B03">
              <w:rPr>
                <w:color w:val="000000"/>
                <w:kern w:val="0"/>
                <w:sz w:val="24"/>
                <w:szCs w:val="24"/>
              </w:rPr>
              <w:t>2034</w:t>
            </w:r>
            <w:r w:rsidRPr="00232B03">
              <w:rPr>
                <w:color w:val="000000"/>
                <w:kern w:val="0"/>
                <w:sz w:val="24"/>
                <w:szCs w:val="24"/>
              </w:rPr>
              <w:t>年</w:t>
            </w:r>
            <w:r w:rsidRPr="00232B03">
              <w:rPr>
                <w:color w:val="000000"/>
                <w:kern w:val="0"/>
                <w:sz w:val="24"/>
                <w:szCs w:val="24"/>
              </w:rPr>
              <w:t>1</w:t>
            </w:r>
            <w:r w:rsidRPr="00232B03">
              <w:rPr>
                <w:color w:val="000000"/>
                <w:kern w:val="0"/>
                <w:sz w:val="24"/>
                <w:szCs w:val="24"/>
              </w:rPr>
              <w:t>月</w:t>
            </w:r>
            <w:r w:rsidRPr="00232B03">
              <w:rPr>
                <w:color w:val="000000"/>
                <w:kern w:val="0"/>
                <w:sz w:val="24"/>
                <w:szCs w:val="24"/>
              </w:rPr>
              <w:t>1</w:t>
            </w:r>
            <w:r w:rsidRPr="00232B03">
              <w:rPr>
                <w:color w:val="000000"/>
                <w:kern w:val="0"/>
                <w:sz w:val="24"/>
                <w:szCs w:val="24"/>
              </w:rPr>
              <w:t>日至</w:t>
            </w:r>
            <w:r w:rsidRPr="00232B03">
              <w:rPr>
                <w:color w:val="000000"/>
                <w:kern w:val="0"/>
                <w:sz w:val="24"/>
                <w:szCs w:val="24"/>
              </w:rPr>
              <w:t>2038</w:t>
            </w:r>
            <w:r w:rsidRPr="00232B03">
              <w:rPr>
                <w:color w:val="000000"/>
                <w:kern w:val="0"/>
                <w:sz w:val="24"/>
                <w:szCs w:val="24"/>
              </w:rPr>
              <w:t>年</w:t>
            </w:r>
            <w:r w:rsidRPr="00232B03">
              <w:rPr>
                <w:color w:val="000000"/>
                <w:kern w:val="0"/>
                <w:sz w:val="24"/>
                <w:szCs w:val="24"/>
              </w:rPr>
              <w:t>12</w:t>
            </w:r>
            <w:r w:rsidRPr="00232B03">
              <w:rPr>
                <w:color w:val="000000"/>
                <w:kern w:val="0"/>
                <w:sz w:val="24"/>
                <w:szCs w:val="24"/>
              </w:rPr>
              <w:t>月</w:t>
            </w:r>
            <w:r w:rsidRPr="00232B03">
              <w:rPr>
                <w:color w:val="000000"/>
                <w:kern w:val="0"/>
                <w:sz w:val="24"/>
                <w:szCs w:val="24"/>
              </w:rPr>
              <w:t>31</w:t>
            </w:r>
            <w:r w:rsidRPr="00232B03">
              <w:rPr>
                <w:color w:val="000000"/>
                <w:kern w:val="0"/>
                <w:sz w:val="24"/>
                <w:szCs w:val="24"/>
              </w:rPr>
              <w:t>日：</w:t>
            </w:r>
            <w:r w:rsidRPr="00232B03">
              <w:rPr>
                <w:color w:val="000000"/>
                <w:kern w:val="0"/>
                <w:sz w:val="24"/>
                <w:szCs w:val="24"/>
              </w:rPr>
              <w:t>20%×</w:t>
            </w:r>
            <w:r w:rsidRPr="00232B03">
              <w:rPr>
                <w:color w:val="000000"/>
                <w:kern w:val="0"/>
                <w:sz w:val="24"/>
                <w:szCs w:val="24"/>
              </w:rPr>
              <w:t>沪深</w:t>
            </w:r>
            <w:r w:rsidRPr="00232B03">
              <w:rPr>
                <w:color w:val="000000"/>
                <w:kern w:val="0"/>
                <w:sz w:val="24"/>
                <w:szCs w:val="24"/>
              </w:rPr>
              <w:t>300</w:t>
            </w:r>
            <w:r w:rsidRPr="00232B03">
              <w:rPr>
                <w:color w:val="000000"/>
                <w:kern w:val="0"/>
                <w:sz w:val="24"/>
                <w:szCs w:val="24"/>
              </w:rPr>
              <w:t>指数收益率</w:t>
            </w:r>
            <w:r w:rsidRPr="00232B03">
              <w:rPr>
                <w:color w:val="000000"/>
                <w:kern w:val="0"/>
                <w:sz w:val="24"/>
                <w:szCs w:val="24"/>
              </w:rPr>
              <w:t>+75%×</w:t>
            </w:r>
            <w:r w:rsidRPr="00232B03">
              <w:rPr>
                <w:color w:val="000000"/>
                <w:kern w:val="0"/>
                <w:sz w:val="24"/>
                <w:szCs w:val="24"/>
              </w:rPr>
              <w:t>中债新综合财富指数收益率</w:t>
            </w:r>
            <w:r w:rsidRPr="00232B03">
              <w:rPr>
                <w:color w:val="000000"/>
                <w:kern w:val="0"/>
                <w:sz w:val="24"/>
                <w:szCs w:val="24"/>
              </w:rPr>
              <w:t>+5%×</w:t>
            </w:r>
            <w:r w:rsidRPr="00232B03">
              <w:rPr>
                <w:color w:val="000000"/>
                <w:kern w:val="0"/>
                <w:sz w:val="24"/>
                <w:szCs w:val="24"/>
              </w:rPr>
              <w:t>活期存款利率。</w:t>
            </w:r>
            <w:r w:rsidRPr="00232B03">
              <w:rPr>
                <w:color w:val="000000"/>
                <w:kern w:val="0"/>
                <w:sz w:val="24"/>
                <w:szCs w:val="24"/>
              </w:rPr>
              <w:t xml:space="preserve"> </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本基金属于采用目标日期策略的基金中基金，</w:t>
            </w:r>
            <w:r w:rsidRPr="00232B03">
              <w:rPr>
                <w:color w:val="000000"/>
                <w:kern w:val="0"/>
                <w:sz w:val="24"/>
                <w:szCs w:val="24"/>
              </w:rPr>
              <w:t>2038</w:t>
            </w:r>
            <w:r w:rsidRPr="00232B03">
              <w:rPr>
                <w:color w:val="000000"/>
                <w:kern w:val="0"/>
                <w:sz w:val="24"/>
                <w:szCs w:val="24"/>
              </w:rPr>
              <w:t>年</w:t>
            </w:r>
            <w:r w:rsidRPr="00232B03">
              <w:rPr>
                <w:color w:val="000000"/>
                <w:kern w:val="0"/>
                <w:sz w:val="24"/>
                <w:szCs w:val="24"/>
              </w:rPr>
              <w:t>12</w:t>
            </w:r>
            <w:r w:rsidRPr="00232B03">
              <w:rPr>
                <w:color w:val="000000"/>
                <w:kern w:val="0"/>
                <w:sz w:val="24"/>
                <w:szCs w:val="24"/>
              </w:rPr>
              <w:t>月</w:t>
            </w:r>
            <w:r w:rsidRPr="00232B03">
              <w:rPr>
                <w:color w:val="000000"/>
                <w:kern w:val="0"/>
                <w:sz w:val="24"/>
                <w:szCs w:val="24"/>
              </w:rPr>
              <w:t>31</w:t>
            </w:r>
            <w:r w:rsidRPr="00232B03">
              <w:rPr>
                <w:color w:val="000000"/>
                <w:kern w:val="0"/>
                <w:sz w:val="24"/>
                <w:szCs w:val="24"/>
              </w:rPr>
              <w:t>日为本基金的目标日期。从基金合同生效日至目标日期止，本基金的预期风险与预期收益水平将随着时间的流逝逐步降低。基金合同生效日至</w:t>
            </w:r>
            <w:r w:rsidRPr="00232B03">
              <w:rPr>
                <w:color w:val="000000"/>
                <w:kern w:val="0"/>
                <w:sz w:val="24"/>
                <w:szCs w:val="24"/>
              </w:rPr>
              <w:t>2038</w:t>
            </w:r>
            <w:r w:rsidRPr="00232B03">
              <w:rPr>
                <w:color w:val="000000"/>
                <w:kern w:val="0"/>
                <w:sz w:val="24"/>
                <w:szCs w:val="24"/>
              </w:rPr>
              <w:t>年</w:t>
            </w:r>
            <w:r w:rsidRPr="00232B03">
              <w:rPr>
                <w:color w:val="000000"/>
                <w:kern w:val="0"/>
                <w:sz w:val="24"/>
                <w:szCs w:val="24"/>
              </w:rPr>
              <w:t>12</w:t>
            </w:r>
            <w:r w:rsidRPr="00232B03">
              <w:rPr>
                <w:color w:val="000000"/>
                <w:kern w:val="0"/>
                <w:sz w:val="24"/>
                <w:szCs w:val="24"/>
              </w:rPr>
              <w:t>月</w:t>
            </w:r>
            <w:r w:rsidRPr="00232B03">
              <w:rPr>
                <w:color w:val="000000"/>
                <w:kern w:val="0"/>
                <w:sz w:val="24"/>
                <w:szCs w:val="24"/>
              </w:rPr>
              <w:t>31</w:t>
            </w:r>
            <w:r w:rsidRPr="00232B03">
              <w:rPr>
                <w:color w:val="000000"/>
                <w:kern w:val="0"/>
                <w:sz w:val="24"/>
                <w:szCs w:val="24"/>
              </w:rPr>
              <w:t>日，理论上本基金的预期风险与预期收益水平低于股票型基金、股票型基金中基金（</w:t>
            </w:r>
            <w:r w:rsidRPr="00232B03">
              <w:rPr>
                <w:color w:val="000000"/>
                <w:kern w:val="0"/>
                <w:sz w:val="24"/>
                <w:szCs w:val="24"/>
              </w:rPr>
              <w:t>FOF</w:t>
            </w:r>
            <w:r w:rsidRPr="00232B03">
              <w:rPr>
                <w:color w:val="000000"/>
                <w:kern w:val="0"/>
                <w:sz w:val="24"/>
                <w:szCs w:val="24"/>
              </w:rPr>
              <w:t>），高于债券型基金、债券型基金中基金（</w:t>
            </w:r>
            <w:r w:rsidRPr="00232B03">
              <w:rPr>
                <w:color w:val="000000"/>
                <w:kern w:val="0"/>
                <w:sz w:val="24"/>
                <w:szCs w:val="24"/>
              </w:rPr>
              <w:t>FOF</w:t>
            </w:r>
            <w:r w:rsidRPr="00232B03">
              <w:rPr>
                <w:color w:val="000000"/>
                <w:kern w:val="0"/>
                <w:sz w:val="24"/>
                <w:szCs w:val="24"/>
              </w:rPr>
              <w:t>）、货币市场基金和货币型基金中基金（</w:t>
            </w:r>
            <w:r w:rsidRPr="00232B03">
              <w:rPr>
                <w:color w:val="000000"/>
                <w:kern w:val="0"/>
                <w:sz w:val="24"/>
                <w:szCs w:val="24"/>
              </w:rPr>
              <w:t>FOF</w:t>
            </w:r>
            <w:r w:rsidRPr="00232B03">
              <w:rPr>
                <w:color w:val="000000"/>
                <w:kern w:val="0"/>
                <w:sz w:val="24"/>
                <w:szCs w:val="24"/>
              </w:rPr>
              <w:t>）。</w:t>
            </w:r>
            <w:r w:rsidRPr="00232B03">
              <w:rPr>
                <w:color w:val="000000"/>
                <w:kern w:val="0"/>
                <w:sz w:val="24"/>
                <w:szCs w:val="24"/>
              </w:rPr>
              <w:t xml:space="preserve"> </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中国邮政储蓄银行股份有限公司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62420E" w:rsidRPr="006506EF" w:rsidRDefault="0062420E" w:rsidP="0062420E">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62420E" w:rsidRPr="006506EF" w:rsidTr="00C3442A">
        <w:tc>
          <w:tcPr>
            <w:tcW w:w="3402" w:type="dxa"/>
            <w:vAlign w:val="center"/>
          </w:tcPr>
          <w:p w:rsidR="0062420E" w:rsidRPr="006506EF" w:rsidRDefault="0062420E"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62420E" w:rsidRPr="006506EF" w:rsidRDefault="0062420E" w:rsidP="00C3442A">
            <w:pPr>
              <w:adjustRightInd w:val="0"/>
              <w:spacing w:before="29" w:line="360" w:lineRule="auto"/>
              <w:ind w:left="17"/>
              <w:jc w:val="center"/>
              <w:rPr>
                <w:color w:val="000000"/>
                <w:sz w:val="24"/>
              </w:rPr>
            </w:pPr>
            <w:r w:rsidRPr="006506EF">
              <w:rPr>
                <w:color w:val="000000"/>
                <w:sz w:val="24"/>
              </w:rPr>
              <w:t>报告期</w:t>
            </w:r>
          </w:p>
          <w:p w:rsidR="0062420E" w:rsidRPr="006506EF" w:rsidRDefault="0062420E"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62420E" w:rsidRPr="006506EF" w:rsidRDefault="0062420E" w:rsidP="00C3442A">
            <w:pPr>
              <w:adjustRightInd w:val="0"/>
              <w:spacing w:before="29" w:line="360" w:lineRule="auto"/>
              <w:ind w:left="17"/>
              <w:jc w:val="center"/>
              <w:rPr>
                <w:color w:val="000000"/>
                <w:sz w:val="24"/>
              </w:rPr>
            </w:pPr>
            <w:r w:rsidRPr="006506EF">
              <w:rPr>
                <w:color w:val="000000"/>
                <w:sz w:val="24"/>
              </w:rPr>
              <w:t>上期金额</w:t>
            </w:r>
          </w:p>
        </w:tc>
      </w:tr>
      <w:tr w:rsidR="0062420E" w:rsidRPr="006506EF" w:rsidTr="00C3442A">
        <w:tc>
          <w:tcPr>
            <w:tcW w:w="3402" w:type="dxa"/>
          </w:tcPr>
          <w:p w:rsidR="0062420E" w:rsidRPr="006506EF" w:rsidRDefault="0062420E"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62420E" w:rsidRPr="006506EF" w:rsidRDefault="0062420E" w:rsidP="00C3442A">
            <w:pPr>
              <w:adjustRightInd w:val="0"/>
              <w:spacing w:before="29" w:line="360" w:lineRule="auto"/>
              <w:ind w:left="17"/>
              <w:jc w:val="right"/>
              <w:rPr>
                <w:color w:val="000000"/>
                <w:sz w:val="24"/>
              </w:rPr>
            </w:pPr>
            <w:r w:rsidRPr="006506EF">
              <w:rPr>
                <w:color w:val="000000"/>
                <w:sz w:val="24"/>
              </w:rPr>
              <w:t>203,168.33</w:t>
            </w:r>
          </w:p>
        </w:tc>
        <w:tc>
          <w:tcPr>
            <w:tcW w:w="2410" w:type="dxa"/>
            <w:hMerge/>
            <w:vAlign w:val="bottom"/>
          </w:tcPr>
          <w:p w:rsidR="0062420E" w:rsidRPr="006506EF" w:rsidRDefault="0062420E" w:rsidP="00C3442A">
            <w:pPr>
              <w:adjustRightInd w:val="0"/>
              <w:spacing w:before="29" w:line="360" w:lineRule="auto"/>
              <w:ind w:left="17"/>
              <w:jc w:val="right"/>
              <w:rPr>
                <w:color w:val="000000"/>
                <w:sz w:val="24"/>
              </w:rPr>
            </w:pPr>
            <w:r w:rsidRPr="006506EF">
              <w:rPr>
                <w:color w:val="000000"/>
                <w:sz w:val="24"/>
              </w:rPr>
              <w:t>-</w:t>
            </w:r>
          </w:p>
        </w:tc>
      </w:tr>
      <w:tr w:rsidR="0062420E" w:rsidRPr="006506EF" w:rsidTr="00C3442A">
        <w:tc>
          <w:tcPr>
            <w:tcW w:w="3402" w:type="dxa"/>
          </w:tcPr>
          <w:p w:rsidR="0062420E" w:rsidRPr="006506EF" w:rsidRDefault="0062420E"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62420E" w:rsidRPr="006506EF" w:rsidRDefault="0062420E" w:rsidP="00C3442A">
            <w:pPr>
              <w:adjustRightInd w:val="0"/>
              <w:spacing w:before="29" w:line="360" w:lineRule="auto"/>
              <w:ind w:left="17"/>
              <w:jc w:val="right"/>
              <w:rPr>
                <w:color w:val="000000"/>
                <w:sz w:val="24"/>
              </w:rPr>
            </w:pPr>
            <w:r w:rsidRPr="006506EF">
              <w:rPr>
                <w:color w:val="000000"/>
                <w:sz w:val="24"/>
              </w:rPr>
              <w:t>226,604.19</w:t>
            </w:r>
          </w:p>
        </w:tc>
        <w:tc>
          <w:tcPr>
            <w:tcW w:w="2410" w:type="dxa"/>
            <w:hMerge/>
            <w:vAlign w:val="bottom"/>
          </w:tcPr>
          <w:p w:rsidR="0062420E" w:rsidRPr="006506EF" w:rsidRDefault="0062420E" w:rsidP="00C3442A">
            <w:pPr>
              <w:adjustRightInd w:val="0"/>
              <w:spacing w:before="29" w:line="360" w:lineRule="auto"/>
              <w:ind w:left="17"/>
              <w:jc w:val="right"/>
              <w:rPr>
                <w:color w:val="000000"/>
                <w:sz w:val="24"/>
              </w:rPr>
            </w:pPr>
            <w:r w:rsidRPr="006506EF">
              <w:rPr>
                <w:color w:val="000000"/>
                <w:sz w:val="24"/>
              </w:rPr>
              <w:t>-</w:t>
            </w:r>
          </w:p>
        </w:tc>
      </w:tr>
      <w:tr w:rsidR="0062420E" w:rsidRPr="006506EF" w:rsidTr="00C3442A">
        <w:tc>
          <w:tcPr>
            <w:tcW w:w="3402" w:type="dxa"/>
          </w:tcPr>
          <w:p w:rsidR="0062420E" w:rsidRPr="006506EF" w:rsidRDefault="0062420E"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62420E" w:rsidRPr="006506EF" w:rsidRDefault="0062420E" w:rsidP="00C3442A">
            <w:pPr>
              <w:adjustRightInd w:val="0"/>
              <w:spacing w:before="29" w:line="360" w:lineRule="auto"/>
              <w:ind w:left="17"/>
              <w:jc w:val="right"/>
              <w:rPr>
                <w:color w:val="000000"/>
                <w:sz w:val="24"/>
              </w:rPr>
            </w:pPr>
            <w:r w:rsidRPr="006506EF">
              <w:rPr>
                <w:color w:val="000000"/>
                <w:sz w:val="24"/>
              </w:rPr>
              <w:t>0.0222</w:t>
            </w:r>
          </w:p>
        </w:tc>
        <w:tc>
          <w:tcPr>
            <w:tcW w:w="2410" w:type="dxa"/>
            <w:hMerge/>
            <w:vAlign w:val="bottom"/>
          </w:tcPr>
          <w:p w:rsidR="0062420E" w:rsidRPr="006506EF" w:rsidRDefault="0062420E" w:rsidP="00C3442A">
            <w:pPr>
              <w:adjustRightInd w:val="0"/>
              <w:spacing w:before="29" w:line="360" w:lineRule="auto"/>
              <w:ind w:left="17"/>
              <w:jc w:val="right"/>
              <w:rPr>
                <w:color w:val="000000"/>
                <w:sz w:val="24"/>
              </w:rPr>
            </w:pPr>
            <w:r w:rsidRPr="006506EF">
              <w:rPr>
                <w:color w:val="000000"/>
                <w:sz w:val="24"/>
              </w:rPr>
              <w:t>-</w:t>
            </w:r>
          </w:p>
        </w:tc>
      </w:tr>
      <w:tr w:rsidR="0062420E" w:rsidRPr="006506EF" w:rsidTr="00C3442A">
        <w:tc>
          <w:tcPr>
            <w:tcW w:w="3402" w:type="dxa"/>
          </w:tcPr>
          <w:p w:rsidR="0062420E" w:rsidRPr="006506EF" w:rsidRDefault="0062420E"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62420E" w:rsidRPr="006506EF" w:rsidRDefault="0062420E" w:rsidP="00C3442A">
            <w:pPr>
              <w:adjustRightInd w:val="0"/>
              <w:spacing w:before="29" w:line="360" w:lineRule="auto"/>
              <w:ind w:left="17"/>
              <w:jc w:val="right"/>
              <w:rPr>
                <w:color w:val="000000"/>
                <w:sz w:val="24"/>
              </w:rPr>
            </w:pPr>
            <w:r w:rsidRPr="006506EF">
              <w:rPr>
                <w:color w:val="000000"/>
                <w:sz w:val="24"/>
              </w:rPr>
              <w:t>10,834,171.60</w:t>
            </w:r>
          </w:p>
        </w:tc>
        <w:tc>
          <w:tcPr>
            <w:tcW w:w="2410" w:type="dxa"/>
            <w:hMerge/>
          </w:tcPr>
          <w:p w:rsidR="0062420E" w:rsidRPr="006506EF" w:rsidRDefault="0062420E" w:rsidP="00C3442A">
            <w:pPr>
              <w:adjustRightInd w:val="0"/>
              <w:spacing w:before="29" w:line="360" w:lineRule="auto"/>
              <w:ind w:left="17"/>
              <w:jc w:val="right"/>
              <w:rPr>
                <w:color w:val="000000"/>
                <w:sz w:val="24"/>
              </w:rPr>
            </w:pPr>
            <w:r w:rsidRPr="006506EF">
              <w:rPr>
                <w:color w:val="000000"/>
                <w:sz w:val="24"/>
              </w:rPr>
              <w:t>-</w:t>
            </w:r>
          </w:p>
        </w:tc>
      </w:tr>
      <w:tr w:rsidR="0062420E" w:rsidRPr="006506EF" w:rsidTr="00C3442A">
        <w:trPr>
          <w:trHeight w:val="158"/>
        </w:trPr>
        <w:tc>
          <w:tcPr>
            <w:tcW w:w="3402" w:type="dxa"/>
          </w:tcPr>
          <w:p w:rsidR="0062420E" w:rsidRPr="006506EF" w:rsidRDefault="0062420E" w:rsidP="00C3442A">
            <w:pPr>
              <w:adjustRightInd w:val="0"/>
              <w:spacing w:before="29" w:line="360" w:lineRule="auto"/>
              <w:ind w:left="17"/>
              <w:rPr>
                <w:kern w:val="0"/>
                <w:sz w:val="24"/>
              </w:rPr>
            </w:pPr>
            <w:r w:rsidRPr="006506EF">
              <w:rPr>
                <w:kern w:val="0"/>
                <w:sz w:val="24"/>
              </w:rPr>
              <w:lastRenderedPageBreak/>
              <w:t>5.</w:t>
            </w:r>
            <w:r w:rsidRPr="006506EF">
              <w:rPr>
                <w:kern w:val="0"/>
                <w:sz w:val="24"/>
              </w:rPr>
              <w:t>期末基金份额净值</w:t>
            </w:r>
          </w:p>
        </w:tc>
        <w:tc>
          <w:tcPr>
            <w:tcW w:w="4962" w:type="dxa"/>
            <w:hMerge w:val="restart"/>
          </w:tcPr>
          <w:p w:rsidR="0062420E" w:rsidRPr="006506EF" w:rsidRDefault="0062420E" w:rsidP="00C3442A">
            <w:pPr>
              <w:adjustRightInd w:val="0"/>
              <w:spacing w:before="29" w:line="360" w:lineRule="auto"/>
              <w:ind w:left="17"/>
              <w:jc w:val="right"/>
              <w:rPr>
                <w:color w:val="000000"/>
                <w:sz w:val="24"/>
              </w:rPr>
            </w:pPr>
            <w:r w:rsidRPr="006506EF">
              <w:rPr>
                <w:color w:val="000000"/>
                <w:sz w:val="24"/>
              </w:rPr>
              <w:t>1.0316</w:t>
            </w:r>
          </w:p>
        </w:tc>
        <w:tc>
          <w:tcPr>
            <w:tcW w:w="2410" w:type="dxa"/>
            <w:hMerge/>
          </w:tcPr>
          <w:p w:rsidR="0062420E" w:rsidRPr="006506EF" w:rsidRDefault="0062420E" w:rsidP="00C3442A">
            <w:pPr>
              <w:adjustRightInd w:val="0"/>
              <w:spacing w:before="29" w:line="360" w:lineRule="auto"/>
              <w:ind w:left="17"/>
              <w:jc w:val="right"/>
              <w:rPr>
                <w:color w:val="000000"/>
                <w:sz w:val="24"/>
              </w:rPr>
            </w:pPr>
            <w:r w:rsidRPr="006506EF">
              <w:rPr>
                <w:color w:val="000000"/>
                <w:sz w:val="24"/>
              </w:rPr>
              <w:t>-</w:t>
            </w:r>
          </w:p>
        </w:tc>
      </w:tr>
    </w:tbl>
    <w:p w:rsidR="00565B7C" w:rsidRDefault="004578F5">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62420E"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IsROCDate" w:val="False"/>
          <w:attr w:name="IsLunarDate" w:val="False"/>
          <w:attr w:name="Day" w:val="30"/>
          <w:attr w:name="Month" w:val="12"/>
          <w:attr w:name="Year" w:val="1899"/>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565B7C">
        <w:tc>
          <w:tcPr>
            <w:tcW w:w="1395" w:type="dxa"/>
            <w:vAlign w:val="center"/>
          </w:tcPr>
          <w:p w:rsidR="00565B7C" w:rsidRDefault="004578F5">
            <w:pPr>
              <w:jc w:val="left"/>
            </w:pPr>
            <w:r>
              <w:rPr>
                <w:color w:val="000000"/>
                <w:kern w:val="0"/>
                <w:sz w:val="24"/>
                <w:szCs w:val="24"/>
              </w:rPr>
              <w:t>过去三个月</w:t>
            </w:r>
          </w:p>
        </w:tc>
        <w:tc>
          <w:tcPr>
            <w:tcW w:w="1092" w:type="dxa"/>
            <w:vAlign w:val="center"/>
          </w:tcPr>
          <w:p w:rsidR="00565B7C" w:rsidRDefault="004578F5">
            <w:pPr>
              <w:jc w:val="center"/>
            </w:pPr>
            <w:r>
              <w:rPr>
                <w:color w:val="000000"/>
                <w:kern w:val="0"/>
                <w:sz w:val="24"/>
                <w:szCs w:val="24"/>
              </w:rPr>
              <w:t>2.21%</w:t>
            </w:r>
          </w:p>
        </w:tc>
        <w:tc>
          <w:tcPr>
            <w:tcW w:w="1161" w:type="dxa"/>
            <w:vAlign w:val="center"/>
          </w:tcPr>
          <w:p w:rsidR="00565B7C" w:rsidRDefault="004578F5">
            <w:pPr>
              <w:jc w:val="center"/>
            </w:pPr>
            <w:r>
              <w:rPr>
                <w:color w:val="000000"/>
                <w:kern w:val="0"/>
                <w:sz w:val="24"/>
                <w:szCs w:val="24"/>
              </w:rPr>
              <w:t>0.28%</w:t>
            </w:r>
          </w:p>
        </w:tc>
        <w:tc>
          <w:tcPr>
            <w:tcW w:w="1181" w:type="dxa"/>
            <w:vAlign w:val="center"/>
          </w:tcPr>
          <w:p w:rsidR="00565B7C" w:rsidRDefault="004578F5">
            <w:pPr>
              <w:jc w:val="center"/>
            </w:pPr>
            <w:r>
              <w:rPr>
                <w:color w:val="000000"/>
                <w:kern w:val="0"/>
                <w:sz w:val="24"/>
                <w:szCs w:val="24"/>
              </w:rPr>
              <w:t>0.64%</w:t>
            </w:r>
          </w:p>
        </w:tc>
        <w:tc>
          <w:tcPr>
            <w:tcW w:w="1188" w:type="dxa"/>
            <w:vAlign w:val="center"/>
          </w:tcPr>
          <w:p w:rsidR="00565B7C" w:rsidRDefault="004578F5">
            <w:pPr>
              <w:jc w:val="center"/>
            </w:pPr>
            <w:r>
              <w:rPr>
                <w:color w:val="000000"/>
                <w:kern w:val="0"/>
                <w:sz w:val="24"/>
                <w:szCs w:val="24"/>
              </w:rPr>
              <w:t>0.43%</w:t>
            </w:r>
          </w:p>
        </w:tc>
        <w:tc>
          <w:tcPr>
            <w:tcW w:w="1199" w:type="dxa"/>
            <w:vAlign w:val="center"/>
          </w:tcPr>
          <w:p w:rsidR="00565B7C" w:rsidRDefault="004578F5">
            <w:pPr>
              <w:jc w:val="center"/>
            </w:pPr>
            <w:r>
              <w:rPr>
                <w:color w:val="000000"/>
                <w:kern w:val="0"/>
                <w:sz w:val="24"/>
                <w:szCs w:val="24"/>
              </w:rPr>
              <w:t>1.57%</w:t>
            </w:r>
          </w:p>
        </w:tc>
        <w:tc>
          <w:tcPr>
            <w:tcW w:w="1204" w:type="dxa"/>
            <w:vAlign w:val="center"/>
          </w:tcPr>
          <w:p w:rsidR="00565B7C" w:rsidRDefault="004578F5">
            <w:pPr>
              <w:jc w:val="center"/>
            </w:pPr>
            <w:r>
              <w:rPr>
                <w:color w:val="000000"/>
                <w:kern w:val="0"/>
                <w:sz w:val="24"/>
                <w:szCs w:val="24"/>
              </w:rPr>
              <w:t>-0.15%</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IsROCDate" w:val="False"/>
          <w:attr w:name="IsLunarDate" w:val="False"/>
          <w:attr w:name="Day" w:val="30"/>
          <w:attr w:name="Month" w:val="12"/>
          <w:attr w:name="Year" w:val="1899"/>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易方达汇诚养老目标日期</w:t>
      </w:r>
      <w:r w:rsidRPr="0074694E">
        <w:rPr>
          <w:color w:val="000000"/>
          <w:sz w:val="24"/>
          <w:szCs w:val="24"/>
        </w:rPr>
        <w:t>2038</w:t>
      </w:r>
      <w:r w:rsidRPr="0074694E">
        <w:rPr>
          <w:color w:val="000000"/>
          <w:sz w:val="24"/>
          <w:szCs w:val="24"/>
        </w:rPr>
        <w:t>三年持有期混合型发起式基金中基金（</w:t>
      </w:r>
      <w:r w:rsidRPr="0074694E">
        <w:rPr>
          <w:color w:val="000000"/>
          <w:sz w:val="24"/>
          <w:szCs w:val="24"/>
        </w:rPr>
        <w:t>FOF</w:t>
      </w:r>
      <w:r w:rsidRPr="0074694E">
        <w:rPr>
          <w:color w:val="000000"/>
          <w:sz w:val="24"/>
          <w:szCs w:val="24"/>
        </w:rPr>
        <w:t>）</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4</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4578F5" w:rsidP="004061AC">
      <w:pPr>
        <w:pStyle w:val="a5"/>
        <w:snapToGrid w:val="0"/>
        <w:spacing w:before="120" w:line="360" w:lineRule="auto"/>
        <w:jc w:val="center"/>
        <w:rPr>
          <w:rFonts w:hAnsi="宋体"/>
          <w:color w:val="000000"/>
          <w:sz w:val="24"/>
          <w:szCs w:val="24"/>
        </w:rPr>
      </w:pPr>
      <w:r>
        <w:rPr>
          <w:rFonts w:hAnsi="宋体"/>
          <w:noProof/>
          <w:color w:val="000000"/>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565B7C" w:rsidRDefault="004578F5">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本基金合同于</w:t>
      </w:r>
      <w:r>
        <w:rPr>
          <w:color w:val="000000"/>
          <w:sz w:val="24"/>
          <w:szCs w:val="24"/>
        </w:rPr>
        <w:t>2019</w:t>
      </w:r>
      <w:r>
        <w:rPr>
          <w:color w:val="000000"/>
          <w:sz w:val="24"/>
          <w:szCs w:val="24"/>
        </w:rPr>
        <w:t>年</w:t>
      </w:r>
      <w:r>
        <w:rPr>
          <w:color w:val="000000"/>
          <w:sz w:val="24"/>
          <w:szCs w:val="24"/>
        </w:rPr>
        <w:t>4</w:t>
      </w:r>
      <w:r>
        <w:rPr>
          <w:color w:val="000000"/>
          <w:sz w:val="24"/>
          <w:szCs w:val="24"/>
        </w:rPr>
        <w:t>月</w:t>
      </w:r>
      <w:r>
        <w:rPr>
          <w:color w:val="000000"/>
          <w:sz w:val="24"/>
          <w:szCs w:val="24"/>
        </w:rPr>
        <w:t>30</w:t>
      </w:r>
      <w:r>
        <w:rPr>
          <w:color w:val="000000"/>
          <w:sz w:val="24"/>
          <w:szCs w:val="24"/>
        </w:rPr>
        <w:t>日生效</w:t>
      </w:r>
      <w:r>
        <w:rPr>
          <w:color w:val="000000"/>
          <w:sz w:val="24"/>
          <w:szCs w:val="24"/>
        </w:rPr>
        <w:t>,</w:t>
      </w:r>
      <w:r>
        <w:rPr>
          <w:color w:val="000000"/>
          <w:sz w:val="24"/>
          <w:szCs w:val="24"/>
        </w:rPr>
        <w:t>截至报告期末本基金合同生效未满一年。</w:t>
      </w:r>
    </w:p>
    <w:p w:rsidR="00565B7C" w:rsidRDefault="004578F5">
      <w:pPr>
        <w:spacing w:line="360" w:lineRule="auto"/>
        <w:ind w:firstLineChars="200" w:firstLine="480"/>
        <w:rPr>
          <w:color w:val="000000"/>
          <w:sz w:val="24"/>
          <w:szCs w:val="24"/>
        </w:rPr>
      </w:pPr>
      <w:r>
        <w:rPr>
          <w:color w:val="000000"/>
          <w:sz w:val="24"/>
          <w:szCs w:val="24"/>
        </w:rPr>
        <w:t>2.</w:t>
      </w:r>
      <w:r>
        <w:rPr>
          <w:color w:val="000000"/>
          <w:sz w:val="24"/>
          <w:szCs w:val="24"/>
        </w:rPr>
        <w:t>按基金合同和招募说明书的约定</w:t>
      </w:r>
      <w:r>
        <w:rPr>
          <w:color w:val="000000"/>
          <w:sz w:val="24"/>
          <w:szCs w:val="24"/>
        </w:rPr>
        <w:t>,</w:t>
      </w:r>
      <w:r>
        <w:rPr>
          <w:color w:val="000000"/>
          <w:sz w:val="24"/>
          <w:szCs w:val="24"/>
        </w:rPr>
        <w:t>自基金合同生效之日起六个月内使基金的投资组合比例符合本基金合同</w:t>
      </w:r>
      <w:r>
        <w:rPr>
          <w:color w:val="000000"/>
          <w:sz w:val="24"/>
          <w:szCs w:val="24"/>
        </w:rPr>
        <w:t>(</w:t>
      </w:r>
      <w:r>
        <w:rPr>
          <w:color w:val="000000"/>
          <w:sz w:val="24"/>
          <w:szCs w:val="24"/>
        </w:rPr>
        <w:t>第十二部分二、投资范围</w:t>
      </w:r>
      <w:r>
        <w:rPr>
          <w:color w:val="000000"/>
          <w:sz w:val="24"/>
          <w:szCs w:val="24"/>
        </w:rPr>
        <w:t>,</w:t>
      </w:r>
      <w:r>
        <w:rPr>
          <w:color w:val="000000"/>
          <w:sz w:val="24"/>
          <w:szCs w:val="24"/>
        </w:rPr>
        <w:t>三、投资策略和四、投资限制</w:t>
      </w:r>
      <w:r>
        <w:rPr>
          <w:color w:val="000000"/>
          <w:sz w:val="24"/>
          <w:szCs w:val="24"/>
        </w:rPr>
        <w:t>)</w:t>
      </w:r>
      <w:r>
        <w:rPr>
          <w:color w:val="000000"/>
          <w:sz w:val="24"/>
          <w:szCs w:val="24"/>
        </w:rPr>
        <w:t>的有关约定。本报告期本基金处于建仓期内。</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3.</w:t>
      </w:r>
      <w:r w:rsidRPr="006C56AA">
        <w:rPr>
          <w:color w:val="000000"/>
          <w:sz w:val="24"/>
          <w:szCs w:val="24"/>
        </w:rPr>
        <w:t>自基金合同生效至报告期末</w:t>
      </w:r>
      <w:r w:rsidRPr="006C56AA">
        <w:rPr>
          <w:color w:val="000000"/>
          <w:sz w:val="24"/>
          <w:szCs w:val="24"/>
        </w:rPr>
        <w:t>,</w:t>
      </w:r>
      <w:r w:rsidRPr="006C56AA">
        <w:rPr>
          <w:color w:val="000000"/>
          <w:sz w:val="24"/>
          <w:szCs w:val="24"/>
        </w:rPr>
        <w:t>基金份额净值增长率为</w:t>
      </w:r>
      <w:r w:rsidRPr="006C56AA">
        <w:rPr>
          <w:color w:val="000000"/>
          <w:sz w:val="24"/>
          <w:szCs w:val="24"/>
        </w:rPr>
        <w:t>3.16%,</w:t>
      </w:r>
      <w:r w:rsidRPr="006C56AA">
        <w:rPr>
          <w:color w:val="000000"/>
          <w:sz w:val="24"/>
          <w:szCs w:val="24"/>
        </w:rPr>
        <w:t>同期业绩比较基准收益率为</w:t>
      </w:r>
      <w:r w:rsidRPr="006C56AA">
        <w:rPr>
          <w:color w:val="000000"/>
          <w:sz w:val="24"/>
          <w:szCs w:val="24"/>
        </w:rPr>
        <w:t>0.55%</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565B7C">
        <w:tc>
          <w:tcPr>
            <w:tcW w:w="567" w:type="dxa"/>
            <w:vAlign w:val="center"/>
          </w:tcPr>
          <w:p w:rsidR="00565B7C" w:rsidRDefault="004578F5">
            <w:pPr>
              <w:jc w:val="center"/>
            </w:pPr>
            <w:r>
              <w:rPr>
                <w:color w:val="000000"/>
                <w:sz w:val="24"/>
              </w:rPr>
              <w:t>汪玲</w:t>
            </w:r>
          </w:p>
        </w:tc>
        <w:tc>
          <w:tcPr>
            <w:tcW w:w="2835" w:type="dxa"/>
            <w:vAlign w:val="center"/>
          </w:tcPr>
          <w:p w:rsidR="00565B7C" w:rsidRDefault="004578F5">
            <w:pPr>
              <w:jc w:val="center"/>
            </w:pPr>
            <w:r>
              <w:rPr>
                <w:color w:val="000000"/>
                <w:sz w:val="24"/>
              </w:rPr>
              <w:t>本基金的基金经理、易方达汇诚养老目标日期</w:t>
            </w:r>
            <w:r>
              <w:rPr>
                <w:color w:val="000000"/>
                <w:sz w:val="24"/>
              </w:rPr>
              <w:t>2043</w:t>
            </w:r>
            <w:r>
              <w:rPr>
                <w:color w:val="000000"/>
                <w:sz w:val="24"/>
              </w:rPr>
              <w:t>三年持有期混合型基金中基金</w:t>
            </w:r>
            <w:r>
              <w:rPr>
                <w:color w:val="000000"/>
                <w:sz w:val="24"/>
              </w:rPr>
              <w:t>(FOF)</w:t>
            </w:r>
            <w:r>
              <w:rPr>
                <w:color w:val="000000"/>
                <w:sz w:val="24"/>
              </w:rPr>
              <w:t>的基金经理、易方达汇诚养老目标日期</w:t>
            </w:r>
            <w:r>
              <w:rPr>
                <w:color w:val="000000"/>
                <w:sz w:val="24"/>
              </w:rPr>
              <w:t>2033</w:t>
            </w:r>
            <w:r>
              <w:rPr>
                <w:color w:val="000000"/>
                <w:sz w:val="24"/>
              </w:rPr>
              <w:t>三年持有期</w:t>
            </w:r>
            <w:r>
              <w:rPr>
                <w:color w:val="000000"/>
                <w:sz w:val="24"/>
              </w:rPr>
              <w:lastRenderedPageBreak/>
              <w:t>混合型发起式基金中基金</w:t>
            </w:r>
            <w:r>
              <w:rPr>
                <w:color w:val="000000"/>
                <w:sz w:val="24"/>
              </w:rPr>
              <w:t>(FOF)</w:t>
            </w:r>
            <w:r>
              <w:rPr>
                <w:color w:val="000000"/>
                <w:sz w:val="24"/>
              </w:rPr>
              <w:t>的基金经理</w:t>
            </w:r>
          </w:p>
        </w:tc>
        <w:tc>
          <w:tcPr>
            <w:tcW w:w="851" w:type="dxa"/>
            <w:vAlign w:val="center"/>
          </w:tcPr>
          <w:p w:rsidR="00565B7C" w:rsidRDefault="004578F5">
            <w:pPr>
              <w:jc w:val="center"/>
            </w:pPr>
            <w:r>
              <w:rPr>
                <w:color w:val="000000"/>
                <w:sz w:val="24"/>
              </w:rPr>
              <w:lastRenderedPageBreak/>
              <w:t>2019-04-30</w:t>
            </w:r>
          </w:p>
        </w:tc>
        <w:tc>
          <w:tcPr>
            <w:tcW w:w="850" w:type="dxa"/>
            <w:vAlign w:val="center"/>
          </w:tcPr>
          <w:p w:rsidR="00565B7C" w:rsidRDefault="004578F5">
            <w:pPr>
              <w:jc w:val="center"/>
            </w:pPr>
            <w:r>
              <w:rPr>
                <w:color w:val="000000"/>
                <w:sz w:val="24"/>
              </w:rPr>
              <w:t>-</w:t>
            </w:r>
          </w:p>
        </w:tc>
        <w:tc>
          <w:tcPr>
            <w:tcW w:w="851" w:type="dxa"/>
            <w:vAlign w:val="center"/>
          </w:tcPr>
          <w:p w:rsidR="00565B7C" w:rsidRDefault="004578F5">
            <w:pPr>
              <w:jc w:val="center"/>
            </w:pPr>
            <w:r>
              <w:rPr>
                <w:color w:val="000000"/>
                <w:sz w:val="24"/>
              </w:rPr>
              <w:t>11</w:t>
            </w:r>
            <w:r>
              <w:rPr>
                <w:color w:val="000000"/>
                <w:sz w:val="24"/>
              </w:rPr>
              <w:t>年</w:t>
            </w:r>
          </w:p>
        </w:tc>
        <w:tc>
          <w:tcPr>
            <w:tcW w:w="2977" w:type="dxa"/>
            <w:vAlign w:val="center"/>
          </w:tcPr>
          <w:p w:rsidR="00565B7C" w:rsidRDefault="004578F5">
            <w:r>
              <w:rPr>
                <w:color w:val="000000"/>
                <w:sz w:val="24"/>
              </w:rPr>
              <w:t>硕士研究生，曾任合众人寿保险股份有限公司资金管理中心基金研究员、基金投资经理，合众资产管理股份有限公司组合管理部基金投资经理，中国人寿养老保</w:t>
            </w:r>
            <w:r>
              <w:rPr>
                <w:color w:val="000000"/>
                <w:sz w:val="24"/>
              </w:rPr>
              <w:lastRenderedPageBreak/>
              <w:t>险股份有限公司投资中心组合管理部高级组合基金投资经理。</w:t>
            </w:r>
          </w:p>
        </w:tc>
      </w:tr>
    </w:tbl>
    <w:p w:rsidR="00565B7C" w:rsidRDefault="004578F5">
      <w:pPr>
        <w:spacing w:line="360" w:lineRule="auto"/>
        <w:ind w:firstLineChars="200" w:firstLine="480"/>
        <w:rPr>
          <w:color w:val="000000"/>
          <w:sz w:val="24"/>
          <w:szCs w:val="24"/>
        </w:rPr>
      </w:pPr>
      <w:r>
        <w:rPr>
          <w:color w:val="000000"/>
          <w:sz w:val="24"/>
          <w:szCs w:val="24"/>
        </w:rPr>
        <w:lastRenderedPageBreak/>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IsROCDate" w:val="False"/>
          <w:attr w:name="IsLunarDate" w:val="False"/>
          <w:attr w:name="Day" w:val="30"/>
          <w:attr w:name="Month" w:val="12"/>
          <w:attr w:name="Year" w:val="1899"/>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IsROCDate" w:val="False"/>
          <w:attr w:name="IsLunarDate" w:val="False"/>
          <w:attr w:name="Day" w:val="30"/>
          <w:attr w:name="Month" w:val="12"/>
          <w:attr w:name="Year" w:val="1899"/>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565B7C" w:rsidRDefault="004578F5">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565B7C" w:rsidRDefault="004578F5">
      <w:pPr>
        <w:spacing w:line="360" w:lineRule="auto"/>
        <w:ind w:firstLineChars="200" w:firstLine="480"/>
        <w:rPr>
          <w:color w:val="000000"/>
          <w:sz w:val="24"/>
          <w:szCs w:val="24"/>
        </w:rPr>
      </w:pPr>
      <w:r>
        <w:rPr>
          <w:color w:val="000000"/>
          <w:sz w:val="24"/>
          <w:szCs w:val="24"/>
        </w:rPr>
        <w:t>2019</w:t>
      </w:r>
      <w:r>
        <w:rPr>
          <w:color w:val="000000"/>
          <w:sz w:val="24"/>
          <w:szCs w:val="24"/>
        </w:rPr>
        <w:t>年</w:t>
      </w:r>
      <w:r>
        <w:rPr>
          <w:color w:val="000000"/>
          <w:sz w:val="24"/>
          <w:szCs w:val="24"/>
        </w:rPr>
        <w:t>3</w:t>
      </w:r>
      <w:r>
        <w:rPr>
          <w:color w:val="000000"/>
          <w:sz w:val="24"/>
          <w:szCs w:val="24"/>
        </w:rPr>
        <w:t>季度全球经济形势逐步走弱，央行普遍采取偏宽松的货币政策，债券收益率出现一定幅度下行，权益资产表现出结构性行情，创业板、中小板表</w:t>
      </w:r>
      <w:r>
        <w:rPr>
          <w:color w:val="000000"/>
          <w:sz w:val="24"/>
          <w:szCs w:val="24"/>
        </w:rPr>
        <w:lastRenderedPageBreak/>
        <w:t>现较好，尤其是电子行业，出现了大幅上涨。中美贸易战反反复复，给风险资产的表现带来了一定的波动。估值方面，</w:t>
      </w:r>
      <w:r>
        <w:rPr>
          <w:color w:val="000000"/>
          <w:sz w:val="24"/>
          <w:szCs w:val="24"/>
        </w:rPr>
        <w:t>A</w:t>
      </w:r>
      <w:r>
        <w:rPr>
          <w:color w:val="000000"/>
          <w:sz w:val="24"/>
          <w:szCs w:val="24"/>
        </w:rPr>
        <w:t>股估值相对历史处于偏低位置，但呈现结构分化；债券收益率水平处于历史较低位置。</w:t>
      </w:r>
    </w:p>
    <w:p w:rsidR="00565B7C" w:rsidRDefault="004578F5">
      <w:pPr>
        <w:spacing w:line="360" w:lineRule="auto"/>
        <w:ind w:firstLineChars="200" w:firstLine="480"/>
        <w:rPr>
          <w:color w:val="000000"/>
          <w:sz w:val="24"/>
          <w:szCs w:val="24"/>
        </w:rPr>
      </w:pPr>
      <w:r>
        <w:rPr>
          <w:color w:val="000000"/>
          <w:sz w:val="24"/>
          <w:szCs w:val="24"/>
        </w:rPr>
        <w:t>本基金于</w:t>
      </w:r>
      <w:r>
        <w:rPr>
          <w:color w:val="000000"/>
          <w:sz w:val="24"/>
          <w:szCs w:val="24"/>
        </w:rPr>
        <w:t>2019</w:t>
      </w:r>
      <w:r>
        <w:rPr>
          <w:color w:val="000000"/>
          <w:sz w:val="24"/>
          <w:szCs w:val="24"/>
        </w:rPr>
        <w:t>年</w:t>
      </w:r>
      <w:r>
        <w:rPr>
          <w:color w:val="000000"/>
          <w:sz w:val="24"/>
          <w:szCs w:val="24"/>
        </w:rPr>
        <w:t>4</w:t>
      </w:r>
      <w:r>
        <w:rPr>
          <w:color w:val="000000"/>
          <w:sz w:val="24"/>
          <w:szCs w:val="24"/>
        </w:rPr>
        <w:t>月</w:t>
      </w:r>
      <w:r>
        <w:rPr>
          <w:color w:val="000000"/>
          <w:sz w:val="24"/>
          <w:szCs w:val="24"/>
        </w:rPr>
        <w:t>30</w:t>
      </w:r>
      <w:r>
        <w:rPr>
          <w:color w:val="000000"/>
          <w:sz w:val="24"/>
          <w:szCs w:val="24"/>
        </w:rPr>
        <w:t>日成立并开始运作，在报告期内，本基金依然处于建仓期，遵循稳健投资的理念，立足养老产品的定位，采用固定收益类资产积累安全垫，根据安全垫水平，分批稳步建仓权益类资产，注重控制组合回撤。同时动态比较各类资产的相对价值，配置收益风险比更合适的策略或资产，对原有资产进行增强，力争获取超额收益。</w:t>
      </w:r>
    </w:p>
    <w:p w:rsidR="00565B7C" w:rsidRDefault="004578F5">
      <w:pPr>
        <w:spacing w:line="360" w:lineRule="auto"/>
        <w:ind w:firstLineChars="200" w:firstLine="480"/>
        <w:rPr>
          <w:color w:val="000000"/>
          <w:sz w:val="24"/>
          <w:szCs w:val="24"/>
        </w:rPr>
      </w:pPr>
      <w:r>
        <w:rPr>
          <w:color w:val="000000"/>
          <w:sz w:val="24"/>
          <w:szCs w:val="24"/>
        </w:rPr>
        <w:t>在本报告期内，本基金尚处于建仓期，权益类资产和非权益类资产的配置比例尚未达到基金合同约定的资产配置比例范围，权益类资产平均配置比例低于下滑曲线预设的权益类资产配置比例要求。到建仓期结束时，本基金的各项</w:t>
      </w:r>
      <w:r>
        <w:rPr>
          <w:color w:val="000000"/>
          <w:sz w:val="24"/>
          <w:szCs w:val="24"/>
        </w:rPr>
        <w:t>资产配置比例将达到基金合同约定的资产配置比例要求。</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本基金坚持既定的基金选择理念，主动基金与被动基金相结合，通过优选风格相对稳定</w:t>
      </w:r>
      <w:r w:rsidRPr="006C56AA">
        <w:rPr>
          <w:color w:val="000000"/>
          <w:sz w:val="24"/>
          <w:szCs w:val="24"/>
        </w:rPr>
        <w:t>Alpha</w:t>
      </w:r>
      <w:r w:rsidRPr="006C56AA">
        <w:rPr>
          <w:color w:val="000000"/>
          <w:sz w:val="24"/>
          <w:szCs w:val="24"/>
        </w:rPr>
        <w:t>持续性较强的主动型基金，力争获取超额收益。</w:t>
      </w:r>
    </w:p>
    <w:p w:rsidR="00750D48" w:rsidRPr="00264E55" w:rsidRDefault="00750D48" w:rsidP="009E7C6A">
      <w:pPr>
        <w:spacing w:line="360" w:lineRule="auto"/>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1.0316</w:t>
      </w:r>
      <w:r w:rsidRPr="006C56AA">
        <w:rPr>
          <w:color w:val="000000"/>
          <w:sz w:val="24"/>
          <w:szCs w:val="24"/>
        </w:rPr>
        <w:t>元，本报告期份额净值增长率为</w:t>
      </w:r>
      <w:r w:rsidRPr="006C56AA">
        <w:rPr>
          <w:color w:val="000000"/>
          <w:sz w:val="24"/>
          <w:szCs w:val="24"/>
        </w:rPr>
        <w:t>2.21%</w:t>
      </w:r>
      <w:r w:rsidRPr="006C56AA">
        <w:rPr>
          <w:color w:val="000000"/>
          <w:sz w:val="24"/>
          <w:szCs w:val="24"/>
        </w:rPr>
        <w:t>，同期业绩比较基准收益率为</w:t>
      </w:r>
      <w:r w:rsidRPr="006C56AA">
        <w:rPr>
          <w:color w:val="000000"/>
          <w:sz w:val="24"/>
          <w:szCs w:val="24"/>
        </w:rPr>
        <w:t>0.64%</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C370E0" w:rsidRPr="00264E55" w:rsidTr="00B05049">
        <w:trPr>
          <w:jc w:val="center"/>
        </w:trPr>
        <w:tc>
          <w:tcPr>
            <w:tcW w:w="720" w:type="dxa"/>
            <w:vAlign w:val="center"/>
          </w:tcPr>
          <w:p w:rsidR="00C370E0" w:rsidRPr="00C370E0" w:rsidRDefault="00C370E0" w:rsidP="00F94C5F">
            <w:pPr>
              <w:spacing w:before="29" w:line="360" w:lineRule="auto"/>
              <w:ind w:left="17"/>
              <w:jc w:val="center"/>
              <w:rPr>
                <w:color w:val="000000" w:themeColor="text1"/>
                <w:sz w:val="24"/>
                <w:szCs w:val="24"/>
              </w:rPr>
            </w:pPr>
            <w:r w:rsidRPr="00C370E0">
              <w:rPr>
                <w:color w:val="000000" w:themeColor="text1"/>
                <w:sz w:val="24"/>
                <w:szCs w:val="24"/>
              </w:rPr>
              <w:t>2</w:t>
            </w:r>
          </w:p>
        </w:tc>
        <w:tc>
          <w:tcPr>
            <w:tcW w:w="3357" w:type="dxa"/>
            <w:vAlign w:val="center"/>
          </w:tcPr>
          <w:p w:rsidR="00C370E0" w:rsidRPr="00C370E0" w:rsidRDefault="00C370E0" w:rsidP="00F94C5F">
            <w:pPr>
              <w:spacing w:before="29" w:line="360" w:lineRule="auto"/>
              <w:jc w:val="left"/>
              <w:rPr>
                <w:color w:val="000000" w:themeColor="text1"/>
                <w:sz w:val="24"/>
                <w:szCs w:val="24"/>
              </w:rPr>
            </w:pPr>
            <w:r w:rsidRPr="00C370E0">
              <w:rPr>
                <w:color w:val="000000" w:themeColor="text1"/>
                <w:sz w:val="24"/>
                <w:szCs w:val="24"/>
              </w:rPr>
              <w:t>基金投资</w:t>
            </w:r>
          </w:p>
        </w:tc>
        <w:tc>
          <w:tcPr>
            <w:tcW w:w="2977" w:type="dxa"/>
            <w:vAlign w:val="center"/>
          </w:tcPr>
          <w:p w:rsidR="00C370E0" w:rsidRPr="00C370E0" w:rsidRDefault="00C370E0" w:rsidP="00F94C5F">
            <w:pPr>
              <w:spacing w:before="29" w:line="360" w:lineRule="auto"/>
              <w:ind w:left="17"/>
              <w:jc w:val="right"/>
              <w:rPr>
                <w:color w:val="000000" w:themeColor="text1"/>
                <w:sz w:val="24"/>
                <w:szCs w:val="24"/>
              </w:rPr>
            </w:pPr>
            <w:r w:rsidRPr="00C370E0">
              <w:rPr>
                <w:color w:val="000000" w:themeColor="text1"/>
                <w:sz w:val="24"/>
                <w:szCs w:val="24"/>
              </w:rPr>
              <w:t>10,084,651.53</w:t>
            </w:r>
          </w:p>
        </w:tc>
        <w:tc>
          <w:tcPr>
            <w:tcW w:w="1843" w:type="dxa"/>
            <w:vAlign w:val="center"/>
          </w:tcPr>
          <w:p w:rsidR="00C370E0" w:rsidRPr="00C370E0" w:rsidRDefault="00C370E0" w:rsidP="00F94C5F">
            <w:pPr>
              <w:spacing w:before="29" w:line="360" w:lineRule="auto"/>
              <w:ind w:left="17"/>
              <w:jc w:val="right"/>
              <w:rPr>
                <w:color w:val="000000" w:themeColor="text1"/>
                <w:sz w:val="24"/>
                <w:szCs w:val="24"/>
              </w:rPr>
            </w:pPr>
            <w:r w:rsidRPr="00C370E0">
              <w:rPr>
                <w:color w:val="000000" w:themeColor="text1"/>
                <w:sz w:val="24"/>
                <w:szCs w:val="24"/>
              </w:rPr>
              <w:t>92.93</w:t>
            </w:r>
          </w:p>
        </w:tc>
      </w:tr>
      <w:tr w:rsidR="00C370E0" w:rsidRPr="00264E55" w:rsidTr="00B05049">
        <w:trPr>
          <w:jc w:val="center"/>
        </w:trPr>
        <w:tc>
          <w:tcPr>
            <w:tcW w:w="720" w:type="dxa"/>
            <w:vAlign w:val="center"/>
          </w:tcPr>
          <w:p w:rsidR="00C370E0" w:rsidRPr="00232B03" w:rsidRDefault="00C370E0" w:rsidP="00B05049">
            <w:pPr>
              <w:spacing w:before="29" w:line="360" w:lineRule="auto"/>
              <w:ind w:left="17"/>
              <w:jc w:val="center"/>
              <w:rPr>
                <w:color w:val="000000"/>
                <w:kern w:val="0"/>
                <w:sz w:val="24"/>
                <w:szCs w:val="24"/>
              </w:rPr>
            </w:pPr>
            <w:r>
              <w:rPr>
                <w:rFonts w:hint="eastAsia"/>
                <w:color w:val="000000"/>
                <w:kern w:val="0"/>
                <w:sz w:val="24"/>
                <w:szCs w:val="24"/>
              </w:rPr>
              <w:t>3</w:t>
            </w:r>
          </w:p>
        </w:tc>
        <w:tc>
          <w:tcPr>
            <w:tcW w:w="3357" w:type="dxa"/>
            <w:vAlign w:val="center"/>
          </w:tcPr>
          <w:p w:rsidR="00C370E0" w:rsidRPr="00232B03" w:rsidRDefault="00C370E0"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C370E0" w:rsidRPr="00232B03" w:rsidRDefault="00C370E0"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C370E0" w:rsidRPr="00232B03" w:rsidRDefault="00C370E0" w:rsidP="00B05049">
            <w:pPr>
              <w:spacing w:before="29" w:line="360" w:lineRule="auto"/>
              <w:ind w:left="17"/>
              <w:jc w:val="right"/>
              <w:rPr>
                <w:color w:val="000000"/>
                <w:kern w:val="0"/>
                <w:sz w:val="24"/>
                <w:szCs w:val="24"/>
              </w:rPr>
            </w:pPr>
            <w:r w:rsidRPr="00232B03">
              <w:rPr>
                <w:color w:val="000000"/>
                <w:kern w:val="0"/>
                <w:sz w:val="24"/>
                <w:szCs w:val="24"/>
              </w:rPr>
              <w:t>-</w:t>
            </w:r>
          </w:p>
        </w:tc>
      </w:tr>
      <w:tr w:rsidR="00C370E0" w:rsidRPr="00264E55" w:rsidTr="00B05049">
        <w:trPr>
          <w:jc w:val="center"/>
        </w:trPr>
        <w:tc>
          <w:tcPr>
            <w:tcW w:w="720" w:type="dxa"/>
            <w:vAlign w:val="center"/>
          </w:tcPr>
          <w:p w:rsidR="00C370E0" w:rsidRPr="00232B03" w:rsidRDefault="00C370E0" w:rsidP="00B05049">
            <w:pPr>
              <w:spacing w:before="29" w:line="360" w:lineRule="auto"/>
              <w:ind w:left="17"/>
              <w:jc w:val="center"/>
              <w:rPr>
                <w:color w:val="000000"/>
                <w:kern w:val="0"/>
                <w:sz w:val="24"/>
                <w:szCs w:val="24"/>
              </w:rPr>
            </w:pPr>
          </w:p>
        </w:tc>
        <w:tc>
          <w:tcPr>
            <w:tcW w:w="3357" w:type="dxa"/>
            <w:vAlign w:val="center"/>
          </w:tcPr>
          <w:p w:rsidR="00C370E0" w:rsidRPr="00232B03" w:rsidRDefault="00C370E0"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C370E0" w:rsidRPr="00232B03" w:rsidRDefault="00C370E0"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C370E0" w:rsidRPr="00232B03" w:rsidRDefault="00C370E0" w:rsidP="00B05049">
            <w:pPr>
              <w:spacing w:before="29" w:line="360" w:lineRule="auto"/>
              <w:ind w:left="17"/>
              <w:jc w:val="right"/>
              <w:rPr>
                <w:color w:val="000000"/>
                <w:kern w:val="0"/>
                <w:sz w:val="24"/>
                <w:szCs w:val="24"/>
              </w:rPr>
            </w:pPr>
            <w:r w:rsidRPr="00232B03">
              <w:rPr>
                <w:color w:val="000000"/>
                <w:kern w:val="0"/>
                <w:sz w:val="24"/>
                <w:szCs w:val="24"/>
              </w:rPr>
              <w:t>-</w:t>
            </w:r>
          </w:p>
        </w:tc>
      </w:tr>
      <w:tr w:rsidR="00C370E0" w:rsidRPr="00264E55" w:rsidTr="00B05049">
        <w:trPr>
          <w:jc w:val="center"/>
        </w:trPr>
        <w:tc>
          <w:tcPr>
            <w:tcW w:w="720" w:type="dxa"/>
            <w:vAlign w:val="center"/>
          </w:tcPr>
          <w:p w:rsidR="00C370E0" w:rsidRPr="00232B03" w:rsidRDefault="00C370E0" w:rsidP="00B05049">
            <w:pPr>
              <w:spacing w:before="29" w:line="360" w:lineRule="auto"/>
              <w:ind w:left="17"/>
              <w:jc w:val="center"/>
              <w:rPr>
                <w:color w:val="000000"/>
                <w:kern w:val="0"/>
                <w:sz w:val="24"/>
                <w:szCs w:val="24"/>
              </w:rPr>
            </w:pPr>
          </w:p>
        </w:tc>
        <w:tc>
          <w:tcPr>
            <w:tcW w:w="3357" w:type="dxa"/>
            <w:vAlign w:val="center"/>
          </w:tcPr>
          <w:p w:rsidR="00C370E0" w:rsidRPr="00232B03" w:rsidRDefault="00C370E0"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C370E0" w:rsidRPr="00232B03" w:rsidRDefault="00C370E0"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C370E0" w:rsidRPr="00232B03" w:rsidRDefault="00C370E0" w:rsidP="00B05049">
            <w:pPr>
              <w:spacing w:before="29" w:line="360" w:lineRule="auto"/>
              <w:ind w:left="17"/>
              <w:jc w:val="right"/>
              <w:rPr>
                <w:color w:val="000000"/>
                <w:kern w:val="0"/>
                <w:sz w:val="24"/>
                <w:szCs w:val="24"/>
              </w:rPr>
            </w:pPr>
            <w:r w:rsidRPr="00232B03">
              <w:rPr>
                <w:color w:val="000000"/>
                <w:kern w:val="0"/>
                <w:sz w:val="24"/>
                <w:szCs w:val="24"/>
              </w:rPr>
              <w:t>-</w:t>
            </w:r>
          </w:p>
        </w:tc>
      </w:tr>
      <w:tr w:rsidR="00C370E0" w:rsidRPr="00264E55" w:rsidTr="00B05049">
        <w:trPr>
          <w:jc w:val="center"/>
        </w:trPr>
        <w:tc>
          <w:tcPr>
            <w:tcW w:w="720" w:type="dxa"/>
          </w:tcPr>
          <w:p w:rsidR="00C370E0" w:rsidRPr="00232B03" w:rsidRDefault="00C370E0" w:rsidP="00B05049">
            <w:pPr>
              <w:spacing w:before="29" w:line="360" w:lineRule="auto"/>
              <w:ind w:left="17"/>
              <w:jc w:val="center"/>
              <w:rPr>
                <w:color w:val="000000"/>
                <w:kern w:val="0"/>
                <w:sz w:val="24"/>
                <w:szCs w:val="24"/>
              </w:rPr>
            </w:pPr>
            <w:r>
              <w:rPr>
                <w:rFonts w:hint="eastAsia"/>
                <w:color w:val="000000"/>
                <w:kern w:val="0"/>
                <w:sz w:val="24"/>
                <w:szCs w:val="24"/>
              </w:rPr>
              <w:lastRenderedPageBreak/>
              <w:t>4</w:t>
            </w:r>
          </w:p>
        </w:tc>
        <w:tc>
          <w:tcPr>
            <w:tcW w:w="3357" w:type="dxa"/>
          </w:tcPr>
          <w:p w:rsidR="00C370E0" w:rsidRPr="00232B03" w:rsidRDefault="00C370E0"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C370E0" w:rsidRPr="00232B03" w:rsidRDefault="00C370E0"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C370E0" w:rsidRPr="00232B03" w:rsidRDefault="00C370E0" w:rsidP="00B05049">
            <w:pPr>
              <w:spacing w:before="29" w:line="360" w:lineRule="auto"/>
              <w:ind w:left="17"/>
              <w:jc w:val="right"/>
              <w:rPr>
                <w:color w:val="000000"/>
                <w:kern w:val="0"/>
                <w:sz w:val="24"/>
                <w:szCs w:val="24"/>
              </w:rPr>
            </w:pPr>
            <w:r w:rsidRPr="00232B03">
              <w:rPr>
                <w:color w:val="000000"/>
                <w:kern w:val="0"/>
                <w:sz w:val="24"/>
                <w:szCs w:val="24"/>
              </w:rPr>
              <w:t>-</w:t>
            </w:r>
          </w:p>
        </w:tc>
      </w:tr>
      <w:tr w:rsidR="00C370E0" w:rsidRPr="00264E55" w:rsidTr="00B05049">
        <w:trPr>
          <w:jc w:val="center"/>
        </w:trPr>
        <w:tc>
          <w:tcPr>
            <w:tcW w:w="720" w:type="dxa"/>
            <w:vAlign w:val="center"/>
          </w:tcPr>
          <w:p w:rsidR="00C370E0" w:rsidRPr="00232B03" w:rsidRDefault="00C370E0" w:rsidP="00B05049">
            <w:pPr>
              <w:spacing w:before="29" w:line="360" w:lineRule="auto"/>
              <w:ind w:left="17"/>
              <w:jc w:val="center"/>
              <w:rPr>
                <w:color w:val="000000"/>
                <w:kern w:val="0"/>
                <w:sz w:val="24"/>
                <w:szCs w:val="24"/>
              </w:rPr>
            </w:pPr>
            <w:r>
              <w:rPr>
                <w:rFonts w:hint="eastAsia"/>
                <w:color w:val="000000"/>
                <w:kern w:val="0"/>
                <w:sz w:val="24"/>
                <w:szCs w:val="24"/>
              </w:rPr>
              <w:t>5</w:t>
            </w:r>
          </w:p>
        </w:tc>
        <w:tc>
          <w:tcPr>
            <w:tcW w:w="3357" w:type="dxa"/>
            <w:vAlign w:val="center"/>
          </w:tcPr>
          <w:p w:rsidR="00C370E0" w:rsidRPr="00232B03" w:rsidRDefault="00C370E0"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C370E0" w:rsidRPr="00232B03" w:rsidRDefault="00C370E0"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C370E0" w:rsidRPr="00232B03" w:rsidRDefault="00C370E0" w:rsidP="00B05049">
            <w:pPr>
              <w:spacing w:before="29" w:line="360" w:lineRule="auto"/>
              <w:ind w:left="17"/>
              <w:jc w:val="right"/>
              <w:rPr>
                <w:color w:val="000000"/>
                <w:kern w:val="0"/>
                <w:sz w:val="24"/>
                <w:szCs w:val="24"/>
              </w:rPr>
            </w:pPr>
            <w:r w:rsidRPr="00232B03">
              <w:rPr>
                <w:color w:val="000000"/>
                <w:kern w:val="0"/>
                <w:sz w:val="24"/>
                <w:szCs w:val="24"/>
              </w:rPr>
              <w:t>-</w:t>
            </w:r>
          </w:p>
        </w:tc>
      </w:tr>
      <w:tr w:rsidR="00C370E0" w:rsidRPr="00264E55" w:rsidTr="00B05049">
        <w:trPr>
          <w:jc w:val="center"/>
        </w:trPr>
        <w:tc>
          <w:tcPr>
            <w:tcW w:w="720" w:type="dxa"/>
            <w:vAlign w:val="center"/>
          </w:tcPr>
          <w:p w:rsidR="00C370E0" w:rsidRPr="00232B03" w:rsidRDefault="00C370E0" w:rsidP="00B05049">
            <w:pPr>
              <w:spacing w:before="29" w:line="360" w:lineRule="auto"/>
              <w:ind w:left="17"/>
              <w:jc w:val="center"/>
              <w:rPr>
                <w:color w:val="000000"/>
                <w:kern w:val="0"/>
                <w:sz w:val="24"/>
                <w:szCs w:val="24"/>
              </w:rPr>
            </w:pPr>
            <w:r>
              <w:rPr>
                <w:rFonts w:hint="eastAsia"/>
                <w:color w:val="000000"/>
                <w:kern w:val="0"/>
                <w:sz w:val="24"/>
                <w:szCs w:val="24"/>
              </w:rPr>
              <w:t>6</w:t>
            </w:r>
          </w:p>
        </w:tc>
        <w:tc>
          <w:tcPr>
            <w:tcW w:w="3357" w:type="dxa"/>
            <w:vAlign w:val="center"/>
          </w:tcPr>
          <w:p w:rsidR="00C370E0" w:rsidRPr="00232B03" w:rsidRDefault="00C370E0"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C370E0" w:rsidRPr="00232B03" w:rsidRDefault="00C370E0"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C370E0" w:rsidRPr="00232B03" w:rsidRDefault="00C370E0" w:rsidP="00B05049">
            <w:pPr>
              <w:spacing w:before="29" w:line="360" w:lineRule="auto"/>
              <w:ind w:left="17"/>
              <w:jc w:val="right"/>
              <w:rPr>
                <w:color w:val="000000"/>
                <w:kern w:val="0"/>
                <w:sz w:val="24"/>
                <w:szCs w:val="24"/>
              </w:rPr>
            </w:pPr>
            <w:r w:rsidRPr="00232B03">
              <w:rPr>
                <w:color w:val="000000"/>
                <w:kern w:val="0"/>
                <w:sz w:val="24"/>
                <w:szCs w:val="24"/>
              </w:rPr>
              <w:t>-</w:t>
            </w:r>
          </w:p>
        </w:tc>
      </w:tr>
      <w:tr w:rsidR="00C370E0" w:rsidRPr="00264E55" w:rsidTr="00B05049">
        <w:trPr>
          <w:jc w:val="center"/>
        </w:trPr>
        <w:tc>
          <w:tcPr>
            <w:tcW w:w="720" w:type="dxa"/>
            <w:vAlign w:val="center"/>
          </w:tcPr>
          <w:p w:rsidR="00C370E0" w:rsidRPr="00232B03" w:rsidRDefault="00C370E0" w:rsidP="00B05049">
            <w:pPr>
              <w:spacing w:before="29" w:line="360" w:lineRule="auto"/>
              <w:ind w:left="17"/>
              <w:jc w:val="center"/>
              <w:rPr>
                <w:color w:val="000000"/>
                <w:kern w:val="0"/>
                <w:sz w:val="24"/>
                <w:szCs w:val="24"/>
              </w:rPr>
            </w:pPr>
          </w:p>
        </w:tc>
        <w:tc>
          <w:tcPr>
            <w:tcW w:w="3357" w:type="dxa"/>
            <w:vAlign w:val="center"/>
          </w:tcPr>
          <w:p w:rsidR="00C370E0" w:rsidRPr="00232B03" w:rsidRDefault="00C370E0"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C370E0" w:rsidRPr="00232B03" w:rsidRDefault="00C370E0"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C370E0" w:rsidRPr="00232B03" w:rsidRDefault="00C370E0" w:rsidP="00B05049">
            <w:pPr>
              <w:spacing w:before="29" w:line="360" w:lineRule="auto"/>
              <w:ind w:left="17"/>
              <w:jc w:val="right"/>
              <w:rPr>
                <w:color w:val="000000"/>
                <w:kern w:val="0"/>
                <w:sz w:val="24"/>
                <w:szCs w:val="24"/>
              </w:rPr>
            </w:pPr>
            <w:r w:rsidRPr="00232B03">
              <w:rPr>
                <w:color w:val="000000"/>
                <w:kern w:val="0"/>
                <w:sz w:val="24"/>
                <w:szCs w:val="24"/>
              </w:rPr>
              <w:t>-</w:t>
            </w:r>
          </w:p>
        </w:tc>
      </w:tr>
      <w:tr w:rsidR="00C370E0" w:rsidRPr="00264E55" w:rsidTr="00B05049">
        <w:trPr>
          <w:jc w:val="center"/>
        </w:trPr>
        <w:tc>
          <w:tcPr>
            <w:tcW w:w="720" w:type="dxa"/>
            <w:vAlign w:val="center"/>
          </w:tcPr>
          <w:p w:rsidR="00C370E0" w:rsidRPr="00232B03" w:rsidRDefault="00C370E0" w:rsidP="00B05049">
            <w:pPr>
              <w:spacing w:before="29" w:line="360" w:lineRule="auto"/>
              <w:ind w:left="17"/>
              <w:jc w:val="center"/>
              <w:rPr>
                <w:color w:val="000000"/>
                <w:kern w:val="0"/>
                <w:sz w:val="24"/>
                <w:szCs w:val="24"/>
              </w:rPr>
            </w:pPr>
            <w:r>
              <w:rPr>
                <w:rFonts w:hint="eastAsia"/>
                <w:color w:val="000000"/>
                <w:kern w:val="0"/>
                <w:sz w:val="24"/>
                <w:szCs w:val="24"/>
              </w:rPr>
              <w:t>7</w:t>
            </w:r>
          </w:p>
        </w:tc>
        <w:tc>
          <w:tcPr>
            <w:tcW w:w="3357" w:type="dxa"/>
            <w:vAlign w:val="center"/>
          </w:tcPr>
          <w:p w:rsidR="00C370E0" w:rsidRPr="00232B03" w:rsidRDefault="00C370E0"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C370E0" w:rsidRPr="00232B03" w:rsidRDefault="00C370E0" w:rsidP="00B05049">
            <w:pPr>
              <w:spacing w:before="29" w:line="360" w:lineRule="auto"/>
              <w:ind w:left="17"/>
              <w:jc w:val="right"/>
              <w:rPr>
                <w:color w:val="000000"/>
                <w:kern w:val="0"/>
                <w:sz w:val="24"/>
                <w:szCs w:val="24"/>
              </w:rPr>
            </w:pPr>
            <w:r w:rsidRPr="00232B03">
              <w:rPr>
                <w:color w:val="000000"/>
                <w:kern w:val="0"/>
                <w:sz w:val="24"/>
                <w:szCs w:val="24"/>
              </w:rPr>
              <w:t>759,817.39</w:t>
            </w:r>
          </w:p>
        </w:tc>
        <w:tc>
          <w:tcPr>
            <w:tcW w:w="1843" w:type="dxa"/>
            <w:vAlign w:val="center"/>
          </w:tcPr>
          <w:p w:rsidR="00C370E0" w:rsidRPr="00232B03" w:rsidRDefault="00C370E0" w:rsidP="00B05049">
            <w:pPr>
              <w:spacing w:before="29" w:line="360" w:lineRule="auto"/>
              <w:ind w:left="17"/>
              <w:jc w:val="right"/>
              <w:rPr>
                <w:color w:val="000000"/>
                <w:kern w:val="0"/>
                <w:sz w:val="24"/>
                <w:szCs w:val="24"/>
              </w:rPr>
            </w:pPr>
            <w:r w:rsidRPr="00232B03">
              <w:rPr>
                <w:color w:val="000000"/>
                <w:kern w:val="0"/>
                <w:sz w:val="24"/>
                <w:szCs w:val="24"/>
              </w:rPr>
              <w:t>7.00</w:t>
            </w:r>
          </w:p>
        </w:tc>
      </w:tr>
      <w:tr w:rsidR="00C370E0" w:rsidRPr="00264E55" w:rsidTr="00B05049">
        <w:trPr>
          <w:jc w:val="center"/>
        </w:trPr>
        <w:tc>
          <w:tcPr>
            <w:tcW w:w="720" w:type="dxa"/>
            <w:vAlign w:val="center"/>
          </w:tcPr>
          <w:p w:rsidR="00C370E0" w:rsidRPr="00232B03" w:rsidRDefault="00C370E0" w:rsidP="00C370E0">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C370E0" w:rsidRPr="00232B03" w:rsidRDefault="00C370E0" w:rsidP="00B05049">
            <w:pPr>
              <w:jc w:val="left"/>
              <w:rPr>
                <w:kern w:val="0"/>
                <w:sz w:val="24"/>
                <w:szCs w:val="24"/>
              </w:rPr>
            </w:pPr>
            <w:r w:rsidRPr="00232B03">
              <w:rPr>
                <w:color w:val="000000"/>
                <w:kern w:val="0"/>
                <w:sz w:val="24"/>
                <w:szCs w:val="24"/>
              </w:rPr>
              <w:t>其他资产</w:t>
            </w:r>
          </w:p>
        </w:tc>
        <w:tc>
          <w:tcPr>
            <w:tcW w:w="2977" w:type="dxa"/>
            <w:vAlign w:val="center"/>
          </w:tcPr>
          <w:p w:rsidR="00C370E0" w:rsidRPr="00232B03" w:rsidRDefault="00C370E0" w:rsidP="00B05049">
            <w:pPr>
              <w:jc w:val="right"/>
              <w:rPr>
                <w:color w:val="000000"/>
                <w:kern w:val="0"/>
                <w:sz w:val="24"/>
                <w:szCs w:val="24"/>
              </w:rPr>
            </w:pPr>
            <w:r w:rsidRPr="00232B03">
              <w:rPr>
                <w:color w:val="000000"/>
                <w:kern w:val="0"/>
                <w:sz w:val="24"/>
                <w:szCs w:val="24"/>
              </w:rPr>
              <w:t>7,963.33</w:t>
            </w:r>
          </w:p>
        </w:tc>
        <w:tc>
          <w:tcPr>
            <w:tcW w:w="1843" w:type="dxa"/>
            <w:vAlign w:val="center"/>
          </w:tcPr>
          <w:p w:rsidR="00C370E0" w:rsidRPr="00232B03" w:rsidRDefault="00C370E0" w:rsidP="00B05049">
            <w:pPr>
              <w:jc w:val="right"/>
              <w:rPr>
                <w:color w:val="000000"/>
                <w:kern w:val="0"/>
                <w:sz w:val="24"/>
                <w:szCs w:val="24"/>
              </w:rPr>
            </w:pPr>
            <w:r w:rsidRPr="00232B03">
              <w:rPr>
                <w:color w:val="000000"/>
                <w:kern w:val="0"/>
                <w:sz w:val="24"/>
                <w:szCs w:val="24"/>
              </w:rPr>
              <w:t>0.07</w:t>
            </w:r>
          </w:p>
        </w:tc>
      </w:tr>
      <w:tr w:rsidR="00C370E0" w:rsidRPr="00264E55" w:rsidTr="00B05049">
        <w:trPr>
          <w:jc w:val="center"/>
        </w:trPr>
        <w:tc>
          <w:tcPr>
            <w:tcW w:w="720" w:type="dxa"/>
            <w:vAlign w:val="center"/>
          </w:tcPr>
          <w:p w:rsidR="00C370E0" w:rsidRPr="00232B03" w:rsidRDefault="00C370E0" w:rsidP="00BF4727">
            <w:pPr>
              <w:spacing w:before="29" w:line="360" w:lineRule="auto"/>
              <w:ind w:left="17"/>
              <w:jc w:val="center"/>
              <w:rPr>
                <w:color w:val="000000"/>
                <w:kern w:val="0"/>
                <w:sz w:val="24"/>
                <w:szCs w:val="24"/>
              </w:rPr>
            </w:pPr>
            <w:r w:rsidRPr="00232B03">
              <w:rPr>
                <w:color w:val="000000"/>
                <w:kern w:val="0"/>
                <w:sz w:val="24"/>
                <w:szCs w:val="24"/>
              </w:rPr>
              <w:t>9</w:t>
            </w:r>
          </w:p>
        </w:tc>
        <w:tc>
          <w:tcPr>
            <w:tcW w:w="3357" w:type="dxa"/>
            <w:vAlign w:val="center"/>
          </w:tcPr>
          <w:p w:rsidR="00C370E0" w:rsidRPr="00232B03" w:rsidRDefault="00C370E0" w:rsidP="00B05049">
            <w:pPr>
              <w:jc w:val="left"/>
              <w:rPr>
                <w:kern w:val="0"/>
                <w:sz w:val="24"/>
                <w:szCs w:val="24"/>
              </w:rPr>
            </w:pPr>
            <w:r w:rsidRPr="00232B03">
              <w:rPr>
                <w:color w:val="000000"/>
                <w:kern w:val="0"/>
                <w:sz w:val="24"/>
                <w:szCs w:val="24"/>
              </w:rPr>
              <w:t>合计</w:t>
            </w:r>
          </w:p>
        </w:tc>
        <w:tc>
          <w:tcPr>
            <w:tcW w:w="2977" w:type="dxa"/>
            <w:vAlign w:val="center"/>
          </w:tcPr>
          <w:p w:rsidR="00C370E0" w:rsidRPr="00232B03" w:rsidRDefault="00C370E0" w:rsidP="00B05049">
            <w:pPr>
              <w:jc w:val="right"/>
              <w:rPr>
                <w:color w:val="000000"/>
                <w:kern w:val="0"/>
                <w:sz w:val="24"/>
                <w:szCs w:val="24"/>
              </w:rPr>
            </w:pPr>
            <w:r w:rsidRPr="00232B03">
              <w:rPr>
                <w:color w:val="000000"/>
                <w:kern w:val="0"/>
                <w:sz w:val="24"/>
                <w:szCs w:val="24"/>
              </w:rPr>
              <w:t>10,852,432.25</w:t>
            </w:r>
          </w:p>
        </w:tc>
        <w:tc>
          <w:tcPr>
            <w:tcW w:w="1843" w:type="dxa"/>
            <w:vAlign w:val="center"/>
          </w:tcPr>
          <w:p w:rsidR="00C370E0" w:rsidRPr="00232B03" w:rsidRDefault="00C370E0"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p w:rsidR="008C2A4F" w:rsidRPr="00403A06" w:rsidRDefault="008C2A4F" w:rsidP="00403A06">
      <w:pPr>
        <w:spacing w:line="360" w:lineRule="auto"/>
        <w:ind w:firstLineChars="200" w:firstLine="480"/>
        <w:rPr>
          <w:color w:val="000000"/>
          <w:sz w:val="24"/>
          <w:szCs w:val="24"/>
        </w:rPr>
      </w:pPr>
      <w:r w:rsidRPr="00403A06">
        <w:rPr>
          <w:color w:val="000000"/>
          <w:sz w:val="24"/>
          <w:szCs w:val="24"/>
        </w:rPr>
        <w:t>本基金本报告期末未持有境内股票。</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本基金本报告期末未持有股票。</w:t>
      </w:r>
    </w:p>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p w:rsidR="00750D48" w:rsidRPr="00232B03" w:rsidRDefault="00CA4677" w:rsidP="00403A06">
      <w:pPr>
        <w:spacing w:line="360" w:lineRule="auto"/>
        <w:ind w:firstLineChars="200" w:firstLine="480"/>
        <w:rPr>
          <w:color w:val="000000"/>
          <w:sz w:val="24"/>
          <w:szCs w:val="24"/>
        </w:rPr>
      </w:pPr>
      <w:r w:rsidRPr="00403A06">
        <w:rPr>
          <w:color w:val="000000"/>
          <w:sz w:val="24"/>
          <w:szCs w:val="24"/>
        </w:rPr>
        <w:t>本基金本报告期末未持有债券。</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本基金本报告期末未持有债券。</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033E3E" w:rsidRDefault="00033E3E" w:rsidP="00033E3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C26ADA" w:rsidRDefault="00C26ADA" w:rsidP="00C26ADA">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lastRenderedPageBreak/>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5.11.2本基金本报告期没有投资股票，因此不存在投资的前十名股票超出基金合同规定的备选股票库情况。</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1,506.51</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862.05</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180.09</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5,414.68</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7,963.33</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本基金本报告期末未持有处于转股期的可转换债券。</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本基金本报告期末未持有股票。</w:t>
      </w:r>
    </w:p>
    <w:p w:rsidR="006A5FB3" w:rsidRPr="006A5FB3" w:rsidRDefault="006A5FB3" w:rsidP="006A5FB3">
      <w:pPr>
        <w:pStyle w:val="1"/>
        <w:spacing w:beforeLines="100" w:before="312" w:afterLines="100" w:after="312" w:line="360" w:lineRule="auto"/>
        <w:jc w:val="center"/>
        <w:rPr>
          <w:color w:val="000000"/>
          <w:kern w:val="0"/>
          <w:sz w:val="24"/>
          <w:szCs w:val="24"/>
        </w:rPr>
      </w:pPr>
      <w:r w:rsidRPr="006A5FB3">
        <w:rPr>
          <w:color w:val="000000"/>
          <w:kern w:val="0"/>
          <w:sz w:val="24"/>
          <w:szCs w:val="24"/>
        </w:rPr>
        <w:t>§6</w:t>
      </w:r>
      <w:r w:rsidR="006D75A5" w:rsidRPr="00264E55">
        <w:rPr>
          <w:rFonts w:ascii="宋体" w:hAnsi="宋体"/>
          <w:color w:val="000000"/>
          <w:kern w:val="0"/>
          <w:sz w:val="24"/>
          <w:szCs w:val="24"/>
        </w:rPr>
        <w:t xml:space="preserve">  </w:t>
      </w:r>
      <w:r w:rsidRPr="006A5FB3">
        <w:rPr>
          <w:color w:val="000000"/>
          <w:kern w:val="0"/>
          <w:sz w:val="24"/>
          <w:szCs w:val="24"/>
        </w:rPr>
        <w:t>基金中基金</w:t>
      </w:r>
    </w:p>
    <w:p w:rsidR="006A5FB3" w:rsidRPr="006A5FB3" w:rsidRDefault="006A5FB3" w:rsidP="006A5FB3">
      <w:pPr>
        <w:autoSpaceDE w:val="0"/>
        <w:autoSpaceDN w:val="0"/>
        <w:adjustRightInd w:val="0"/>
        <w:spacing w:line="360" w:lineRule="auto"/>
        <w:jc w:val="left"/>
        <w:rPr>
          <w:color w:val="000000"/>
          <w:sz w:val="24"/>
          <w:szCs w:val="24"/>
        </w:rPr>
      </w:pPr>
      <w:r w:rsidRPr="006A5FB3">
        <w:rPr>
          <w:color w:val="000000"/>
          <w:sz w:val="24"/>
          <w:szCs w:val="24"/>
        </w:rPr>
        <w:t xml:space="preserve">6.1 </w:t>
      </w:r>
      <w:r w:rsidRPr="006A5FB3">
        <w:rPr>
          <w:color w:val="000000"/>
          <w:sz w:val="24"/>
          <w:szCs w:val="24"/>
        </w:rPr>
        <w:t>报告期末按公允价值占基金资产净值比例大小排序的前十名基金投资明细</w:t>
      </w:r>
    </w:p>
    <w:tbl>
      <w:tblPr>
        <w:tblStyle w:val="af7"/>
        <w:tblW w:w="4863" w:type="pct"/>
        <w:tblInd w:w="108" w:type="dxa"/>
        <w:tblLayout w:type="fixed"/>
        <w:tblLook w:val="04A0" w:firstRow="1" w:lastRow="0" w:firstColumn="1" w:lastColumn="0" w:noHBand="0" w:noVBand="1"/>
      </w:tblPr>
      <w:tblGrid>
        <w:gridCol w:w="668"/>
        <w:gridCol w:w="1068"/>
        <w:gridCol w:w="1072"/>
        <w:gridCol w:w="1072"/>
        <w:gridCol w:w="1070"/>
        <w:gridCol w:w="1204"/>
        <w:gridCol w:w="1072"/>
        <w:gridCol w:w="1068"/>
      </w:tblGrid>
      <w:tr w:rsidR="006A5FB3" w:rsidRPr="006A5FB3" w:rsidTr="00F94C5F">
        <w:tc>
          <w:tcPr>
            <w:tcW w:w="403" w:type="pct"/>
            <w:vAlign w:val="center"/>
          </w:tcPr>
          <w:p w:rsidR="006A5FB3" w:rsidRPr="006A5FB3" w:rsidRDefault="006A5FB3" w:rsidP="00F94C5F">
            <w:pPr>
              <w:pStyle w:val="Default"/>
              <w:spacing w:line="276" w:lineRule="auto"/>
              <w:jc w:val="center"/>
              <w:rPr>
                <w:rFonts w:ascii="Times New Roman" w:hAnsi="Times New Roman" w:cs="Times New Roman"/>
              </w:rPr>
            </w:pPr>
            <w:r w:rsidRPr="006A5FB3">
              <w:rPr>
                <w:rFonts w:ascii="Times New Roman" w:hAnsi="Times New Roman" w:cs="Times New Roman"/>
              </w:rPr>
              <w:t>序号</w:t>
            </w:r>
          </w:p>
        </w:tc>
        <w:tc>
          <w:tcPr>
            <w:tcW w:w="644" w:type="pct"/>
            <w:vAlign w:val="center"/>
          </w:tcPr>
          <w:p w:rsidR="006A5FB3" w:rsidRPr="006A5FB3" w:rsidRDefault="006A5FB3" w:rsidP="00F94C5F">
            <w:pPr>
              <w:pStyle w:val="Default"/>
              <w:spacing w:line="276" w:lineRule="auto"/>
              <w:jc w:val="center"/>
              <w:rPr>
                <w:rFonts w:ascii="Times New Roman" w:hAnsi="Times New Roman" w:cs="Times New Roman"/>
              </w:rPr>
            </w:pPr>
            <w:r w:rsidRPr="006A5FB3">
              <w:rPr>
                <w:rFonts w:ascii="Times New Roman" w:hAnsi="Times New Roman" w:cs="Times New Roman"/>
              </w:rPr>
              <w:t>基金代码</w:t>
            </w:r>
          </w:p>
        </w:tc>
        <w:tc>
          <w:tcPr>
            <w:tcW w:w="646" w:type="pct"/>
            <w:vAlign w:val="center"/>
          </w:tcPr>
          <w:p w:rsidR="006A5FB3" w:rsidRPr="006A5FB3" w:rsidRDefault="006A5FB3" w:rsidP="00F94C5F">
            <w:pPr>
              <w:pStyle w:val="Default"/>
              <w:spacing w:line="276" w:lineRule="auto"/>
              <w:jc w:val="center"/>
              <w:rPr>
                <w:rFonts w:ascii="Times New Roman" w:hAnsi="Times New Roman" w:cs="Times New Roman"/>
              </w:rPr>
            </w:pPr>
            <w:r w:rsidRPr="006A5FB3">
              <w:rPr>
                <w:rFonts w:ascii="Times New Roman" w:hAnsi="Times New Roman" w:cs="Times New Roman"/>
              </w:rPr>
              <w:t>基金名称</w:t>
            </w:r>
          </w:p>
        </w:tc>
        <w:tc>
          <w:tcPr>
            <w:tcW w:w="646" w:type="pct"/>
            <w:vAlign w:val="center"/>
          </w:tcPr>
          <w:p w:rsidR="006A5FB3" w:rsidRPr="006A5FB3" w:rsidRDefault="006A5FB3" w:rsidP="00F94C5F">
            <w:pPr>
              <w:pStyle w:val="Default"/>
              <w:spacing w:line="276" w:lineRule="auto"/>
              <w:jc w:val="center"/>
              <w:rPr>
                <w:rFonts w:ascii="Times New Roman" w:hAnsi="Times New Roman" w:cs="Times New Roman"/>
              </w:rPr>
            </w:pPr>
            <w:r w:rsidRPr="006A5FB3">
              <w:rPr>
                <w:rFonts w:ascii="Times New Roman" w:hAnsi="Times New Roman" w:cs="Times New Roman"/>
              </w:rPr>
              <w:t>运作方式</w:t>
            </w:r>
          </w:p>
        </w:tc>
        <w:tc>
          <w:tcPr>
            <w:tcW w:w="645" w:type="pct"/>
            <w:vAlign w:val="center"/>
          </w:tcPr>
          <w:p w:rsidR="006A5FB3" w:rsidRPr="006A5FB3" w:rsidRDefault="006A5FB3" w:rsidP="00F94C5F">
            <w:pPr>
              <w:pStyle w:val="Default"/>
              <w:spacing w:line="276" w:lineRule="auto"/>
              <w:jc w:val="center"/>
              <w:rPr>
                <w:rFonts w:ascii="Times New Roman" w:hAnsi="Times New Roman" w:cs="Times New Roman"/>
              </w:rPr>
            </w:pPr>
            <w:r w:rsidRPr="006A5FB3">
              <w:rPr>
                <w:rFonts w:ascii="Times New Roman" w:hAnsi="Times New Roman" w:cs="Times New Roman"/>
              </w:rPr>
              <w:t>持有份额（份）</w:t>
            </w:r>
          </w:p>
        </w:tc>
        <w:tc>
          <w:tcPr>
            <w:tcW w:w="726" w:type="pct"/>
            <w:vAlign w:val="center"/>
          </w:tcPr>
          <w:p w:rsidR="006A5FB3" w:rsidRPr="006A5FB3" w:rsidRDefault="006A5FB3" w:rsidP="00F94C5F">
            <w:pPr>
              <w:pStyle w:val="Default"/>
              <w:spacing w:line="276" w:lineRule="auto"/>
              <w:jc w:val="center"/>
              <w:rPr>
                <w:rFonts w:ascii="Times New Roman" w:hAnsi="Times New Roman" w:cs="Times New Roman"/>
              </w:rPr>
            </w:pPr>
            <w:r w:rsidRPr="006A5FB3">
              <w:rPr>
                <w:rFonts w:ascii="Times New Roman" w:hAnsi="Times New Roman" w:cs="Times New Roman"/>
              </w:rPr>
              <w:t>公允价值（元）</w:t>
            </w:r>
          </w:p>
        </w:tc>
        <w:tc>
          <w:tcPr>
            <w:tcW w:w="646" w:type="pct"/>
            <w:vAlign w:val="center"/>
          </w:tcPr>
          <w:p w:rsidR="006A5FB3" w:rsidRPr="006A5FB3" w:rsidRDefault="006A5FB3" w:rsidP="00F94C5F">
            <w:pPr>
              <w:pStyle w:val="Default"/>
              <w:spacing w:line="276" w:lineRule="auto"/>
              <w:jc w:val="center"/>
              <w:rPr>
                <w:rFonts w:ascii="Times New Roman" w:hAnsi="Times New Roman" w:cs="Times New Roman"/>
              </w:rPr>
            </w:pPr>
            <w:r w:rsidRPr="006A5FB3">
              <w:rPr>
                <w:rFonts w:ascii="Times New Roman" w:hAnsi="Times New Roman" w:cs="Times New Roman"/>
              </w:rPr>
              <w:t>占基金资产净值比例（</w:t>
            </w:r>
            <w:r w:rsidRPr="006A5FB3">
              <w:rPr>
                <w:rFonts w:ascii="Times New Roman" w:hAnsi="Times New Roman" w:cs="Times New Roman"/>
              </w:rPr>
              <w:t>%</w:t>
            </w:r>
            <w:r w:rsidRPr="006A5FB3">
              <w:rPr>
                <w:rFonts w:ascii="Times New Roman" w:hAnsi="Times New Roman" w:cs="Times New Roman"/>
              </w:rPr>
              <w:t>）</w:t>
            </w:r>
          </w:p>
        </w:tc>
        <w:tc>
          <w:tcPr>
            <w:tcW w:w="645" w:type="pct"/>
            <w:vAlign w:val="center"/>
          </w:tcPr>
          <w:p w:rsidR="006A5FB3" w:rsidRPr="006A5FB3" w:rsidRDefault="006A5FB3" w:rsidP="00F94C5F">
            <w:pPr>
              <w:pStyle w:val="Default"/>
              <w:spacing w:line="276" w:lineRule="auto"/>
              <w:jc w:val="center"/>
              <w:rPr>
                <w:rFonts w:ascii="Times New Roman" w:hAnsi="Times New Roman" w:cs="Times New Roman"/>
              </w:rPr>
            </w:pPr>
            <w:r w:rsidRPr="006A5FB3">
              <w:rPr>
                <w:rFonts w:ascii="Times New Roman" w:hAnsi="Times New Roman" w:cs="Times New Roman"/>
              </w:rPr>
              <w:t>是否属于基金管理人及管理人关联方所管理的基</w:t>
            </w:r>
            <w:r w:rsidRPr="006A5FB3">
              <w:rPr>
                <w:rFonts w:ascii="Times New Roman" w:hAnsi="Times New Roman" w:cs="Times New Roman"/>
              </w:rPr>
              <w:lastRenderedPageBreak/>
              <w:t>金</w:t>
            </w:r>
          </w:p>
        </w:tc>
      </w:tr>
      <w:tr w:rsidR="00565B7C">
        <w:tc>
          <w:tcPr>
            <w:tcW w:w="668" w:type="dxa"/>
            <w:vAlign w:val="center"/>
          </w:tcPr>
          <w:p w:rsidR="00565B7C" w:rsidRDefault="004578F5">
            <w:pPr>
              <w:jc w:val="center"/>
            </w:pPr>
            <w:r>
              <w:rPr>
                <w:sz w:val="24"/>
                <w:szCs w:val="24"/>
              </w:rPr>
              <w:lastRenderedPageBreak/>
              <w:t>1</w:t>
            </w:r>
          </w:p>
        </w:tc>
        <w:tc>
          <w:tcPr>
            <w:tcW w:w="1068" w:type="dxa"/>
            <w:vAlign w:val="center"/>
          </w:tcPr>
          <w:p w:rsidR="00565B7C" w:rsidRDefault="004578F5">
            <w:pPr>
              <w:jc w:val="center"/>
            </w:pPr>
            <w:r>
              <w:rPr>
                <w:sz w:val="24"/>
                <w:szCs w:val="24"/>
              </w:rPr>
              <w:t>000290</w:t>
            </w:r>
          </w:p>
        </w:tc>
        <w:tc>
          <w:tcPr>
            <w:tcW w:w="1072" w:type="dxa"/>
            <w:vAlign w:val="center"/>
          </w:tcPr>
          <w:p w:rsidR="00565B7C" w:rsidRDefault="004578F5">
            <w:pPr>
              <w:jc w:val="center"/>
            </w:pPr>
            <w:r>
              <w:rPr>
                <w:sz w:val="24"/>
                <w:szCs w:val="24"/>
              </w:rPr>
              <w:t>鹏华全球高收益债</w:t>
            </w:r>
            <w:r>
              <w:rPr>
                <w:sz w:val="24"/>
                <w:szCs w:val="24"/>
              </w:rPr>
              <w:t>(QDII)</w:t>
            </w:r>
          </w:p>
        </w:tc>
        <w:tc>
          <w:tcPr>
            <w:tcW w:w="1072" w:type="dxa"/>
            <w:vAlign w:val="center"/>
          </w:tcPr>
          <w:p w:rsidR="00565B7C" w:rsidRDefault="004578F5">
            <w:pPr>
              <w:jc w:val="center"/>
            </w:pPr>
            <w:r>
              <w:rPr>
                <w:sz w:val="24"/>
                <w:szCs w:val="24"/>
              </w:rPr>
              <w:t>契约型开放式</w:t>
            </w:r>
          </w:p>
        </w:tc>
        <w:tc>
          <w:tcPr>
            <w:tcW w:w="1070" w:type="dxa"/>
            <w:vAlign w:val="center"/>
          </w:tcPr>
          <w:p w:rsidR="00565B7C" w:rsidRDefault="004578F5">
            <w:pPr>
              <w:jc w:val="center"/>
            </w:pPr>
            <w:r>
              <w:rPr>
                <w:sz w:val="24"/>
                <w:szCs w:val="24"/>
              </w:rPr>
              <w:t>840,231.91</w:t>
            </w:r>
          </w:p>
        </w:tc>
        <w:tc>
          <w:tcPr>
            <w:tcW w:w="1204" w:type="dxa"/>
            <w:vAlign w:val="center"/>
          </w:tcPr>
          <w:p w:rsidR="00565B7C" w:rsidRDefault="004578F5">
            <w:pPr>
              <w:jc w:val="center"/>
            </w:pPr>
            <w:r>
              <w:rPr>
                <w:sz w:val="24"/>
                <w:szCs w:val="24"/>
              </w:rPr>
              <w:t>1,002,060.58</w:t>
            </w:r>
          </w:p>
        </w:tc>
        <w:tc>
          <w:tcPr>
            <w:tcW w:w="1072" w:type="dxa"/>
            <w:vAlign w:val="center"/>
          </w:tcPr>
          <w:p w:rsidR="00565B7C" w:rsidRDefault="004578F5">
            <w:pPr>
              <w:jc w:val="center"/>
            </w:pPr>
            <w:r>
              <w:rPr>
                <w:sz w:val="24"/>
                <w:szCs w:val="24"/>
              </w:rPr>
              <w:t>9.25%</w:t>
            </w:r>
          </w:p>
        </w:tc>
        <w:tc>
          <w:tcPr>
            <w:tcW w:w="1068" w:type="dxa"/>
            <w:vAlign w:val="center"/>
          </w:tcPr>
          <w:p w:rsidR="00565B7C" w:rsidRDefault="004578F5">
            <w:pPr>
              <w:jc w:val="center"/>
            </w:pPr>
            <w:r>
              <w:rPr>
                <w:sz w:val="24"/>
                <w:szCs w:val="24"/>
              </w:rPr>
              <w:t>否</w:t>
            </w:r>
          </w:p>
        </w:tc>
      </w:tr>
      <w:tr w:rsidR="00565B7C">
        <w:tc>
          <w:tcPr>
            <w:tcW w:w="668" w:type="dxa"/>
            <w:vAlign w:val="center"/>
          </w:tcPr>
          <w:p w:rsidR="00565B7C" w:rsidRDefault="004578F5">
            <w:pPr>
              <w:jc w:val="center"/>
            </w:pPr>
            <w:r>
              <w:rPr>
                <w:sz w:val="24"/>
                <w:szCs w:val="24"/>
              </w:rPr>
              <w:t>2</w:t>
            </w:r>
          </w:p>
        </w:tc>
        <w:tc>
          <w:tcPr>
            <w:tcW w:w="1068" w:type="dxa"/>
            <w:vAlign w:val="center"/>
          </w:tcPr>
          <w:p w:rsidR="00565B7C" w:rsidRDefault="004578F5">
            <w:pPr>
              <w:jc w:val="center"/>
            </w:pPr>
            <w:r>
              <w:rPr>
                <w:sz w:val="24"/>
                <w:szCs w:val="24"/>
              </w:rPr>
              <w:t>000205</w:t>
            </w:r>
          </w:p>
        </w:tc>
        <w:tc>
          <w:tcPr>
            <w:tcW w:w="1072" w:type="dxa"/>
            <w:vAlign w:val="center"/>
          </w:tcPr>
          <w:p w:rsidR="00565B7C" w:rsidRDefault="004578F5">
            <w:pPr>
              <w:jc w:val="center"/>
            </w:pPr>
            <w:r>
              <w:rPr>
                <w:sz w:val="24"/>
                <w:szCs w:val="24"/>
              </w:rPr>
              <w:t>易方达投资级信用债债券</w:t>
            </w:r>
            <w:r>
              <w:rPr>
                <w:sz w:val="24"/>
                <w:szCs w:val="24"/>
              </w:rPr>
              <w:t>A</w:t>
            </w:r>
          </w:p>
        </w:tc>
        <w:tc>
          <w:tcPr>
            <w:tcW w:w="1072" w:type="dxa"/>
            <w:vAlign w:val="center"/>
          </w:tcPr>
          <w:p w:rsidR="00565B7C" w:rsidRDefault="004578F5">
            <w:pPr>
              <w:jc w:val="center"/>
            </w:pPr>
            <w:r>
              <w:rPr>
                <w:sz w:val="24"/>
                <w:szCs w:val="24"/>
              </w:rPr>
              <w:t>契约型开放式</w:t>
            </w:r>
          </w:p>
        </w:tc>
        <w:tc>
          <w:tcPr>
            <w:tcW w:w="1070" w:type="dxa"/>
            <w:vAlign w:val="center"/>
          </w:tcPr>
          <w:p w:rsidR="00565B7C" w:rsidRDefault="004578F5">
            <w:pPr>
              <w:jc w:val="center"/>
            </w:pPr>
            <w:r>
              <w:rPr>
                <w:sz w:val="24"/>
                <w:szCs w:val="24"/>
              </w:rPr>
              <w:t>877,192.98</w:t>
            </w:r>
          </w:p>
        </w:tc>
        <w:tc>
          <w:tcPr>
            <w:tcW w:w="1204" w:type="dxa"/>
            <w:vAlign w:val="center"/>
          </w:tcPr>
          <w:p w:rsidR="00565B7C" w:rsidRDefault="004578F5">
            <w:pPr>
              <w:jc w:val="center"/>
            </w:pPr>
            <w:r>
              <w:rPr>
                <w:sz w:val="24"/>
                <w:szCs w:val="24"/>
              </w:rPr>
              <w:t>1,001,754.38</w:t>
            </w:r>
          </w:p>
        </w:tc>
        <w:tc>
          <w:tcPr>
            <w:tcW w:w="1072" w:type="dxa"/>
            <w:vAlign w:val="center"/>
          </w:tcPr>
          <w:p w:rsidR="00565B7C" w:rsidRDefault="004578F5">
            <w:pPr>
              <w:jc w:val="center"/>
            </w:pPr>
            <w:r>
              <w:rPr>
                <w:sz w:val="24"/>
                <w:szCs w:val="24"/>
              </w:rPr>
              <w:t>9.25%</w:t>
            </w:r>
          </w:p>
        </w:tc>
        <w:tc>
          <w:tcPr>
            <w:tcW w:w="1068" w:type="dxa"/>
            <w:vAlign w:val="center"/>
          </w:tcPr>
          <w:p w:rsidR="00565B7C" w:rsidRDefault="004578F5">
            <w:pPr>
              <w:jc w:val="center"/>
            </w:pPr>
            <w:r>
              <w:rPr>
                <w:sz w:val="24"/>
                <w:szCs w:val="24"/>
              </w:rPr>
              <w:t>是</w:t>
            </w:r>
          </w:p>
        </w:tc>
      </w:tr>
      <w:tr w:rsidR="00565B7C">
        <w:tc>
          <w:tcPr>
            <w:tcW w:w="668" w:type="dxa"/>
            <w:vAlign w:val="center"/>
          </w:tcPr>
          <w:p w:rsidR="00565B7C" w:rsidRDefault="004578F5">
            <w:pPr>
              <w:jc w:val="center"/>
            </w:pPr>
            <w:r>
              <w:rPr>
                <w:sz w:val="24"/>
                <w:szCs w:val="24"/>
              </w:rPr>
              <w:t>3</w:t>
            </w:r>
          </w:p>
        </w:tc>
        <w:tc>
          <w:tcPr>
            <w:tcW w:w="1068" w:type="dxa"/>
            <w:vAlign w:val="center"/>
          </w:tcPr>
          <w:p w:rsidR="00565B7C" w:rsidRDefault="004578F5">
            <w:pPr>
              <w:jc w:val="center"/>
            </w:pPr>
            <w:r>
              <w:rPr>
                <w:sz w:val="24"/>
                <w:szCs w:val="24"/>
              </w:rPr>
              <w:t>110037</w:t>
            </w:r>
          </w:p>
        </w:tc>
        <w:tc>
          <w:tcPr>
            <w:tcW w:w="1072" w:type="dxa"/>
            <w:vAlign w:val="center"/>
          </w:tcPr>
          <w:p w:rsidR="00565B7C" w:rsidRDefault="004578F5">
            <w:pPr>
              <w:jc w:val="center"/>
            </w:pPr>
            <w:r>
              <w:rPr>
                <w:sz w:val="24"/>
                <w:szCs w:val="24"/>
              </w:rPr>
              <w:t>易方达纯债债券</w:t>
            </w:r>
            <w:r>
              <w:rPr>
                <w:sz w:val="24"/>
                <w:szCs w:val="24"/>
              </w:rPr>
              <w:t>A</w:t>
            </w:r>
          </w:p>
        </w:tc>
        <w:tc>
          <w:tcPr>
            <w:tcW w:w="1072" w:type="dxa"/>
            <w:vAlign w:val="center"/>
          </w:tcPr>
          <w:p w:rsidR="00565B7C" w:rsidRDefault="004578F5">
            <w:pPr>
              <w:jc w:val="center"/>
            </w:pPr>
            <w:r>
              <w:rPr>
                <w:sz w:val="24"/>
                <w:szCs w:val="24"/>
              </w:rPr>
              <w:t>契约型开放式</w:t>
            </w:r>
          </w:p>
        </w:tc>
        <w:tc>
          <w:tcPr>
            <w:tcW w:w="1070" w:type="dxa"/>
            <w:vAlign w:val="center"/>
          </w:tcPr>
          <w:p w:rsidR="00565B7C" w:rsidRDefault="004578F5">
            <w:pPr>
              <w:jc w:val="center"/>
            </w:pPr>
            <w:r>
              <w:rPr>
                <w:sz w:val="24"/>
                <w:szCs w:val="24"/>
              </w:rPr>
              <w:t>881,834.22</w:t>
            </w:r>
          </w:p>
        </w:tc>
        <w:tc>
          <w:tcPr>
            <w:tcW w:w="1204" w:type="dxa"/>
            <w:vAlign w:val="center"/>
          </w:tcPr>
          <w:p w:rsidR="00565B7C" w:rsidRDefault="004578F5">
            <w:pPr>
              <w:jc w:val="center"/>
            </w:pPr>
            <w:r>
              <w:rPr>
                <w:sz w:val="24"/>
                <w:szCs w:val="24"/>
              </w:rPr>
              <w:t>983,245.16</w:t>
            </w:r>
          </w:p>
        </w:tc>
        <w:tc>
          <w:tcPr>
            <w:tcW w:w="1072" w:type="dxa"/>
            <w:vAlign w:val="center"/>
          </w:tcPr>
          <w:p w:rsidR="00565B7C" w:rsidRDefault="004578F5">
            <w:pPr>
              <w:jc w:val="center"/>
            </w:pPr>
            <w:r>
              <w:rPr>
                <w:sz w:val="24"/>
                <w:szCs w:val="24"/>
              </w:rPr>
              <w:t>9.08%</w:t>
            </w:r>
          </w:p>
        </w:tc>
        <w:tc>
          <w:tcPr>
            <w:tcW w:w="1068" w:type="dxa"/>
            <w:vAlign w:val="center"/>
          </w:tcPr>
          <w:p w:rsidR="00565B7C" w:rsidRDefault="004578F5">
            <w:pPr>
              <w:jc w:val="center"/>
            </w:pPr>
            <w:r>
              <w:rPr>
                <w:sz w:val="24"/>
                <w:szCs w:val="24"/>
              </w:rPr>
              <w:t>是</w:t>
            </w:r>
          </w:p>
        </w:tc>
      </w:tr>
      <w:tr w:rsidR="00565B7C">
        <w:tc>
          <w:tcPr>
            <w:tcW w:w="668" w:type="dxa"/>
            <w:vAlign w:val="center"/>
          </w:tcPr>
          <w:p w:rsidR="00565B7C" w:rsidRDefault="004578F5">
            <w:pPr>
              <w:jc w:val="center"/>
            </w:pPr>
            <w:r>
              <w:rPr>
                <w:sz w:val="24"/>
                <w:szCs w:val="24"/>
              </w:rPr>
              <w:t>4</w:t>
            </w:r>
          </w:p>
        </w:tc>
        <w:tc>
          <w:tcPr>
            <w:tcW w:w="1068" w:type="dxa"/>
            <w:vAlign w:val="center"/>
          </w:tcPr>
          <w:p w:rsidR="00565B7C" w:rsidRDefault="004578F5">
            <w:pPr>
              <w:jc w:val="center"/>
            </w:pPr>
            <w:r>
              <w:rPr>
                <w:sz w:val="24"/>
                <w:szCs w:val="24"/>
              </w:rPr>
              <w:t>000147</w:t>
            </w:r>
          </w:p>
        </w:tc>
        <w:tc>
          <w:tcPr>
            <w:tcW w:w="1072" w:type="dxa"/>
            <w:vAlign w:val="center"/>
          </w:tcPr>
          <w:p w:rsidR="00565B7C" w:rsidRDefault="004578F5">
            <w:pPr>
              <w:jc w:val="center"/>
            </w:pPr>
            <w:r>
              <w:rPr>
                <w:sz w:val="24"/>
                <w:szCs w:val="24"/>
              </w:rPr>
              <w:t>易方达高等级信用债债券</w:t>
            </w:r>
            <w:r>
              <w:rPr>
                <w:sz w:val="24"/>
                <w:szCs w:val="24"/>
              </w:rPr>
              <w:t>A</w:t>
            </w:r>
          </w:p>
        </w:tc>
        <w:tc>
          <w:tcPr>
            <w:tcW w:w="1072" w:type="dxa"/>
            <w:vAlign w:val="center"/>
          </w:tcPr>
          <w:p w:rsidR="00565B7C" w:rsidRDefault="004578F5">
            <w:pPr>
              <w:jc w:val="center"/>
            </w:pPr>
            <w:r>
              <w:rPr>
                <w:sz w:val="24"/>
                <w:szCs w:val="24"/>
              </w:rPr>
              <w:t>契约型开放式</w:t>
            </w:r>
          </w:p>
        </w:tc>
        <w:tc>
          <w:tcPr>
            <w:tcW w:w="1070" w:type="dxa"/>
            <w:vAlign w:val="center"/>
          </w:tcPr>
          <w:p w:rsidR="00565B7C" w:rsidRDefault="004578F5">
            <w:pPr>
              <w:jc w:val="center"/>
            </w:pPr>
            <w:r>
              <w:rPr>
                <w:sz w:val="24"/>
                <w:szCs w:val="24"/>
              </w:rPr>
              <w:t>854,846.38</w:t>
            </w:r>
          </w:p>
        </w:tc>
        <w:tc>
          <w:tcPr>
            <w:tcW w:w="1204" w:type="dxa"/>
            <w:vAlign w:val="center"/>
          </w:tcPr>
          <w:p w:rsidR="00565B7C" w:rsidRDefault="004578F5">
            <w:pPr>
              <w:jc w:val="center"/>
            </w:pPr>
            <w:r>
              <w:rPr>
                <w:sz w:val="24"/>
                <w:szCs w:val="24"/>
              </w:rPr>
              <w:t>981,363.64</w:t>
            </w:r>
          </w:p>
        </w:tc>
        <w:tc>
          <w:tcPr>
            <w:tcW w:w="1072" w:type="dxa"/>
            <w:vAlign w:val="center"/>
          </w:tcPr>
          <w:p w:rsidR="00565B7C" w:rsidRDefault="004578F5">
            <w:pPr>
              <w:jc w:val="center"/>
            </w:pPr>
            <w:r>
              <w:rPr>
                <w:sz w:val="24"/>
                <w:szCs w:val="24"/>
              </w:rPr>
              <w:t>9.06%</w:t>
            </w:r>
          </w:p>
        </w:tc>
        <w:tc>
          <w:tcPr>
            <w:tcW w:w="1068" w:type="dxa"/>
            <w:vAlign w:val="center"/>
          </w:tcPr>
          <w:p w:rsidR="00565B7C" w:rsidRDefault="004578F5">
            <w:pPr>
              <w:jc w:val="center"/>
            </w:pPr>
            <w:r>
              <w:rPr>
                <w:sz w:val="24"/>
                <w:szCs w:val="24"/>
              </w:rPr>
              <w:t>是</w:t>
            </w:r>
          </w:p>
        </w:tc>
      </w:tr>
      <w:tr w:rsidR="00565B7C">
        <w:tc>
          <w:tcPr>
            <w:tcW w:w="668" w:type="dxa"/>
            <w:vAlign w:val="center"/>
          </w:tcPr>
          <w:p w:rsidR="00565B7C" w:rsidRDefault="004578F5">
            <w:pPr>
              <w:jc w:val="center"/>
            </w:pPr>
            <w:r>
              <w:rPr>
                <w:sz w:val="24"/>
                <w:szCs w:val="24"/>
              </w:rPr>
              <w:t>5</w:t>
            </w:r>
          </w:p>
        </w:tc>
        <w:tc>
          <w:tcPr>
            <w:tcW w:w="1068" w:type="dxa"/>
            <w:vAlign w:val="center"/>
          </w:tcPr>
          <w:p w:rsidR="00565B7C" w:rsidRDefault="004578F5">
            <w:pPr>
              <w:jc w:val="center"/>
            </w:pPr>
            <w:r>
              <w:rPr>
                <w:sz w:val="24"/>
                <w:szCs w:val="24"/>
              </w:rPr>
              <w:t>110011</w:t>
            </w:r>
          </w:p>
        </w:tc>
        <w:tc>
          <w:tcPr>
            <w:tcW w:w="1072" w:type="dxa"/>
            <w:vAlign w:val="center"/>
          </w:tcPr>
          <w:p w:rsidR="00565B7C" w:rsidRDefault="004578F5">
            <w:pPr>
              <w:jc w:val="center"/>
            </w:pPr>
            <w:r>
              <w:rPr>
                <w:sz w:val="24"/>
                <w:szCs w:val="24"/>
              </w:rPr>
              <w:t>易方达中小盘混合</w:t>
            </w:r>
          </w:p>
        </w:tc>
        <w:tc>
          <w:tcPr>
            <w:tcW w:w="1072" w:type="dxa"/>
            <w:vAlign w:val="center"/>
          </w:tcPr>
          <w:p w:rsidR="00565B7C" w:rsidRDefault="004578F5">
            <w:pPr>
              <w:jc w:val="center"/>
            </w:pPr>
            <w:r>
              <w:rPr>
                <w:sz w:val="24"/>
                <w:szCs w:val="24"/>
              </w:rPr>
              <w:t>契约型开放式</w:t>
            </w:r>
          </w:p>
        </w:tc>
        <w:tc>
          <w:tcPr>
            <w:tcW w:w="1070" w:type="dxa"/>
            <w:vAlign w:val="center"/>
          </w:tcPr>
          <w:p w:rsidR="00565B7C" w:rsidRDefault="004578F5">
            <w:pPr>
              <w:jc w:val="center"/>
            </w:pPr>
            <w:r>
              <w:rPr>
                <w:sz w:val="24"/>
                <w:szCs w:val="24"/>
              </w:rPr>
              <w:t>113,960.11</w:t>
            </w:r>
          </w:p>
        </w:tc>
        <w:tc>
          <w:tcPr>
            <w:tcW w:w="1204" w:type="dxa"/>
            <w:vAlign w:val="center"/>
          </w:tcPr>
          <w:p w:rsidR="00565B7C" w:rsidRDefault="004578F5">
            <w:pPr>
              <w:jc w:val="center"/>
            </w:pPr>
            <w:r>
              <w:rPr>
                <w:sz w:val="24"/>
                <w:szCs w:val="24"/>
              </w:rPr>
              <w:t>595,931.60</w:t>
            </w:r>
          </w:p>
        </w:tc>
        <w:tc>
          <w:tcPr>
            <w:tcW w:w="1072" w:type="dxa"/>
            <w:vAlign w:val="center"/>
          </w:tcPr>
          <w:p w:rsidR="00565B7C" w:rsidRDefault="004578F5">
            <w:pPr>
              <w:jc w:val="center"/>
            </w:pPr>
            <w:r>
              <w:rPr>
                <w:sz w:val="24"/>
                <w:szCs w:val="24"/>
              </w:rPr>
              <w:t>5.50%</w:t>
            </w:r>
          </w:p>
        </w:tc>
        <w:tc>
          <w:tcPr>
            <w:tcW w:w="1068" w:type="dxa"/>
            <w:vAlign w:val="center"/>
          </w:tcPr>
          <w:p w:rsidR="00565B7C" w:rsidRDefault="004578F5">
            <w:pPr>
              <w:jc w:val="center"/>
            </w:pPr>
            <w:r>
              <w:rPr>
                <w:sz w:val="24"/>
                <w:szCs w:val="24"/>
              </w:rPr>
              <w:t>是</w:t>
            </w:r>
          </w:p>
        </w:tc>
      </w:tr>
      <w:tr w:rsidR="00565B7C">
        <w:tc>
          <w:tcPr>
            <w:tcW w:w="668" w:type="dxa"/>
            <w:vAlign w:val="center"/>
          </w:tcPr>
          <w:p w:rsidR="00565B7C" w:rsidRDefault="004578F5">
            <w:pPr>
              <w:jc w:val="center"/>
            </w:pPr>
            <w:r>
              <w:rPr>
                <w:sz w:val="24"/>
                <w:szCs w:val="24"/>
              </w:rPr>
              <w:t>6</w:t>
            </w:r>
          </w:p>
        </w:tc>
        <w:tc>
          <w:tcPr>
            <w:tcW w:w="1068" w:type="dxa"/>
            <w:vAlign w:val="center"/>
          </w:tcPr>
          <w:p w:rsidR="00565B7C" w:rsidRDefault="004578F5">
            <w:pPr>
              <w:jc w:val="center"/>
            </w:pPr>
            <w:r>
              <w:rPr>
                <w:sz w:val="24"/>
                <w:szCs w:val="24"/>
              </w:rPr>
              <w:t>000404</w:t>
            </w:r>
          </w:p>
        </w:tc>
        <w:tc>
          <w:tcPr>
            <w:tcW w:w="1072" w:type="dxa"/>
            <w:vAlign w:val="center"/>
          </w:tcPr>
          <w:p w:rsidR="00565B7C" w:rsidRDefault="004578F5">
            <w:pPr>
              <w:jc w:val="center"/>
            </w:pPr>
            <w:r>
              <w:rPr>
                <w:sz w:val="24"/>
                <w:szCs w:val="24"/>
              </w:rPr>
              <w:t>易方达新兴成长混合</w:t>
            </w:r>
          </w:p>
        </w:tc>
        <w:tc>
          <w:tcPr>
            <w:tcW w:w="1072" w:type="dxa"/>
            <w:vAlign w:val="center"/>
          </w:tcPr>
          <w:p w:rsidR="00565B7C" w:rsidRDefault="004578F5">
            <w:pPr>
              <w:jc w:val="center"/>
            </w:pPr>
            <w:r>
              <w:rPr>
                <w:sz w:val="24"/>
                <w:szCs w:val="24"/>
              </w:rPr>
              <w:t>契约型开放式</w:t>
            </w:r>
          </w:p>
        </w:tc>
        <w:tc>
          <w:tcPr>
            <w:tcW w:w="1070" w:type="dxa"/>
            <w:vAlign w:val="center"/>
          </w:tcPr>
          <w:p w:rsidR="00565B7C" w:rsidRDefault="004578F5">
            <w:pPr>
              <w:jc w:val="center"/>
            </w:pPr>
            <w:r>
              <w:rPr>
                <w:sz w:val="24"/>
                <w:szCs w:val="24"/>
              </w:rPr>
              <w:t>233,915.56</w:t>
            </w:r>
          </w:p>
        </w:tc>
        <w:tc>
          <w:tcPr>
            <w:tcW w:w="1204" w:type="dxa"/>
            <w:vAlign w:val="center"/>
          </w:tcPr>
          <w:p w:rsidR="00565B7C" w:rsidRDefault="004578F5">
            <w:pPr>
              <w:jc w:val="center"/>
            </w:pPr>
            <w:r>
              <w:rPr>
                <w:sz w:val="24"/>
                <w:szCs w:val="24"/>
              </w:rPr>
              <w:t>563,268.67</w:t>
            </w:r>
          </w:p>
        </w:tc>
        <w:tc>
          <w:tcPr>
            <w:tcW w:w="1072" w:type="dxa"/>
            <w:vAlign w:val="center"/>
          </w:tcPr>
          <w:p w:rsidR="00565B7C" w:rsidRDefault="004578F5">
            <w:pPr>
              <w:jc w:val="center"/>
            </w:pPr>
            <w:r>
              <w:rPr>
                <w:sz w:val="24"/>
                <w:szCs w:val="24"/>
              </w:rPr>
              <w:t>5.20%</w:t>
            </w:r>
          </w:p>
        </w:tc>
        <w:tc>
          <w:tcPr>
            <w:tcW w:w="1068" w:type="dxa"/>
            <w:vAlign w:val="center"/>
          </w:tcPr>
          <w:p w:rsidR="00565B7C" w:rsidRDefault="004578F5">
            <w:pPr>
              <w:jc w:val="center"/>
            </w:pPr>
            <w:r>
              <w:rPr>
                <w:sz w:val="24"/>
                <w:szCs w:val="24"/>
              </w:rPr>
              <w:t>是</w:t>
            </w:r>
          </w:p>
        </w:tc>
      </w:tr>
      <w:tr w:rsidR="00565B7C">
        <w:tc>
          <w:tcPr>
            <w:tcW w:w="668" w:type="dxa"/>
            <w:vAlign w:val="center"/>
          </w:tcPr>
          <w:p w:rsidR="00565B7C" w:rsidRDefault="004578F5">
            <w:pPr>
              <w:jc w:val="center"/>
            </w:pPr>
            <w:r>
              <w:rPr>
                <w:sz w:val="24"/>
                <w:szCs w:val="24"/>
              </w:rPr>
              <w:t>7</w:t>
            </w:r>
          </w:p>
        </w:tc>
        <w:tc>
          <w:tcPr>
            <w:tcW w:w="1068" w:type="dxa"/>
            <w:vAlign w:val="center"/>
          </w:tcPr>
          <w:p w:rsidR="00565B7C" w:rsidRDefault="004578F5">
            <w:pPr>
              <w:jc w:val="center"/>
            </w:pPr>
            <w:r>
              <w:rPr>
                <w:sz w:val="24"/>
                <w:szCs w:val="24"/>
              </w:rPr>
              <w:t>510900</w:t>
            </w:r>
          </w:p>
        </w:tc>
        <w:tc>
          <w:tcPr>
            <w:tcW w:w="1072" w:type="dxa"/>
            <w:vAlign w:val="center"/>
          </w:tcPr>
          <w:p w:rsidR="00565B7C" w:rsidRDefault="004578F5">
            <w:pPr>
              <w:jc w:val="center"/>
            </w:pPr>
            <w:r>
              <w:rPr>
                <w:sz w:val="24"/>
                <w:szCs w:val="24"/>
              </w:rPr>
              <w:t>易方达恒生中国企业</w:t>
            </w:r>
            <w:r>
              <w:rPr>
                <w:sz w:val="24"/>
                <w:szCs w:val="24"/>
              </w:rPr>
              <w:t>ETF(QDII)</w:t>
            </w:r>
          </w:p>
        </w:tc>
        <w:tc>
          <w:tcPr>
            <w:tcW w:w="1072" w:type="dxa"/>
            <w:vAlign w:val="center"/>
          </w:tcPr>
          <w:p w:rsidR="00565B7C" w:rsidRDefault="004578F5">
            <w:pPr>
              <w:jc w:val="center"/>
            </w:pPr>
            <w:r>
              <w:rPr>
                <w:sz w:val="24"/>
                <w:szCs w:val="24"/>
              </w:rPr>
              <w:t>契约型开放式</w:t>
            </w:r>
          </w:p>
        </w:tc>
        <w:tc>
          <w:tcPr>
            <w:tcW w:w="1070" w:type="dxa"/>
            <w:vAlign w:val="center"/>
          </w:tcPr>
          <w:p w:rsidR="00565B7C" w:rsidRDefault="004578F5">
            <w:pPr>
              <w:jc w:val="center"/>
            </w:pPr>
            <w:r>
              <w:rPr>
                <w:sz w:val="24"/>
                <w:szCs w:val="24"/>
              </w:rPr>
              <w:t>435,000.00</w:t>
            </w:r>
          </w:p>
        </w:tc>
        <w:tc>
          <w:tcPr>
            <w:tcW w:w="1204" w:type="dxa"/>
            <w:vAlign w:val="center"/>
          </w:tcPr>
          <w:p w:rsidR="00565B7C" w:rsidRDefault="004578F5">
            <w:pPr>
              <w:jc w:val="center"/>
            </w:pPr>
            <w:r>
              <w:rPr>
                <w:sz w:val="24"/>
                <w:szCs w:val="24"/>
              </w:rPr>
              <w:t>515,475.00</w:t>
            </w:r>
          </w:p>
        </w:tc>
        <w:tc>
          <w:tcPr>
            <w:tcW w:w="1072" w:type="dxa"/>
            <w:vAlign w:val="center"/>
          </w:tcPr>
          <w:p w:rsidR="00565B7C" w:rsidRDefault="004578F5">
            <w:pPr>
              <w:jc w:val="center"/>
            </w:pPr>
            <w:r>
              <w:rPr>
                <w:sz w:val="24"/>
                <w:szCs w:val="24"/>
              </w:rPr>
              <w:t>4.76%</w:t>
            </w:r>
          </w:p>
        </w:tc>
        <w:tc>
          <w:tcPr>
            <w:tcW w:w="1068" w:type="dxa"/>
            <w:vAlign w:val="center"/>
          </w:tcPr>
          <w:p w:rsidR="00565B7C" w:rsidRDefault="004578F5">
            <w:pPr>
              <w:jc w:val="center"/>
            </w:pPr>
            <w:r>
              <w:rPr>
                <w:sz w:val="24"/>
                <w:szCs w:val="24"/>
              </w:rPr>
              <w:t>是</w:t>
            </w:r>
          </w:p>
        </w:tc>
      </w:tr>
      <w:tr w:rsidR="00565B7C">
        <w:tc>
          <w:tcPr>
            <w:tcW w:w="668" w:type="dxa"/>
            <w:vAlign w:val="center"/>
          </w:tcPr>
          <w:p w:rsidR="00565B7C" w:rsidRDefault="004578F5">
            <w:pPr>
              <w:jc w:val="center"/>
            </w:pPr>
            <w:r>
              <w:rPr>
                <w:sz w:val="24"/>
                <w:szCs w:val="24"/>
              </w:rPr>
              <w:t>8</w:t>
            </w:r>
          </w:p>
        </w:tc>
        <w:tc>
          <w:tcPr>
            <w:tcW w:w="1068" w:type="dxa"/>
            <w:vAlign w:val="center"/>
          </w:tcPr>
          <w:p w:rsidR="00565B7C" w:rsidRDefault="004578F5">
            <w:pPr>
              <w:jc w:val="center"/>
            </w:pPr>
            <w:r>
              <w:rPr>
                <w:sz w:val="24"/>
                <w:szCs w:val="24"/>
              </w:rPr>
              <w:t>513100</w:t>
            </w:r>
          </w:p>
        </w:tc>
        <w:tc>
          <w:tcPr>
            <w:tcW w:w="1072" w:type="dxa"/>
            <w:vAlign w:val="center"/>
          </w:tcPr>
          <w:p w:rsidR="00565B7C" w:rsidRDefault="004578F5">
            <w:pPr>
              <w:jc w:val="center"/>
            </w:pPr>
            <w:r>
              <w:rPr>
                <w:sz w:val="24"/>
                <w:szCs w:val="24"/>
              </w:rPr>
              <w:t>国泰纳斯达克</w:t>
            </w:r>
            <w:r>
              <w:rPr>
                <w:sz w:val="24"/>
                <w:szCs w:val="24"/>
              </w:rPr>
              <w:t>100(QDII-ETF)</w:t>
            </w:r>
          </w:p>
        </w:tc>
        <w:tc>
          <w:tcPr>
            <w:tcW w:w="1072" w:type="dxa"/>
            <w:vAlign w:val="center"/>
          </w:tcPr>
          <w:p w:rsidR="00565B7C" w:rsidRDefault="004578F5">
            <w:pPr>
              <w:jc w:val="center"/>
            </w:pPr>
            <w:r>
              <w:rPr>
                <w:sz w:val="24"/>
                <w:szCs w:val="24"/>
              </w:rPr>
              <w:t>契约型开放式</w:t>
            </w:r>
          </w:p>
        </w:tc>
        <w:tc>
          <w:tcPr>
            <w:tcW w:w="1070" w:type="dxa"/>
            <w:vAlign w:val="center"/>
          </w:tcPr>
          <w:p w:rsidR="00565B7C" w:rsidRDefault="004578F5">
            <w:pPr>
              <w:jc w:val="center"/>
            </w:pPr>
            <w:r>
              <w:rPr>
                <w:sz w:val="24"/>
                <w:szCs w:val="24"/>
              </w:rPr>
              <w:t>181,000.00</w:t>
            </w:r>
          </w:p>
        </w:tc>
        <w:tc>
          <w:tcPr>
            <w:tcW w:w="1204" w:type="dxa"/>
            <w:vAlign w:val="center"/>
          </w:tcPr>
          <w:p w:rsidR="00565B7C" w:rsidRDefault="004578F5">
            <w:pPr>
              <w:jc w:val="center"/>
            </w:pPr>
            <w:r>
              <w:rPr>
                <w:sz w:val="24"/>
                <w:szCs w:val="24"/>
              </w:rPr>
              <w:t>512,954.00</w:t>
            </w:r>
          </w:p>
        </w:tc>
        <w:tc>
          <w:tcPr>
            <w:tcW w:w="1072" w:type="dxa"/>
            <w:vAlign w:val="center"/>
          </w:tcPr>
          <w:p w:rsidR="00565B7C" w:rsidRDefault="004578F5">
            <w:pPr>
              <w:jc w:val="center"/>
            </w:pPr>
            <w:r>
              <w:rPr>
                <w:sz w:val="24"/>
                <w:szCs w:val="24"/>
              </w:rPr>
              <w:t>4.73%</w:t>
            </w:r>
          </w:p>
        </w:tc>
        <w:tc>
          <w:tcPr>
            <w:tcW w:w="1068" w:type="dxa"/>
            <w:vAlign w:val="center"/>
          </w:tcPr>
          <w:p w:rsidR="00565B7C" w:rsidRDefault="004578F5">
            <w:pPr>
              <w:jc w:val="center"/>
            </w:pPr>
            <w:r>
              <w:rPr>
                <w:sz w:val="24"/>
                <w:szCs w:val="24"/>
              </w:rPr>
              <w:t>否</w:t>
            </w:r>
          </w:p>
        </w:tc>
      </w:tr>
      <w:tr w:rsidR="00565B7C">
        <w:tc>
          <w:tcPr>
            <w:tcW w:w="668" w:type="dxa"/>
            <w:vAlign w:val="center"/>
          </w:tcPr>
          <w:p w:rsidR="00565B7C" w:rsidRDefault="004578F5">
            <w:pPr>
              <w:jc w:val="center"/>
            </w:pPr>
            <w:r>
              <w:rPr>
                <w:sz w:val="24"/>
                <w:szCs w:val="24"/>
              </w:rPr>
              <w:t>9</w:t>
            </w:r>
          </w:p>
        </w:tc>
        <w:tc>
          <w:tcPr>
            <w:tcW w:w="1068" w:type="dxa"/>
            <w:vAlign w:val="center"/>
          </w:tcPr>
          <w:p w:rsidR="00565B7C" w:rsidRDefault="004578F5">
            <w:pPr>
              <w:jc w:val="center"/>
            </w:pPr>
            <w:r>
              <w:rPr>
                <w:sz w:val="24"/>
                <w:szCs w:val="24"/>
              </w:rPr>
              <w:t>005613</w:t>
            </w:r>
          </w:p>
        </w:tc>
        <w:tc>
          <w:tcPr>
            <w:tcW w:w="1072" w:type="dxa"/>
            <w:vAlign w:val="center"/>
          </w:tcPr>
          <w:p w:rsidR="00565B7C" w:rsidRDefault="004578F5">
            <w:pPr>
              <w:jc w:val="center"/>
            </w:pPr>
            <w:r>
              <w:rPr>
                <w:sz w:val="24"/>
                <w:szCs w:val="24"/>
              </w:rPr>
              <w:t>富时发达市场</w:t>
            </w:r>
            <w:r>
              <w:rPr>
                <w:sz w:val="24"/>
                <w:szCs w:val="24"/>
              </w:rPr>
              <w:t>REITs</w:t>
            </w:r>
            <w:r>
              <w:rPr>
                <w:sz w:val="24"/>
                <w:szCs w:val="24"/>
              </w:rPr>
              <w:t>指数</w:t>
            </w:r>
            <w:r>
              <w:rPr>
                <w:sz w:val="24"/>
                <w:szCs w:val="24"/>
              </w:rPr>
              <w:t>(QDII)</w:t>
            </w:r>
          </w:p>
        </w:tc>
        <w:tc>
          <w:tcPr>
            <w:tcW w:w="1072" w:type="dxa"/>
            <w:vAlign w:val="center"/>
          </w:tcPr>
          <w:p w:rsidR="00565B7C" w:rsidRDefault="004578F5">
            <w:pPr>
              <w:jc w:val="center"/>
            </w:pPr>
            <w:r>
              <w:rPr>
                <w:sz w:val="24"/>
                <w:szCs w:val="24"/>
              </w:rPr>
              <w:t>契约型开放式</w:t>
            </w:r>
          </w:p>
        </w:tc>
        <w:tc>
          <w:tcPr>
            <w:tcW w:w="1070" w:type="dxa"/>
            <w:vAlign w:val="center"/>
          </w:tcPr>
          <w:p w:rsidR="00565B7C" w:rsidRDefault="004578F5">
            <w:pPr>
              <w:jc w:val="center"/>
            </w:pPr>
            <w:r>
              <w:rPr>
                <w:sz w:val="24"/>
                <w:szCs w:val="24"/>
              </w:rPr>
              <w:t>383,524.27</w:t>
            </w:r>
          </w:p>
        </w:tc>
        <w:tc>
          <w:tcPr>
            <w:tcW w:w="1204" w:type="dxa"/>
            <w:vAlign w:val="center"/>
          </w:tcPr>
          <w:p w:rsidR="00565B7C" w:rsidRDefault="004578F5">
            <w:pPr>
              <w:jc w:val="center"/>
            </w:pPr>
            <w:r>
              <w:rPr>
                <w:sz w:val="24"/>
                <w:szCs w:val="24"/>
              </w:rPr>
              <w:t>506,021.92</w:t>
            </w:r>
          </w:p>
        </w:tc>
        <w:tc>
          <w:tcPr>
            <w:tcW w:w="1072" w:type="dxa"/>
            <w:vAlign w:val="center"/>
          </w:tcPr>
          <w:p w:rsidR="00565B7C" w:rsidRDefault="004578F5">
            <w:pPr>
              <w:jc w:val="center"/>
            </w:pPr>
            <w:r>
              <w:rPr>
                <w:sz w:val="24"/>
                <w:szCs w:val="24"/>
              </w:rPr>
              <w:t>4.67%</w:t>
            </w:r>
          </w:p>
        </w:tc>
        <w:tc>
          <w:tcPr>
            <w:tcW w:w="1068" w:type="dxa"/>
            <w:vAlign w:val="center"/>
          </w:tcPr>
          <w:p w:rsidR="00565B7C" w:rsidRDefault="004578F5">
            <w:pPr>
              <w:jc w:val="center"/>
            </w:pPr>
            <w:r>
              <w:rPr>
                <w:sz w:val="24"/>
                <w:szCs w:val="24"/>
              </w:rPr>
              <w:t>否</w:t>
            </w:r>
          </w:p>
        </w:tc>
      </w:tr>
      <w:tr w:rsidR="00565B7C">
        <w:tc>
          <w:tcPr>
            <w:tcW w:w="668" w:type="dxa"/>
            <w:vAlign w:val="center"/>
          </w:tcPr>
          <w:p w:rsidR="00565B7C" w:rsidRDefault="004578F5">
            <w:pPr>
              <w:jc w:val="center"/>
            </w:pPr>
            <w:r>
              <w:rPr>
                <w:sz w:val="24"/>
                <w:szCs w:val="24"/>
              </w:rPr>
              <w:t>10</w:t>
            </w:r>
          </w:p>
        </w:tc>
        <w:tc>
          <w:tcPr>
            <w:tcW w:w="1068" w:type="dxa"/>
            <w:vAlign w:val="center"/>
          </w:tcPr>
          <w:p w:rsidR="00565B7C" w:rsidRDefault="004578F5">
            <w:pPr>
              <w:jc w:val="center"/>
            </w:pPr>
            <w:r>
              <w:rPr>
                <w:sz w:val="24"/>
                <w:szCs w:val="24"/>
              </w:rPr>
              <w:t>000085</w:t>
            </w:r>
          </w:p>
        </w:tc>
        <w:tc>
          <w:tcPr>
            <w:tcW w:w="1072" w:type="dxa"/>
            <w:vAlign w:val="center"/>
          </w:tcPr>
          <w:p w:rsidR="00565B7C" w:rsidRDefault="004578F5">
            <w:pPr>
              <w:jc w:val="center"/>
            </w:pPr>
            <w:r>
              <w:rPr>
                <w:sz w:val="24"/>
                <w:szCs w:val="24"/>
              </w:rPr>
              <w:t>博时安盈债券</w:t>
            </w:r>
            <w:r>
              <w:rPr>
                <w:sz w:val="24"/>
                <w:szCs w:val="24"/>
              </w:rPr>
              <w:t>C</w:t>
            </w:r>
          </w:p>
        </w:tc>
        <w:tc>
          <w:tcPr>
            <w:tcW w:w="1072" w:type="dxa"/>
            <w:vAlign w:val="center"/>
          </w:tcPr>
          <w:p w:rsidR="00565B7C" w:rsidRDefault="004578F5">
            <w:pPr>
              <w:jc w:val="center"/>
            </w:pPr>
            <w:r>
              <w:rPr>
                <w:sz w:val="24"/>
                <w:szCs w:val="24"/>
              </w:rPr>
              <w:t>契约型开放式</w:t>
            </w:r>
          </w:p>
        </w:tc>
        <w:tc>
          <w:tcPr>
            <w:tcW w:w="1070" w:type="dxa"/>
            <w:vAlign w:val="center"/>
          </w:tcPr>
          <w:p w:rsidR="00565B7C" w:rsidRDefault="004578F5">
            <w:pPr>
              <w:jc w:val="center"/>
            </w:pPr>
            <w:r>
              <w:rPr>
                <w:sz w:val="24"/>
                <w:szCs w:val="24"/>
              </w:rPr>
              <w:t>413,564.92</w:t>
            </w:r>
          </w:p>
        </w:tc>
        <w:tc>
          <w:tcPr>
            <w:tcW w:w="1204" w:type="dxa"/>
            <w:vAlign w:val="center"/>
          </w:tcPr>
          <w:p w:rsidR="00565B7C" w:rsidRDefault="004578F5">
            <w:pPr>
              <w:jc w:val="center"/>
            </w:pPr>
            <w:r>
              <w:rPr>
                <w:sz w:val="24"/>
                <w:szCs w:val="24"/>
              </w:rPr>
              <w:t>500,124.06</w:t>
            </w:r>
          </w:p>
        </w:tc>
        <w:tc>
          <w:tcPr>
            <w:tcW w:w="1072" w:type="dxa"/>
            <w:vAlign w:val="center"/>
          </w:tcPr>
          <w:p w:rsidR="00565B7C" w:rsidRDefault="004578F5">
            <w:pPr>
              <w:jc w:val="center"/>
            </w:pPr>
            <w:r>
              <w:rPr>
                <w:sz w:val="24"/>
                <w:szCs w:val="24"/>
              </w:rPr>
              <w:t>4.62%</w:t>
            </w:r>
          </w:p>
        </w:tc>
        <w:tc>
          <w:tcPr>
            <w:tcW w:w="1068" w:type="dxa"/>
            <w:vAlign w:val="center"/>
          </w:tcPr>
          <w:p w:rsidR="00565B7C" w:rsidRDefault="004578F5">
            <w:pPr>
              <w:jc w:val="center"/>
            </w:pPr>
            <w:r>
              <w:rPr>
                <w:sz w:val="24"/>
                <w:szCs w:val="24"/>
              </w:rPr>
              <w:t>否</w:t>
            </w:r>
          </w:p>
        </w:tc>
      </w:tr>
    </w:tbl>
    <w:p w:rsidR="006A5FB3" w:rsidRPr="006A5FB3" w:rsidRDefault="006A5FB3" w:rsidP="006A5FB3">
      <w:pPr>
        <w:autoSpaceDE w:val="0"/>
        <w:autoSpaceDN w:val="0"/>
        <w:adjustRightInd w:val="0"/>
        <w:spacing w:line="360" w:lineRule="auto"/>
        <w:jc w:val="left"/>
        <w:rPr>
          <w:color w:val="000000"/>
          <w:sz w:val="24"/>
          <w:szCs w:val="24"/>
        </w:rPr>
      </w:pPr>
      <w:r w:rsidRPr="006A5FB3">
        <w:rPr>
          <w:color w:val="000000"/>
          <w:sz w:val="24"/>
          <w:szCs w:val="24"/>
        </w:rPr>
        <w:t xml:space="preserve">6.2 </w:t>
      </w:r>
      <w:r w:rsidRPr="006A5FB3">
        <w:rPr>
          <w:color w:val="000000"/>
          <w:sz w:val="24"/>
          <w:szCs w:val="24"/>
        </w:rPr>
        <w:t>当期交易及持有基金产生的费用</w:t>
      </w:r>
    </w:p>
    <w:tbl>
      <w:tblPr>
        <w:tblStyle w:val="af7"/>
        <w:tblW w:w="8364" w:type="dxa"/>
        <w:tblInd w:w="108" w:type="dxa"/>
        <w:tblLayout w:type="fixed"/>
        <w:tblLook w:val="04A0" w:firstRow="1" w:lastRow="0" w:firstColumn="1" w:lastColumn="0" w:noHBand="0" w:noVBand="1"/>
      </w:tblPr>
      <w:tblGrid>
        <w:gridCol w:w="2410"/>
        <w:gridCol w:w="2835"/>
        <w:gridCol w:w="3119"/>
      </w:tblGrid>
      <w:tr w:rsidR="006A5FB3" w:rsidRPr="006A5FB3" w:rsidTr="006D75A5">
        <w:tc>
          <w:tcPr>
            <w:tcW w:w="2410" w:type="dxa"/>
            <w:vAlign w:val="center"/>
          </w:tcPr>
          <w:p w:rsidR="006A5FB3" w:rsidRPr="006A5FB3" w:rsidRDefault="006A5FB3" w:rsidP="006A5FB3">
            <w:pPr>
              <w:adjustRightInd w:val="0"/>
              <w:snapToGrid w:val="0"/>
              <w:spacing w:beforeLines="50" w:before="156"/>
              <w:jc w:val="center"/>
              <w:rPr>
                <w:color w:val="000000" w:themeColor="text1"/>
                <w:sz w:val="24"/>
                <w:szCs w:val="24"/>
              </w:rPr>
            </w:pPr>
            <w:r w:rsidRPr="006A5FB3">
              <w:rPr>
                <w:sz w:val="24"/>
                <w:szCs w:val="24"/>
              </w:rPr>
              <w:t>项目</w:t>
            </w:r>
          </w:p>
        </w:tc>
        <w:tc>
          <w:tcPr>
            <w:tcW w:w="2835" w:type="dxa"/>
            <w:vAlign w:val="center"/>
          </w:tcPr>
          <w:p w:rsidR="006A5FB3" w:rsidRDefault="006A5FB3" w:rsidP="00F94C5F">
            <w:pPr>
              <w:jc w:val="center"/>
              <w:rPr>
                <w:sz w:val="24"/>
                <w:szCs w:val="24"/>
              </w:rPr>
            </w:pPr>
            <w:r w:rsidRPr="006A5FB3">
              <w:rPr>
                <w:sz w:val="24"/>
                <w:szCs w:val="24"/>
              </w:rPr>
              <w:t>本期费用</w:t>
            </w:r>
          </w:p>
          <w:p w:rsidR="00457DBA" w:rsidRPr="006A5FB3" w:rsidRDefault="00457DBA" w:rsidP="00F94C5F">
            <w:pPr>
              <w:jc w:val="center"/>
              <w:rPr>
                <w:sz w:val="24"/>
                <w:szCs w:val="24"/>
              </w:rPr>
            </w:pPr>
            <w:r>
              <w:rPr>
                <w:rFonts w:eastAsiaTheme="minorEastAsia"/>
              </w:rPr>
              <w:t>2019</w:t>
            </w:r>
            <w:r>
              <w:rPr>
                <w:rFonts w:eastAsiaTheme="minorEastAsia"/>
              </w:rPr>
              <w:t>年</w:t>
            </w:r>
            <w:r>
              <w:rPr>
                <w:rFonts w:eastAsiaTheme="minorEastAsia"/>
              </w:rPr>
              <w:t>7</w:t>
            </w:r>
            <w:r>
              <w:rPr>
                <w:rFonts w:eastAsiaTheme="minorEastAsia"/>
              </w:rPr>
              <w:t>月</w:t>
            </w:r>
            <w:r>
              <w:rPr>
                <w:rFonts w:eastAsiaTheme="minorEastAsia"/>
              </w:rPr>
              <w:t>1</w:t>
            </w:r>
            <w:r>
              <w:rPr>
                <w:rFonts w:eastAsiaTheme="minorEastAsia"/>
              </w:rPr>
              <w:t>日</w:t>
            </w:r>
            <w:r>
              <w:rPr>
                <w:rFonts w:eastAsiaTheme="minorEastAsia" w:hint="eastAsia"/>
              </w:rPr>
              <w:t>至</w:t>
            </w:r>
            <w:r>
              <w:rPr>
                <w:rFonts w:eastAsiaTheme="minorEastAsia"/>
              </w:rPr>
              <w:t>2019</w:t>
            </w:r>
            <w:r>
              <w:rPr>
                <w:rFonts w:eastAsiaTheme="minorEastAsia"/>
              </w:rPr>
              <w:t>年</w:t>
            </w:r>
            <w:r>
              <w:rPr>
                <w:rFonts w:eastAsiaTheme="minorEastAsia"/>
              </w:rPr>
              <w:t>9</w:t>
            </w:r>
            <w:r>
              <w:rPr>
                <w:rFonts w:eastAsiaTheme="minorEastAsia"/>
              </w:rPr>
              <w:t>月</w:t>
            </w:r>
            <w:r>
              <w:rPr>
                <w:rFonts w:eastAsiaTheme="minorEastAsia"/>
              </w:rPr>
              <w:t>30</w:t>
            </w:r>
            <w:r>
              <w:rPr>
                <w:rFonts w:eastAsiaTheme="minorEastAsia"/>
              </w:rPr>
              <w:t>日</w:t>
            </w:r>
          </w:p>
        </w:tc>
        <w:tc>
          <w:tcPr>
            <w:tcW w:w="3119" w:type="dxa"/>
            <w:vAlign w:val="center"/>
          </w:tcPr>
          <w:p w:rsidR="006A5FB3" w:rsidRPr="006A5FB3" w:rsidRDefault="006A5FB3" w:rsidP="00F94C5F">
            <w:pPr>
              <w:jc w:val="center"/>
              <w:rPr>
                <w:sz w:val="24"/>
                <w:szCs w:val="24"/>
              </w:rPr>
            </w:pPr>
            <w:r w:rsidRPr="006A5FB3">
              <w:rPr>
                <w:sz w:val="24"/>
                <w:szCs w:val="24"/>
              </w:rPr>
              <w:t>其中：交易及持有基金管理人以及管理人关联方所管理基金产生的费用</w:t>
            </w:r>
          </w:p>
        </w:tc>
      </w:tr>
      <w:tr w:rsidR="006A5FB3" w:rsidRPr="006A5FB3" w:rsidTr="006D75A5">
        <w:tc>
          <w:tcPr>
            <w:tcW w:w="2410" w:type="dxa"/>
            <w:vAlign w:val="center"/>
          </w:tcPr>
          <w:p w:rsidR="006A5FB3" w:rsidRPr="006A5FB3" w:rsidRDefault="006A5FB3" w:rsidP="006A5FB3">
            <w:pPr>
              <w:adjustRightInd w:val="0"/>
              <w:snapToGrid w:val="0"/>
              <w:spacing w:beforeLines="50" w:before="156"/>
              <w:rPr>
                <w:color w:val="000000" w:themeColor="text1"/>
                <w:sz w:val="24"/>
                <w:szCs w:val="24"/>
              </w:rPr>
            </w:pPr>
            <w:r w:rsidRPr="006A5FB3">
              <w:rPr>
                <w:sz w:val="24"/>
                <w:szCs w:val="24"/>
              </w:rPr>
              <w:lastRenderedPageBreak/>
              <w:t>当期交易基金产生的申购费（元）</w:t>
            </w:r>
          </w:p>
        </w:tc>
        <w:tc>
          <w:tcPr>
            <w:tcW w:w="2835" w:type="dxa"/>
            <w:vAlign w:val="center"/>
          </w:tcPr>
          <w:p w:rsidR="006A5FB3" w:rsidRPr="006A5FB3" w:rsidRDefault="006A5FB3" w:rsidP="006A5FB3">
            <w:pPr>
              <w:adjustRightInd w:val="0"/>
              <w:snapToGrid w:val="0"/>
              <w:spacing w:beforeLines="50" w:before="156"/>
              <w:jc w:val="right"/>
              <w:rPr>
                <w:color w:val="000000" w:themeColor="text1"/>
                <w:sz w:val="24"/>
                <w:szCs w:val="24"/>
              </w:rPr>
            </w:pPr>
            <w:r w:rsidRPr="006A5FB3">
              <w:rPr>
                <w:color w:val="000000" w:themeColor="text1"/>
                <w:sz w:val="24"/>
                <w:szCs w:val="24"/>
              </w:rPr>
              <w:t>40.00</w:t>
            </w:r>
          </w:p>
        </w:tc>
        <w:tc>
          <w:tcPr>
            <w:tcW w:w="3119" w:type="dxa"/>
            <w:vAlign w:val="center"/>
          </w:tcPr>
          <w:p w:rsidR="006A5FB3" w:rsidRPr="006A5FB3" w:rsidRDefault="006A5FB3" w:rsidP="006A5FB3">
            <w:pPr>
              <w:adjustRightInd w:val="0"/>
              <w:snapToGrid w:val="0"/>
              <w:spacing w:beforeLines="50" w:before="156"/>
              <w:jc w:val="right"/>
              <w:rPr>
                <w:color w:val="000000" w:themeColor="text1"/>
                <w:sz w:val="24"/>
                <w:szCs w:val="24"/>
              </w:rPr>
            </w:pPr>
            <w:r w:rsidRPr="006A5FB3">
              <w:rPr>
                <w:color w:val="000000" w:themeColor="text1"/>
                <w:sz w:val="24"/>
                <w:szCs w:val="24"/>
              </w:rPr>
              <w:t>-</w:t>
            </w:r>
          </w:p>
        </w:tc>
      </w:tr>
      <w:tr w:rsidR="006A5FB3" w:rsidRPr="006A5FB3" w:rsidTr="006D75A5">
        <w:tc>
          <w:tcPr>
            <w:tcW w:w="2410" w:type="dxa"/>
            <w:vAlign w:val="center"/>
          </w:tcPr>
          <w:p w:rsidR="006A5FB3" w:rsidRPr="006A5FB3" w:rsidRDefault="006A5FB3" w:rsidP="006A5FB3">
            <w:pPr>
              <w:adjustRightInd w:val="0"/>
              <w:snapToGrid w:val="0"/>
              <w:spacing w:beforeLines="50" w:before="156"/>
              <w:rPr>
                <w:color w:val="000000" w:themeColor="text1"/>
                <w:sz w:val="24"/>
                <w:szCs w:val="24"/>
              </w:rPr>
            </w:pPr>
            <w:r w:rsidRPr="006A5FB3">
              <w:rPr>
                <w:sz w:val="24"/>
                <w:szCs w:val="24"/>
              </w:rPr>
              <w:t>当期交易基金产生的赎回费（元）</w:t>
            </w:r>
          </w:p>
        </w:tc>
        <w:tc>
          <w:tcPr>
            <w:tcW w:w="2835" w:type="dxa"/>
            <w:vAlign w:val="center"/>
          </w:tcPr>
          <w:p w:rsidR="006A5FB3" w:rsidRPr="006A5FB3" w:rsidRDefault="006A5FB3" w:rsidP="006A5FB3">
            <w:pPr>
              <w:adjustRightInd w:val="0"/>
              <w:snapToGrid w:val="0"/>
              <w:spacing w:beforeLines="50" w:before="156"/>
              <w:jc w:val="right"/>
              <w:rPr>
                <w:color w:val="000000" w:themeColor="text1"/>
                <w:sz w:val="24"/>
                <w:szCs w:val="24"/>
              </w:rPr>
            </w:pPr>
            <w:r w:rsidRPr="006A5FB3">
              <w:rPr>
                <w:color w:val="000000" w:themeColor="text1"/>
                <w:sz w:val="24"/>
                <w:szCs w:val="24"/>
              </w:rPr>
              <w:t>18,816.47</w:t>
            </w:r>
          </w:p>
        </w:tc>
        <w:tc>
          <w:tcPr>
            <w:tcW w:w="3119" w:type="dxa"/>
            <w:vAlign w:val="center"/>
          </w:tcPr>
          <w:p w:rsidR="006A5FB3" w:rsidRPr="006A5FB3" w:rsidRDefault="006A5FB3" w:rsidP="006A5FB3">
            <w:pPr>
              <w:adjustRightInd w:val="0"/>
              <w:snapToGrid w:val="0"/>
              <w:spacing w:beforeLines="50" w:before="156"/>
              <w:jc w:val="right"/>
              <w:rPr>
                <w:color w:val="000000" w:themeColor="text1"/>
                <w:sz w:val="24"/>
                <w:szCs w:val="24"/>
              </w:rPr>
            </w:pPr>
            <w:r w:rsidRPr="006A5FB3">
              <w:rPr>
                <w:color w:val="000000" w:themeColor="text1"/>
                <w:sz w:val="24"/>
                <w:szCs w:val="24"/>
              </w:rPr>
              <w:t>951.91</w:t>
            </w:r>
          </w:p>
        </w:tc>
      </w:tr>
      <w:tr w:rsidR="006A5FB3" w:rsidRPr="006A5FB3" w:rsidTr="006D75A5">
        <w:tc>
          <w:tcPr>
            <w:tcW w:w="2410" w:type="dxa"/>
            <w:vAlign w:val="center"/>
          </w:tcPr>
          <w:p w:rsidR="006A5FB3" w:rsidRPr="006A5FB3" w:rsidRDefault="006A5FB3" w:rsidP="006A5FB3">
            <w:pPr>
              <w:adjustRightInd w:val="0"/>
              <w:snapToGrid w:val="0"/>
              <w:spacing w:beforeLines="50" w:before="156"/>
              <w:rPr>
                <w:color w:val="000000" w:themeColor="text1"/>
                <w:sz w:val="24"/>
                <w:szCs w:val="24"/>
              </w:rPr>
            </w:pPr>
            <w:r w:rsidRPr="006A5FB3">
              <w:rPr>
                <w:sz w:val="24"/>
                <w:szCs w:val="24"/>
              </w:rPr>
              <w:t>当期持有基金产生的应支付销售服务费（元）</w:t>
            </w:r>
          </w:p>
        </w:tc>
        <w:tc>
          <w:tcPr>
            <w:tcW w:w="2835" w:type="dxa"/>
            <w:vAlign w:val="center"/>
          </w:tcPr>
          <w:p w:rsidR="006A5FB3" w:rsidRPr="006A5FB3" w:rsidRDefault="006A5FB3" w:rsidP="006A5FB3">
            <w:pPr>
              <w:adjustRightInd w:val="0"/>
              <w:snapToGrid w:val="0"/>
              <w:spacing w:beforeLines="50" w:before="156"/>
              <w:jc w:val="right"/>
              <w:rPr>
                <w:color w:val="000000" w:themeColor="text1"/>
                <w:sz w:val="24"/>
                <w:szCs w:val="24"/>
              </w:rPr>
            </w:pPr>
            <w:r w:rsidRPr="006A5FB3">
              <w:rPr>
                <w:color w:val="000000" w:themeColor="text1"/>
                <w:sz w:val="24"/>
                <w:szCs w:val="24"/>
              </w:rPr>
              <w:t>614.97</w:t>
            </w:r>
          </w:p>
        </w:tc>
        <w:tc>
          <w:tcPr>
            <w:tcW w:w="3119" w:type="dxa"/>
            <w:vAlign w:val="center"/>
          </w:tcPr>
          <w:p w:rsidR="006A5FB3" w:rsidRPr="006A5FB3" w:rsidRDefault="006A5FB3" w:rsidP="006A5FB3">
            <w:pPr>
              <w:adjustRightInd w:val="0"/>
              <w:snapToGrid w:val="0"/>
              <w:spacing w:beforeLines="50" w:before="156"/>
              <w:jc w:val="right"/>
              <w:rPr>
                <w:color w:val="000000" w:themeColor="text1"/>
                <w:sz w:val="24"/>
                <w:szCs w:val="24"/>
              </w:rPr>
            </w:pPr>
            <w:r w:rsidRPr="006A5FB3">
              <w:rPr>
                <w:color w:val="000000" w:themeColor="text1"/>
                <w:sz w:val="24"/>
                <w:szCs w:val="24"/>
              </w:rPr>
              <w:t>92.34</w:t>
            </w:r>
          </w:p>
        </w:tc>
      </w:tr>
      <w:tr w:rsidR="006A5FB3" w:rsidRPr="006A5FB3" w:rsidTr="006D75A5">
        <w:tc>
          <w:tcPr>
            <w:tcW w:w="2410" w:type="dxa"/>
            <w:vAlign w:val="center"/>
          </w:tcPr>
          <w:p w:rsidR="006A5FB3" w:rsidRPr="006A5FB3" w:rsidRDefault="006A5FB3" w:rsidP="006A5FB3">
            <w:pPr>
              <w:adjustRightInd w:val="0"/>
              <w:snapToGrid w:val="0"/>
              <w:spacing w:beforeLines="50" w:before="156"/>
              <w:rPr>
                <w:color w:val="000000" w:themeColor="text1"/>
                <w:sz w:val="24"/>
                <w:szCs w:val="24"/>
              </w:rPr>
            </w:pPr>
            <w:r w:rsidRPr="006A5FB3">
              <w:rPr>
                <w:sz w:val="24"/>
                <w:szCs w:val="24"/>
              </w:rPr>
              <w:t>当期持有基金产生的应支付管理费（元）</w:t>
            </w:r>
          </w:p>
        </w:tc>
        <w:tc>
          <w:tcPr>
            <w:tcW w:w="2835" w:type="dxa"/>
            <w:vAlign w:val="center"/>
          </w:tcPr>
          <w:p w:rsidR="006A5FB3" w:rsidRPr="006A5FB3" w:rsidRDefault="006A5FB3" w:rsidP="006A5FB3">
            <w:pPr>
              <w:adjustRightInd w:val="0"/>
              <w:snapToGrid w:val="0"/>
              <w:spacing w:beforeLines="50" w:before="156"/>
              <w:jc w:val="right"/>
              <w:rPr>
                <w:color w:val="000000" w:themeColor="text1"/>
                <w:sz w:val="24"/>
                <w:szCs w:val="24"/>
              </w:rPr>
            </w:pPr>
            <w:r w:rsidRPr="006A5FB3">
              <w:rPr>
                <w:color w:val="000000" w:themeColor="text1"/>
                <w:sz w:val="24"/>
                <w:szCs w:val="24"/>
              </w:rPr>
              <w:t>15,579.94</w:t>
            </w:r>
          </w:p>
        </w:tc>
        <w:tc>
          <w:tcPr>
            <w:tcW w:w="3119" w:type="dxa"/>
            <w:vAlign w:val="center"/>
          </w:tcPr>
          <w:p w:rsidR="006A5FB3" w:rsidRPr="006A5FB3" w:rsidRDefault="006A5FB3" w:rsidP="006A5FB3">
            <w:pPr>
              <w:adjustRightInd w:val="0"/>
              <w:snapToGrid w:val="0"/>
              <w:spacing w:beforeLines="50" w:before="156"/>
              <w:jc w:val="right"/>
              <w:rPr>
                <w:color w:val="000000" w:themeColor="text1"/>
                <w:sz w:val="24"/>
                <w:szCs w:val="24"/>
              </w:rPr>
            </w:pPr>
            <w:r w:rsidRPr="006A5FB3">
              <w:rPr>
                <w:color w:val="000000" w:themeColor="text1"/>
                <w:sz w:val="24"/>
                <w:szCs w:val="24"/>
              </w:rPr>
              <w:t>11,350.37</w:t>
            </w:r>
          </w:p>
        </w:tc>
      </w:tr>
      <w:tr w:rsidR="006A5FB3" w:rsidRPr="006A5FB3" w:rsidTr="006D75A5">
        <w:tc>
          <w:tcPr>
            <w:tcW w:w="2410" w:type="dxa"/>
            <w:vAlign w:val="center"/>
          </w:tcPr>
          <w:p w:rsidR="006A5FB3" w:rsidRPr="006A5FB3" w:rsidRDefault="006A5FB3" w:rsidP="006A5FB3">
            <w:pPr>
              <w:adjustRightInd w:val="0"/>
              <w:snapToGrid w:val="0"/>
              <w:spacing w:beforeLines="50" w:before="156"/>
              <w:rPr>
                <w:color w:val="000000" w:themeColor="text1"/>
                <w:sz w:val="24"/>
                <w:szCs w:val="24"/>
              </w:rPr>
            </w:pPr>
            <w:r w:rsidRPr="006A5FB3">
              <w:rPr>
                <w:sz w:val="24"/>
                <w:szCs w:val="24"/>
              </w:rPr>
              <w:t>当期持有基金产生的应支付托管费（元）</w:t>
            </w:r>
          </w:p>
        </w:tc>
        <w:tc>
          <w:tcPr>
            <w:tcW w:w="2835" w:type="dxa"/>
            <w:vAlign w:val="center"/>
          </w:tcPr>
          <w:p w:rsidR="006A5FB3" w:rsidRPr="006A5FB3" w:rsidRDefault="006A5FB3" w:rsidP="006A5FB3">
            <w:pPr>
              <w:adjustRightInd w:val="0"/>
              <w:snapToGrid w:val="0"/>
              <w:spacing w:beforeLines="50" w:before="156"/>
              <w:jc w:val="right"/>
              <w:rPr>
                <w:color w:val="000000" w:themeColor="text1"/>
                <w:sz w:val="24"/>
                <w:szCs w:val="24"/>
              </w:rPr>
            </w:pPr>
            <w:r w:rsidRPr="006A5FB3">
              <w:rPr>
                <w:color w:val="000000" w:themeColor="text1"/>
                <w:sz w:val="24"/>
                <w:szCs w:val="24"/>
              </w:rPr>
              <w:t>3,948.76</w:t>
            </w:r>
          </w:p>
        </w:tc>
        <w:tc>
          <w:tcPr>
            <w:tcW w:w="3119" w:type="dxa"/>
            <w:vAlign w:val="center"/>
          </w:tcPr>
          <w:p w:rsidR="006A5FB3" w:rsidRPr="006A5FB3" w:rsidRDefault="006A5FB3" w:rsidP="006A5FB3">
            <w:pPr>
              <w:adjustRightInd w:val="0"/>
              <w:snapToGrid w:val="0"/>
              <w:spacing w:beforeLines="50" w:before="156"/>
              <w:jc w:val="right"/>
              <w:rPr>
                <w:color w:val="000000" w:themeColor="text1"/>
                <w:sz w:val="24"/>
                <w:szCs w:val="24"/>
              </w:rPr>
            </w:pPr>
            <w:r w:rsidRPr="006A5FB3">
              <w:rPr>
                <w:color w:val="000000" w:themeColor="text1"/>
                <w:sz w:val="24"/>
                <w:szCs w:val="24"/>
              </w:rPr>
              <w:t>2,724.71</w:t>
            </w:r>
          </w:p>
        </w:tc>
      </w:tr>
      <w:tr w:rsidR="00565B7C">
        <w:tc>
          <w:tcPr>
            <w:tcW w:w="2410" w:type="dxa"/>
            <w:vAlign w:val="center"/>
          </w:tcPr>
          <w:p w:rsidR="00565B7C" w:rsidRDefault="004578F5">
            <w:pPr>
              <w:jc w:val="left"/>
            </w:pPr>
            <w:r>
              <w:rPr>
                <w:color w:val="000000" w:themeColor="text1"/>
                <w:sz w:val="24"/>
                <w:szCs w:val="24"/>
              </w:rPr>
              <w:t>当期交易所交易基金产生的交易费（元）</w:t>
            </w:r>
          </w:p>
        </w:tc>
        <w:tc>
          <w:tcPr>
            <w:tcW w:w="2835" w:type="dxa"/>
            <w:vAlign w:val="center"/>
          </w:tcPr>
          <w:p w:rsidR="00565B7C" w:rsidRDefault="004578F5">
            <w:pPr>
              <w:jc w:val="right"/>
            </w:pPr>
            <w:r>
              <w:rPr>
                <w:color w:val="000000" w:themeColor="text1"/>
                <w:sz w:val="24"/>
                <w:szCs w:val="24"/>
              </w:rPr>
              <w:t>194.72</w:t>
            </w:r>
          </w:p>
        </w:tc>
        <w:tc>
          <w:tcPr>
            <w:tcW w:w="3119" w:type="dxa"/>
            <w:vAlign w:val="center"/>
          </w:tcPr>
          <w:p w:rsidR="00565B7C" w:rsidRDefault="004578F5">
            <w:pPr>
              <w:jc w:val="right"/>
            </w:pPr>
            <w:r>
              <w:rPr>
                <w:color w:val="000000" w:themeColor="text1"/>
                <w:sz w:val="24"/>
                <w:szCs w:val="24"/>
              </w:rPr>
              <w:t>134.90</w:t>
            </w:r>
          </w:p>
        </w:tc>
      </w:tr>
      <w:tr w:rsidR="00565B7C">
        <w:tc>
          <w:tcPr>
            <w:tcW w:w="2410" w:type="dxa"/>
            <w:vAlign w:val="center"/>
          </w:tcPr>
          <w:p w:rsidR="00565B7C" w:rsidRDefault="004578F5">
            <w:pPr>
              <w:jc w:val="left"/>
            </w:pPr>
            <w:r>
              <w:rPr>
                <w:color w:val="000000" w:themeColor="text1"/>
                <w:sz w:val="24"/>
                <w:szCs w:val="24"/>
              </w:rPr>
              <w:t>当期交易基金产生的转换费（元）</w:t>
            </w:r>
          </w:p>
        </w:tc>
        <w:tc>
          <w:tcPr>
            <w:tcW w:w="2835" w:type="dxa"/>
            <w:vAlign w:val="center"/>
          </w:tcPr>
          <w:p w:rsidR="00565B7C" w:rsidRDefault="004578F5">
            <w:pPr>
              <w:jc w:val="right"/>
            </w:pPr>
            <w:r>
              <w:rPr>
                <w:color w:val="000000" w:themeColor="text1"/>
                <w:sz w:val="24"/>
                <w:szCs w:val="24"/>
              </w:rPr>
              <w:t>406.20</w:t>
            </w:r>
          </w:p>
        </w:tc>
        <w:tc>
          <w:tcPr>
            <w:tcW w:w="3119" w:type="dxa"/>
            <w:vAlign w:val="center"/>
          </w:tcPr>
          <w:p w:rsidR="00565B7C" w:rsidRDefault="004578F5">
            <w:pPr>
              <w:jc w:val="right"/>
            </w:pPr>
            <w:r>
              <w:rPr>
                <w:color w:val="000000" w:themeColor="text1"/>
                <w:sz w:val="24"/>
                <w:szCs w:val="24"/>
              </w:rPr>
              <w:t>406.20</w:t>
            </w:r>
          </w:p>
        </w:tc>
      </w:tr>
    </w:tbl>
    <w:p w:rsidR="00565B7C" w:rsidRDefault="004578F5">
      <w:pPr>
        <w:pStyle w:val="11"/>
        <w:spacing w:line="360" w:lineRule="auto"/>
        <w:ind w:firstLine="420"/>
        <w:jc w:val="left"/>
        <w:rPr>
          <w:sz w:val="24"/>
        </w:rPr>
      </w:pPr>
      <w:r>
        <w:rPr>
          <w:sz w:val="24"/>
        </w:rPr>
        <w:t>注：当期持有基金产生的应支付销售服务费、应支付管理费、应支付托管费按照被投资基金基金合同约定已作为费用计入被投资基金的基金份额净值，上表列示金额为按照本基金对被投资基金的实际持仓情况根据被投资基金基金合同约定的相应费率计算得出。</w:t>
      </w:r>
      <w:r>
        <w:rPr>
          <w:sz w:val="24"/>
        </w:rPr>
        <w:t xml:space="preserve"> </w:t>
      </w:r>
    </w:p>
    <w:p w:rsidR="006A5FB3" w:rsidRPr="006A5FB3" w:rsidRDefault="006A5FB3" w:rsidP="006A5FB3">
      <w:pPr>
        <w:pStyle w:val="11"/>
        <w:spacing w:line="360" w:lineRule="auto"/>
        <w:ind w:firstLine="420"/>
        <w:jc w:val="left"/>
        <w:rPr>
          <w:sz w:val="24"/>
        </w:rPr>
      </w:pPr>
      <w:r w:rsidRPr="006A5FB3">
        <w:rPr>
          <w:sz w:val="24"/>
        </w:rPr>
        <w:t>根据相关法律法规及本基金合同的约定，基金管理人不得对基金中基金财产中持有的自身管理的基金部分收取基金中基金的管理费，基金托管人不得对基金中基金财产中持有的自身托管的基金部分收取基金中基金的托管费。基金管理人运用本基金财产申购自身管理的其他基金的（</w:t>
      </w:r>
      <w:r w:rsidRPr="006A5FB3">
        <w:rPr>
          <w:sz w:val="24"/>
        </w:rPr>
        <w:t>ETF</w:t>
      </w:r>
      <w:r w:rsidRPr="006A5FB3">
        <w:rPr>
          <w:sz w:val="24"/>
        </w:rPr>
        <w:t>除外），应当通过直销渠道申购且不收取申购费、赎回费（按照相关法规、基金招募说明书约定应当收取，并计入基金资产的赎回费用除外）、销售服务费等销售费用，其中申购费、赎回费在实际申购、赎回时按上述规定执行，销售服务费由本基金管理人从被投资基金收取后返还至本基金基金资产。</w:t>
      </w:r>
    </w:p>
    <w:p w:rsidR="006A5FB3" w:rsidRPr="006A5FB3" w:rsidRDefault="006A5FB3" w:rsidP="006A5FB3">
      <w:pPr>
        <w:autoSpaceDE w:val="0"/>
        <w:autoSpaceDN w:val="0"/>
        <w:adjustRightInd w:val="0"/>
        <w:spacing w:line="360" w:lineRule="auto"/>
        <w:jc w:val="left"/>
        <w:rPr>
          <w:color w:val="000000"/>
          <w:sz w:val="24"/>
          <w:szCs w:val="24"/>
        </w:rPr>
      </w:pPr>
      <w:r w:rsidRPr="006A5FB3">
        <w:rPr>
          <w:color w:val="000000"/>
          <w:sz w:val="24"/>
          <w:szCs w:val="24"/>
        </w:rPr>
        <w:t xml:space="preserve">6.3 </w:t>
      </w:r>
      <w:r w:rsidRPr="006A5FB3">
        <w:rPr>
          <w:color w:val="000000"/>
          <w:sz w:val="24"/>
          <w:szCs w:val="24"/>
        </w:rPr>
        <w:t>本报告期持有的基金发生的重大影响事件</w:t>
      </w:r>
    </w:p>
    <w:tbl>
      <w:tblPr>
        <w:tblStyle w:val="af7"/>
        <w:tblW w:w="0" w:type="auto"/>
        <w:tblInd w:w="108" w:type="dxa"/>
        <w:tblLook w:val="04A0" w:firstRow="1" w:lastRow="0" w:firstColumn="1" w:lastColumn="0" w:noHBand="0" w:noVBand="1"/>
      </w:tblPr>
      <w:tblGrid>
        <w:gridCol w:w="8420"/>
      </w:tblGrid>
      <w:tr w:rsidR="006A5FB3" w:rsidRPr="006A5FB3" w:rsidTr="00F94C5F">
        <w:tc>
          <w:tcPr>
            <w:tcW w:w="8789" w:type="dxa"/>
            <w:vAlign w:val="center"/>
          </w:tcPr>
          <w:p w:rsidR="006A5FB3" w:rsidRPr="006A5FB3" w:rsidRDefault="006A5FB3" w:rsidP="00F94C5F">
            <w:pPr>
              <w:autoSpaceDE w:val="0"/>
              <w:autoSpaceDN w:val="0"/>
              <w:adjustRightInd w:val="0"/>
              <w:rPr>
                <w:color w:val="000000" w:themeColor="text1"/>
                <w:sz w:val="24"/>
                <w:szCs w:val="24"/>
              </w:rPr>
            </w:pPr>
            <w:r w:rsidRPr="006A5FB3">
              <w:rPr>
                <w:color w:val="000000" w:themeColor="text1"/>
                <w:sz w:val="24"/>
                <w:szCs w:val="24"/>
              </w:rPr>
              <w:t>本基金持有的基金在报告期未发生重大影响事件。</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006D75A5" w:rsidRPr="006A5FB3">
        <w:rPr>
          <w:color w:val="000000"/>
          <w:kern w:val="0"/>
          <w:sz w:val="24"/>
          <w:szCs w:val="24"/>
        </w:rPr>
        <w:t>7</w:t>
      </w:r>
      <w:r w:rsidRPr="00264E55">
        <w:rPr>
          <w:rFonts w:ascii="宋体" w:hAnsi="宋体"/>
          <w:color w:val="000000"/>
          <w:kern w:val="0"/>
          <w:sz w:val="24"/>
          <w:szCs w:val="24"/>
        </w:rPr>
        <w:t xml:space="preserve">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lastRenderedPageBreak/>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10,023,724.45</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478,690.98</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10,502,415.43</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8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8.1 </w:t>
      </w:r>
      <w:r>
        <w:rPr>
          <w:rFonts w:hint="eastAsia"/>
          <w:b/>
          <w:sz w:val="24"/>
        </w:rPr>
        <w:t>基金管理人持有本基金份额变动情况</w:t>
      </w:r>
    </w:p>
    <w:p w:rsidR="00AC11B0" w:rsidRPr="005A564A" w:rsidRDefault="00AC11B0" w:rsidP="00AC11B0">
      <w:pPr>
        <w:autoSpaceDE w:val="0"/>
        <w:autoSpaceDN w:val="0"/>
        <w:adjustRightInd w:val="0"/>
        <w:spacing w:before="29" w:line="360" w:lineRule="auto"/>
        <w:ind w:left="15"/>
        <w:jc w:val="right"/>
        <w:rPr>
          <w:sz w:val="24"/>
        </w:rPr>
      </w:pPr>
      <w:r w:rsidRPr="005A564A">
        <w:rPr>
          <w:sz w:val="24"/>
        </w:rPr>
        <w:t>单位：份</w:t>
      </w:r>
    </w:p>
    <w:tbl>
      <w:tblPr>
        <w:tblW w:w="8415" w:type="dxa"/>
        <w:tblInd w:w="108" w:type="dxa"/>
        <w:tblLayout w:type="fixed"/>
        <w:tblLook w:val="04A0" w:firstRow="1" w:lastRow="0" w:firstColumn="1" w:lastColumn="0" w:noHBand="0" w:noVBand="1"/>
      </w:tblPr>
      <w:tblGrid>
        <w:gridCol w:w="5037"/>
        <w:gridCol w:w="3378"/>
      </w:tblGrid>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pStyle w:val="ad"/>
              <w:adjustRightInd w:val="0"/>
              <w:snapToGrid w:val="0"/>
              <w:spacing w:line="360" w:lineRule="exact"/>
              <w:rPr>
                <w:rFonts w:eastAsiaTheme="minorEastAsia"/>
                <w:color w:val="000000" w:themeColor="text1"/>
              </w:rPr>
            </w:pPr>
            <w:r w:rsidRPr="003B42FF">
              <w:rPr>
                <w:rFonts w:eastAsiaTheme="minorEastAsia"/>
                <w:color w:val="000000" w:themeColor="text1"/>
              </w:rPr>
              <w:t>报告期期初管理人持有的本基金份额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sz w:val="24"/>
                <w:szCs w:val="24"/>
              </w:rPr>
            </w:pPr>
            <w:r w:rsidRPr="003B42FF">
              <w:rPr>
                <w:rFonts w:eastAsiaTheme="minorEastAsia"/>
                <w:color w:val="000000" w:themeColor="text1"/>
                <w:sz w:val="24"/>
                <w:szCs w:val="24"/>
              </w:rPr>
              <w:t>10,000,000.00</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kern w:val="0"/>
                <w:sz w:val="24"/>
                <w:szCs w:val="24"/>
              </w:rPr>
              <w:t>报告期</w:t>
            </w:r>
            <w:r w:rsidR="00B53067" w:rsidRPr="00B53067">
              <w:rPr>
                <w:rFonts w:eastAsiaTheme="minorEastAsia"/>
                <w:color w:val="000000" w:themeColor="text1"/>
                <w:sz w:val="24"/>
                <w:szCs w:val="24"/>
              </w:rPr>
              <w:t>期间</w:t>
            </w:r>
            <w:r w:rsidRPr="003B42FF">
              <w:rPr>
                <w:rFonts w:eastAsiaTheme="minorEastAsia"/>
                <w:color w:val="000000" w:themeColor="text1"/>
                <w:sz w:val="24"/>
                <w:szCs w:val="24"/>
              </w:rPr>
              <w:t>买入</w:t>
            </w:r>
            <w:r w:rsidRPr="003B42FF">
              <w:rPr>
                <w:rFonts w:eastAsiaTheme="minorEastAsia"/>
                <w:color w:val="000000" w:themeColor="text1"/>
                <w:sz w:val="24"/>
                <w:szCs w:val="24"/>
              </w:rPr>
              <w:t>/</w:t>
            </w:r>
            <w:r w:rsidRPr="003B42FF">
              <w:rPr>
                <w:rFonts w:eastAsiaTheme="minorEastAsia"/>
                <w:color w:val="000000" w:themeColor="text1"/>
                <w:sz w:val="24"/>
                <w:szCs w:val="24"/>
              </w:rPr>
              <w:t>申购总份额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kern w:val="0"/>
                <w:sz w:val="24"/>
                <w:szCs w:val="24"/>
              </w:rPr>
            </w:pPr>
            <w:r w:rsidRPr="003B42FF">
              <w:rPr>
                <w:rFonts w:eastAsiaTheme="minorEastAsia"/>
                <w:color w:val="000000" w:themeColor="text1"/>
                <w:sz w:val="24"/>
                <w:szCs w:val="24"/>
              </w:rPr>
              <w:t>-</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kern w:val="0"/>
                <w:sz w:val="24"/>
                <w:szCs w:val="24"/>
              </w:rPr>
              <w:t>报告期</w:t>
            </w:r>
            <w:r w:rsidR="00B53067" w:rsidRPr="00B53067">
              <w:rPr>
                <w:rFonts w:eastAsiaTheme="minorEastAsia"/>
                <w:color w:val="000000" w:themeColor="text1"/>
                <w:sz w:val="24"/>
                <w:szCs w:val="24"/>
              </w:rPr>
              <w:t>期间</w:t>
            </w:r>
            <w:r w:rsidRPr="003B42FF">
              <w:rPr>
                <w:rFonts w:eastAsiaTheme="minorEastAsia"/>
                <w:color w:val="000000" w:themeColor="text1"/>
                <w:sz w:val="24"/>
                <w:szCs w:val="24"/>
              </w:rPr>
              <w:t>卖出</w:t>
            </w:r>
            <w:r w:rsidRPr="003B42FF">
              <w:rPr>
                <w:rFonts w:eastAsiaTheme="minorEastAsia"/>
                <w:color w:val="000000" w:themeColor="text1"/>
                <w:sz w:val="24"/>
                <w:szCs w:val="24"/>
              </w:rPr>
              <w:t>/</w:t>
            </w:r>
            <w:r w:rsidRPr="003B42FF">
              <w:rPr>
                <w:rFonts w:eastAsiaTheme="minorEastAsia"/>
                <w:color w:val="000000" w:themeColor="text1"/>
                <w:sz w:val="24"/>
                <w:szCs w:val="24"/>
              </w:rPr>
              <w:t>赎回总份额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kern w:val="0"/>
                <w:sz w:val="24"/>
                <w:szCs w:val="24"/>
              </w:rPr>
            </w:pPr>
            <w:r w:rsidRPr="003B42FF">
              <w:rPr>
                <w:rFonts w:eastAsiaTheme="minorEastAsia"/>
                <w:color w:val="000000" w:themeColor="text1"/>
                <w:sz w:val="24"/>
                <w:szCs w:val="24"/>
              </w:rPr>
              <w:t>-</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sz w:val="24"/>
                <w:szCs w:val="24"/>
              </w:rPr>
              <w:t>报告期期末管理人持有的本基金份额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sz w:val="24"/>
                <w:szCs w:val="24"/>
              </w:rPr>
            </w:pPr>
            <w:r w:rsidRPr="003B42FF">
              <w:rPr>
                <w:rFonts w:eastAsiaTheme="minorEastAsia"/>
                <w:color w:val="000000" w:themeColor="text1"/>
                <w:sz w:val="24"/>
                <w:szCs w:val="24"/>
              </w:rPr>
              <w:t>10,000,000.00</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sz w:val="24"/>
                <w:szCs w:val="24"/>
              </w:rPr>
              <w:t>报告期期末持有的本基金份额占基金总份额比例（</w:t>
            </w:r>
            <w:r w:rsidRPr="003B42FF">
              <w:rPr>
                <w:rFonts w:eastAsiaTheme="minorEastAsia"/>
                <w:color w:val="000000" w:themeColor="text1"/>
                <w:sz w:val="24"/>
                <w:szCs w:val="24"/>
              </w:rPr>
              <w:t>%</w:t>
            </w:r>
            <w:r w:rsidRPr="003B42FF">
              <w:rPr>
                <w:rFonts w:eastAsiaTheme="minorEastAsia"/>
                <w:color w:val="000000" w:themeColor="text1"/>
                <w:sz w:val="24"/>
                <w:szCs w:val="24"/>
              </w:rPr>
              <w:t>）</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kern w:val="0"/>
                <w:sz w:val="24"/>
                <w:szCs w:val="24"/>
              </w:rPr>
            </w:pPr>
            <w:r w:rsidRPr="003B42FF">
              <w:rPr>
                <w:rFonts w:eastAsiaTheme="minorEastAsia"/>
                <w:color w:val="000000" w:themeColor="text1"/>
                <w:sz w:val="24"/>
                <w:szCs w:val="24"/>
              </w:rPr>
              <w:t>95.22</w:t>
            </w:r>
          </w:p>
        </w:tc>
      </w:tr>
    </w:tbl>
    <w:p w:rsidR="00750D48" w:rsidRDefault="00750D48" w:rsidP="00EB374A">
      <w:pPr>
        <w:spacing w:line="360" w:lineRule="auto"/>
        <w:jc w:val="left"/>
        <w:rPr>
          <w:sz w:val="24"/>
        </w:rPr>
      </w:pPr>
      <w:r>
        <w:rPr>
          <w:b/>
          <w:sz w:val="24"/>
        </w:rPr>
        <w:t xml:space="preserve">8.2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9  </w:t>
      </w:r>
      <w:r>
        <w:rPr>
          <w:rFonts w:ascii="宋体" w:hAnsi="宋体" w:hint="eastAsia"/>
          <w:color w:val="000000"/>
          <w:kern w:val="0"/>
          <w:sz w:val="24"/>
          <w:szCs w:val="24"/>
        </w:rPr>
        <w:t>报告期末</w:t>
      </w:r>
      <w:r w:rsidRPr="00264E55">
        <w:rPr>
          <w:rFonts w:ascii="宋体" w:hAnsi="宋体" w:hint="eastAsia"/>
          <w:color w:val="000000"/>
          <w:kern w:val="0"/>
          <w:sz w:val="24"/>
          <w:szCs w:val="24"/>
        </w:rPr>
        <w:t>发起式基金发起资金持有份额情况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1843"/>
        <w:gridCol w:w="1276"/>
        <w:gridCol w:w="1984"/>
        <w:gridCol w:w="1276"/>
        <w:gridCol w:w="941"/>
      </w:tblGrid>
      <w:tr w:rsidR="00750D48" w:rsidRPr="00264E55" w:rsidTr="00507F99">
        <w:trPr>
          <w:trHeight w:val="543"/>
          <w:jc w:val="center"/>
        </w:trPr>
        <w:tc>
          <w:tcPr>
            <w:tcW w:w="1560" w:type="dxa"/>
            <w:vAlign w:val="center"/>
          </w:tcPr>
          <w:p w:rsidR="00750D48" w:rsidRPr="00B227EA" w:rsidRDefault="00750D48" w:rsidP="00597E49">
            <w:pPr>
              <w:widowControl/>
              <w:jc w:val="left"/>
              <w:rPr>
                <w:color w:val="000000"/>
                <w:sz w:val="24"/>
                <w:szCs w:val="24"/>
              </w:rPr>
            </w:pPr>
            <w:r w:rsidRPr="00B227EA">
              <w:rPr>
                <w:color w:val="000000"/>
                <w:sz w:val="24"/>
                <w:szCs w:val="24"/>
              </w:rPr>
              <w:t>项目</w:t>
            </w:r>
          </w:p>
        </w:tc>
        <w:tc>
          <w:tcPr>
            <w:tcW w:w="1843"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持有份额总数</w:t>
            </w:r>
          </w:p>
        </w:tc>
        <w:tc>
          <w:tcPr>
            <w:tcW w:w="1276"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持有份额占基金总份额比例</w:t>
            </w:r>
          </w:p>
        </w:tc>
        <w:tc>
          <w:tcPr>
            <w:tcW w:w="1984"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发起份额总数</w:t>
            </w:r>
          </w:p>
        </w:tc>
        <w:tc>
          <w:tcPr>
            <w:tcW w:w="1276"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发起份额占基金总份额比例</w:t>
            </w:r>
          </w:p>
        </w:tc>
        <w:tc>
          <w:tcPr>
            <w:tcW w:w="941" w:type="dxa"/>
          </w:tcPr>
          <w:p w:rsidR="00750D48" w:rsidRPr="00B227EA" w:rsidRDefault="00750D48" w:rsidP="00597E49">
            <w:pPr>
              <w:widowControl/>
              <w:jc w:val="left"/>
              <w:rPr>
                <w:color w:val="000000"/>
                <w:sz w:val="24"/>
                <w:szCs w:val="24"/>
              </w:rPr>
            </w:pPr>
            <w:r w:rsidRPr="00B227EA">
              <w:rPr>
                <w:color w:val="000000"/>
                <w:sz w:val="24"/>
                <w:szCs w:val="24"/>
              </w:rPr>
              <w:t>发起份额承诺持有期限</w:t>
            </w:r>
          </w:p>
        </w:tc>
      </w:tr>
      <w:tr w:rsidR="00750D48" w:rsidRPr="00264E55" w:rsidTr="00507F99">
        <w:trPr>
          <w:jc w:val="center"/>
        </w:trPr>
        <w:tc>
          <w:tcPr>
            <w:tcW w:w="1560"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基金管理人固有资金</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10,000,000.00</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95.2162%</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10,000,000.00</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95.2162%</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不少于</w:t>
            </w:r>
            <w:r w:rsidRPr="00B227EA">
              <w:rPr>
                <w:kern w:val="0"/>
                <w:sz w:val="24"/>
                <w:szCs w:val="24"/>
              </w:rPr>
              <w:t>3</w:t>
            </w:r>
            <w:r w:rsidRPr="00B227EA">
              <w:rPr>
                <w:kern w:val="0"/>
                <w:sz w:val="24"/>
                <w:szCs w:val="24"/>
              </w:rPr>
              <w:t>年</w:t>
            </w:r>
          </w:p>
        </w:tc>
      </w:tr>
      <w:tr w:rsidR="00750D48" w:rsidRPr="00264E55" w:rsidTr="00507F99">
        <w:trPr>
          <w:trHeight w:val="790"/>
          <w:jc w:val="center"/>
        </w:trPr>
        <w:tc>
          <w:tcPr>
            <w:tcW w:w="1560"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基金管理人高级管理人员</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r>
      <w:tr w:rsidR="00750D48" w:rsidRPr="00264E55" w:rsidTr="00507F99">
        <w:trPr>
          <w:jc w:val="center"/>
        </w:trPr>
        <w:tc>
          <w:tcPr>
            <w:tcW w:w="1560" w:type="dxa"/>
          </w:tcPr>
          <w:p w:rsidR="00750D48" w:rsidRPr="00B227EA" w:rsidRDefault="00750D48" w:rsidP="00597E49">
            <w:pPr>
              <w:adjustRightInd w:val="0"/>
              <w:snapToGrid w:val="0"/>
              <w:spacing w:line="360" w:lineRule="exact"/>
              <w:jc w:val="left"/>
              <w:rPr>
                <w:color w:val="000000"/>
                <w:sz w:val="24"/>
                <w:szCs w:val="24"/>
              </w:rPr>
            </w:pPr>
            <w:r w:rsidRPr="00B227EA">
              <w:rPr>
                <w:color w:val="000000"/>
                <w:sz w:val="24"/>
                <w:szCs w:val="24"/>
              </w:rPr>
              <w:t>基金经理等人员</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r>
      <w:tr w:rsidR="00750D48" w:rsidRPr="00264E55" w:rsidTr="00507F99">
        <w:trPr>
          <w:jc w:val="center"/>
        </w:trPr>
        <w:tc>
          <w:tcPr>
            <w:tcW w:w="1560" w:type="dxa"/>
          </w:tcPr>
          <w:p w:rsidR="00750D48" w:rsidRPr="00B227EA" w:rsidRDefault="00750D48" w:rsidP="00597E49">
            <w:pPr>
              <w:adjustRightInd w:val="0"/>
              <w:snapToGrid w:val="0"/>
              <w:spacing w:line="360" w:lineRule="exact"/>
              <w:jc w:val="left"/>
              <w:rPr>
                <w:color w:val="000000"/>
                <w:sz w:val="24"/>
                <w:szCs w:val="24"/>
              </w:rPr>
            </w:pPr>
            <w:r w:rsidRPr="00B227EA">
              <w:rPr>
                <w:color w:val="000000"/>
                <w:sz w:val="24"/>
                <w:szCs w:val="24"/>
              </w:rPr>
              <w:t>基金管理人股东</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r>
      <w:tr w:rsidR="00750D48" w:rsidRPr="00264E55" w:rsidTr="00507F99">
        <w:trPr>
          <w:jc w:val="center"/>
        </w:trPr>
        <w:tc>
          <w:tcPr>
            <w:tcW w:w="1560" w:type="dxa"/>
          </w:tcPr>
          <w:p w:rsidR="00750D48" w:rsidRPr="00B227EA" w:rsidRDefault="00750D48" w:rsidP="00597E49">
            <w:pPr>
              <w:adjustRightInd w:val="0"/>
              <w:snapToGrid w:val="0"/>
              <w:spacing w:line="360" w:lineRule="exact"/>
              <w:jc w:val="left"/>
              <w:rPr>
                <w:color w:val="000000"/>
                <w:sz w:val="24"/>
                <w:szCs w:val="24"/>
              </w:rPr>
            </w:pPr>
            <w:r w:rsidRPr="00B227EA">
              <w:rPr>
                <w:color w:val="000000"/>
                <w:sz w:val="24"/>
                <w:szCs w:val="24"/>
              </w:rPr>
              <w:t>其他</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r>
      <w:tr w:rsidR="00750D48" w:rsidRPr="00264E55" w:rsidTr="00507F99">
        <w:trPr>
          <w:jc w:val="center"/>
        </w:trPr>
        <w:tc>
          <w:tcPr>
            <w:tcW w:w="1560" w:type="dxa"/>
          </w:tcPr>
          <w:p w:rsidR="00750D48" w:rsidRPr="00B227EA" w:rsidRDefault="00750D48" w:rsidP="00597E49">
            <w:pPr>
              <w:adjustRightInd w:val="0"/>
              <w:snapToGrid w:val="0"/>
              <w:spacing w:line="360" w:lineRule="exact"/>
              <w:jc w:val="left"/>
              <w:rPr>
                <w:color w:val="000000"/>
                <w:sz w:val="24"/>
                <w:szCs w:val="24"/>
              </w:rPr>
            </w:pPr>
            <w:r w:rsidRPr="00B227EA">
              <w:rPr>
                <w:color w:val="000000"/>
                <w:sz w:val="24"/>
                <w:szCs w:val="24"/>
              </w:rPr>
              <w:lastRenderedPageBreak/>
              <w:t>合计</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10,000,000.00</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95.2162%</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10,000,000.00</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95.2162%</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r>
    </w:tbl>
    <w:p w:rsidR="004B7A92" w:rsidRPr="004B7A92" w:rsidRDefault="00013E6E" w:rsidP="004B7A92">
      <w:pPr>
        <w:pStyle w:val="1"/>
        <w:spacing w:beforeLines="100" w:before="312" w:afterLines="100" w:after="312" w:line="360" w:lineRule="auto"/>
        <w:jc w:val="center"/>
        <w:rPr>
          <w:rFonts w:ascii="宋体" w:hAnsi="宋体"/>
          <w:color w:val="000000"/>
          <w:kern w:val="0"/>
          <w:sz w:val="24"/>
          <w:szCs w:val="24"/>
        </w:rPr>
      </w:pPr>
      <w:r w:rsidRPr="00264E55">
        <w:rPr>
          <w:rFonts w:ascii="宋体" w:hAnsi="宋体" w:hint="eastAsia"/>
          <w:color w:val="000000"/>
          <w:kern w:val="0"/>
          <w:sz w:val="24"/>
          <w:szCs w:val="24"/>
        </w:rPr>
        <w:t>§</w:t>
      </w:r>
      <w:r w:rsidR="004B7A92" w:rsidRPr="004B7A92">
        <w:rPr>
          <w:rFonts w:ascii="宋体" w:hAnsi="宋体"/>
          <w:color w:val="000000"/>
          <w:kern w:val="0"/>
          <w:sz w:val="24"/>
          <w:szCs w:val="24"/>
        </w:rPr>
        <w:t>10</w:t>
      </w:r>
      <w:r w:rsidR="0043199A" w:rsidRPr="00264E55">
        <w:rPr>
          <w:rFonts w:ascii="宋体" w:hAnsi="宋体"/>
          <w:color w:val="000000"/>
          <w:kern w:val="0"/>
          <w:sz w:val="24"/>
          <w:szCs w:val="24"/>
        </w:rPr>
        <w:t xml:space="preserve">  </w:t>
      </w:r>
      <w:r w:rsidR="004B7A92" w:rsidRPr="004B7A92">
        <w:rPr>
          <w:rFonts w:ascii="宋体" w:hAnsi="宋体"/>
          <w:color w:val="000000"/>
          <w:kern w:val="0"/>
          <w:sz w:val="24"/>
          <w:szCs w:val="24"/>
        </w:rPr>
        <w:t>影响投资者决策的其他重要信息</w:t>
      </w:r>
    </w:p>
    <w:p w:rsidR="001F5F5D" w:rsidRPr="001F5F5D" w:rsidRDefault="001F5F5D" w:rsidP="001F5F5D">
      <w:pPr>
        <w:autoSpaceDE w:val="0"/>
        <w:autoSpaceDN w:val="0"/>
        <w:adjustRightInd w:val="0"/>
        <w:spacing w:line="360" w:lineRule="auto"/>
        <w:jc w:val="left"/>
        <w:rPr>
          <w:rFonts w:ascii="宋体"/>
          <w:b/>
          <w:bCs/>
          <w:color w:val="000000"/>
          <w:kern w:val="0"/>
          <w:sz w:val="24"/>
          <w:szCs w:val="24"/>
        </w:rPr>
      </w:pPr>
      <w:r w:rsidRPr="001F5F5D">
        <w:rPr>
          <w:rFonts w:ascii="宋体"/>
          <w:b/>
          <w:bCs/>
          <w:color w:val="000000"/>
          <w:kern w:val="0"/>
          <w:sz w:val="24"/>
          <w:szCs w:val="24"/>
        </w:rPr>
        <w:t>10.1 报告期内单一投资者持有基金份额比例达到或超过20%的情况</w:t>
      </w:r>
    </w:p>
    <w:tbl>
      <w:tblPr>
        <w:tblStyle w:val="af7"/>
        <w:tblW w:w="9640" w:type="dxa"/>
        <w:jc w:val="center"/>
        <w:tblLayout w:type="fixed"/>
        <w:tblLook w:val="04A0" w:firstRow="1" w:lastRow="0" w:firstColumn="1" w:lastColumn="0" w:noHBand="0" w:noVBand="1"/>
      </w:tblPr>
      <w:tblGrid>
        <w:gridCol w:w="1798"/>
        <w:gridCol w:w="709"/>
        <w:gridCol w:w="1985"/>
        <w:gridCol w:w="1134"/>
        <w:gridCol w:w="992"/>
        <w:gridCol w:w="1134"/>
        <w:gridCol w:w="1037"/>
        <w:gridCol w:w="851"/>
      </w:tblGrid>
      <w:tr w:rsidR="001F5F5D" w:rsidRPr="00FC0759" w:rsidTr="007125DB">
        <w:trPr>
          <w:jc w:val="center"/>
        </w:trPr>
        <w:tc>
          <w:tcPr>
            <w:tcW w:w="1798" w:type="dxa"/>
            <w:vMerge w:val="restart"/>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投资者类别</w:t>
            </w:r>
          </w:p>
        </w:tc>
        <w:tc>
          <w:tcPr>
            <w:tcW w:w="5954" w:type="dxa"/>
            <w:gridSpan w:val="5"/>
            <w:vAlign w:val="center"/>
          </w:tcPr>
          <w:p w:rsidR="001F5F5D" w:rsidRPr="00FC0759" w:rsidRDefault="001F5F5D" w:rsidP="00D9482C">
            <w:pPr>
              <w:autoSpaceDE w:val="0"/>
              <w:autoSpaceDN w:val="0"/>
              <w:adjustRightInd w:val="0"/>
              <w:ind w:firstLine="1126"/>
              <w:jc w:val="center"/>
              <w:rPr>
                <w:rFonts w:eastAsiaTheme="minorEastAsia"/>
                <w:b/>
                <w:bCs/>
                <w:color w:val="000000" w:themeColor="text1"/>
                <w:sz w:val="24"/>
                <w:szCs w:val="24"/>
              </w:rPr>
            </w:pPr>
            <w:r w:rsidRPr="00FC0759">
              <w:rPr>
                <w:color w:val="000000"/>
                <w:sz w:val="24"/>
                <w:szCs w:val="24"/>
              </w:rPr>
              <w:t>报告期内持有基金份额变化情况</w:t>
            </w:r>
          </w:p>
        </w:tc>
        <w:tc>
          <w:tcPr>
            <w:tcW w:w="1888" w:type="dxa"/>
            <w:gridSpan w:val="2"/>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报告期末持有基金情况</w:t>
            </w:r>
          </w:p>
        </w:tc>
      </w:tr>
      <w:tr w:rsidR="001F5F5D" w:rsidRPr="00FC0759" w:rsidTr="007125DB">
        <w:trPr>
          <w:jc w:val="center"/>
        </w:trPr>
        <w:tc>
          <w:tcPr>
            <w:tcW w:w="1798" w:type="dxa"/>
            <w:vMerge/>
            <w:vAlign w:val="center"/>
          </w:tcPr>
          <w:p w:rsidR="001F5F5D" w:rsidRPr="00FC0759" w:rsidRDefault="001F5F5D" w:rsidP="00D9482C">
            <w:pPr>
              <w:autoSpaceDE w:val="0"/>
              <w:autoSpaceDN w:val="0"/>
              <w:adjustRightInd w:val="0"/>
              <w:ind w:firstLine="1234"/>
              <w:jc w:val="center"/>
              <w:rPr>
                <w:rFonts w:eastAsiaTheme="minorEastAsia"/>
                <w:b/>
                <w:bCs/>
                <w:color w:val="000000" w:themeColor="text1"/>
                <w:sz w:val="24"/>
                <w:szCs w:val="24"/>
              </w:rPr>
            </w:pPr>
          </w:p>
        </w:tc>
        <w:tc>
          <w:tcPr>
            <w:tcW w:w="709"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序号</w:t>
            </w:r>
          </w:p>
        </w:tc>
        <w:tc>
          <w:tcPr>
            <w:tcW w:w="1985"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持有基金份额比例达到或者超过</w:t>
            </w:r>
            <w:r w:rsidRPr="00FC0759">
              <w:rPr>
                <w:color w:val="000000"/>
                <w:sz w:val="24"/>
                <w:szCs w:val="24"/>
              </w:rPr>
              <w:t>20%</w:t>
            </w:r>
            <w:r w:rsidRPr="00FC0759">
              <w:rPr>
                <w:color w:val="000000"/>
                <w:sz w:val="24"/>
                <w:szCs w:val="24"/>
              </w:rPr>
              <w:t>的时间区间</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期初份额</w:t>
            </w:r>
          </w:p>
        </w:tc>
        <w:tc>
          <w:tcPr>
            <w:tcW w:w="992"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申购份额</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赎回份额</w:t>
            </w:r>
          </w:p>
        </w:tc>
        <w:tc>
          <w:tcPr>
            <w:tcW w:w="1037"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持有份额</w:t>
            </w:r>
          </w:p>
        </w:tc>
        <w:tc>
          <w:tcPr>
            <w:tcW w:w="851"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份额占比</w:t>
            </w:r>
          </w:p>
        </w:tc>
      </w:tr>
      <w:tr w:rsidR="00565B7C">
        <w:trPr>
          <w:jc w:val="center"/>
        </w:trPr>
        <w:tc>
          <w:tcPr>
            <w:tcW w:w="1798" w:type="dxa"/>
            <w:vMerge w:val="restart"/>
            <w:vAlign w:val="center"/>
          </w:tcPr>
          <w:p w:rsidR="00565B7C" w:rsidRDefault="004578F5">
            <w:r>
              <w:rPr>
                <w:rFonts w:eastAsiaTheme="minorEastAsia"/>
                <w:bCs/>
                <w:color w:val="000000" w:themeColor="text1"/>
                <w:sz w:val="24"/>
                <w:szCs w:val="24"/>
              </w:rPr>
              <w:t>机构</w:t>
            </w:r>
          </w:p>
        </w:tc>
        <w:tc>
          <w:tcPr>
            <w:tcW w:w="709" w:type="dxa"/>
            <w:vAlign w:val="center"/>
          </w:tcPr>
          <w:p w:rsidR="00565B7C" w:rsidRDefault="004578F5">
            <w:pPr>
              <w:jc w:val="center"/>
            </w:pPr>
            <w:r>
              <w:rPr>
                <w:sz w:val="24"/>
                <w:szCs w:val="24"/>
              </w:rPr>
              <w:t>1</w:t>
            </w:r>
          </w:p>
        </w:tc>
        <w:tc>
          <w:tcPr>
            <w:tcW w:w="1985" w:type="dxa"/>
            <w:vAlign w:val="center"/>
          </w:tcPr>
          <w:p w:rsidR="00565B7C" w:rsidRDefault="004578F5">
            <w:pPr>
              <w:jc w:val="center"/>
            </w:pPr>
            <w:r>
              <w:rPr>
                <w:sz w:val="24"/>
                <w:szCs w:val="24"/>
              </w:rPr>
              <w:t>2019</w:t>
            </w:r>
            <w:r>
              <w:rPr>
                <w:sz w:val="24"/>
                <w:szCs w:val="24"/>
              </w:rPr>
              <w:t>年</w:t>
            </w:r>
            <w:r>
              <w:rPr>
                <w:sz w:val="24"/>
                <w:szCs w:val="24"/>
              </w:rPr>
              <w:t>07</w:t>
            </w:r>
            <w:r>
              <w:rPr>
                <w:sz w:val="24"/>
                <w:szCs w:val="24"/>
              </w:rPr>
              <w:t>月</w:t>
            </w:r>
            <w:r>
              <w:rPr>
                <w:sz w:val="24"/>
                <w:szCs w:val="24"/>
              </w:rPr>
              <w:t>01</w:t>
            </w:r>
            <w:r>
              <w:rPr>
                <w:sz w:val="24"/>
                <w:szCs w:val="24"/>
              </w:rPr>
              <w:t>日</w:t>
            </w:r>
            <w:r>
              <w:rPr>
                <w:sz w:val="24"/>
                <w:szCs w:val="24"/>
              </w:rPr>
              <w:t>~2019</w:t>
            </w:r>
            <w:r>
              <w:rPr>
                <w:sz w:val="24"/>
                <w:szCs w:val="24"/>
              </w:rPr>
              <w:t>年</w:t>
            </w:r>
            <w:r>
              <w:rPr>
                <w:sz w:val="24"/>
                <w:szCs w:val="24"/>
              </w:rPr>
              <w:t>09</w:t>
            </w:r>
            <w:r>
              <w:rPr>
                <w:sz w:val="24"/>
                <w:szCs w:val="24"/>
              </w:rPr>
              <w:t>月</w:t>
            </w:r>
            <w:r>
              <w:rPr>
                <w:sz w:val="24"/>
                <w:szCs w:val="24"/>
              </w:rPr>
              <w:t>30</w:t>
            </w:r>
            <w:r>
              <w:rPr>
                <w:sz w:val="24"/>
                <w:szCs w:val="24"/>
              </w:rPr>
              <w:t>日</w:t>
            </w:r>
          </w:p>
        </w:tc>
        <w:tc>
          <w:tcPr>
            <w:tcW w:w="1134" w:type="dxa"/>
            <w:vAlign w:val="center"/>
          </w:tcPr>
          <w:p w:rsidR="00565B7C" w:rsidRDefault="004578F5">
            <w:pPr>
              <w:jc w:val="center"/>
            </w:pPr>
            <w:r>
              <w:rPr>
                <w:sz w:val="24"/>
                <w:szCs w:val="24"/>
              </w:rPr>
              <w:t>10,000,000.00</w:t>
            </w:r>
          </w:p>
        </w:tc>
        <w:tc>
          <w:tcPr>
            <w:tcW w:w="992" w:type="dxa"/>
            <w:vAlign w:val="center"/>
          </w:tcPr>
          <w:p w:rsidR="00565B7C" w:rsidRDefault="004578F5">
            <w:pPr>
              <w:jc w:val="center"/>
            </w:pPr>
            <w:r>
              <w:rPr>
                <w:sz w:val="24"/>
                <w:szCs w:val="24"/>
              </w:rPr>
              <w:t>-</w:t>
            </w:r>
          </w:p>
        </w:tc>
        <w:tc>
          <w:tcPr>
            <w:tcW w:w="1134" w:type="dxa"/>
            <w:vAlign w:val="center"/>
          </w:tcPr>
          <w:p w:rsidR="00565B7C" w:rsidRDefault="004578F5">
            <w:pPr>
              <w:jc w:val="center"/>
            </w:pPr>
            <w:r>
              <w:rPr>
                <w:sz w:val="24"/>
                <w:szCs w:val="24"/>
              </w:rPr>
              <w:t>-</w:t>
            </w:r>
          </w:p>
        </w:tc>
        <w:tc>
          <w:tcPr>
            <w:tcW w:w="1037" w:type="dxa"/>
            <w:vAlign w:val="center"/>
          </w:tcPr>
          <w:p w:rsidR="00565B7C" w:rsidRDefault="004578F5">
            <w:pPr>
              <w:jc w:val="center"/>
            </w:pPr>
            <w:r>
              <w:rPr>
                <w:sz w:val="24"/>
                <w:szCs w:val="24"/>
              </w:rPr>
              <w:t>10,000,000.00</w:t>
            </w:r>
          </w:p>
        </w:tc>
        <w:tc>
          <w:tcPr>
            <w:tcW w:w="851" w:type="dxa"/>
            <w:vAlign w:val="center"/>
          </w:tcPr>
          <w:p w:rsidR="00565B7C" w:rsidRDefault="004578F5">
            <w:pPr>
              <w:jc w:val="center"/>
            </w:pPr>
            <w:r>
              <w:rPr>
                <w:sz w:val="24"/>
                <w:szCs w:val="24"/>
              </w:rPr>
              <w:t>95.22%</w:t>
            </w:r>
          </w:p>
        </w:tc>
      </w:tr>
      <w:tr w:rsidR="001F5F5D" w:rsidRPr="00FC0759" w:rsidTr="00D9482C">
        <w:trPr>
          <w:jc w:val="center"/>
        </w:trPr>
        <w:tc>
          <w:tcPr>
            <w:tcW w:w="9637" w:type="dxa"/>
            <w:gridSpan w:val="8"/>
            <w:vAlign w:val="center"/>
          </w:tcPr>
          <w:p w:rsidR="001F5F5D" w:rsidRPr="00FC0759" w:rsidRDefault="001F5F5D" w:rsidP="003350A8">
            <w:pPr>
              <w:autoSpaceDE w:val="0"/>
              <w:autoSpaceDN w:val="0"/>
              <w:adjustRightInd w:val="0"/>
              <w:jc w:val="center"/>
              <w:rPr>
                <w:sz w:val="24"/>
                <w:szCs w:val="24"/>
              </w:rPr>
            </w:pPr>
            <w:r w:rsidRPr="00FC0759">
              <w:rPr>
                <w:color w:val="000000"/>
                <w:sz w:val="24"/>
                <w:szCs w:val="24"/>
              </w:rPr>
              <w:t>产品特有风险</w:t>
            </w:r>
          </w:p>
        </w:tc>
      </w:tr>
      <w:tr w:rsidR="001F5F5D" w:rsidRPr="00FC0759" w:rsidTr="00D9482C">
        <w:trPr>
          <w:jc w:val="center"/>
        </w:trPr>
        <w:tc>
          <w:tcPr>
            <w:tcW w:w="9637" w:type="dxa"/>
            <w:gridSpan w:val="8"/>
            <w:vAlign w:val="center"/>
          </w:tcPr>
          <w:p w:rsidR="001F5F5D" w:rsidRPr="00FC0759" w:rsidRDefault="001F5F5D" w:rsidP="00D9482C">
            <w:pPr>
              <w:autoSpaceDE w:val="0"/>
              <w:autoSpaceDN w:val="0"/>
              <w:adjustRightInd w:val="0"/>
              <w:jc w:val="left"/>
              <w:rPr>
                <w:sz w:val="24"/>
                <w:szCs w:val="24"/>
              </w:rPr>
            </w:pPr>
            <w:r w:rsidRPr="00FC0759">
              <w:rPr>
                <w:sz w:val="24"/>
                <w:szCs w:val="24"/>
              </w:rPr>
              <w:t>报告期内，本基金存在单一投资者持有份额比例达到或超过</w:t>
            </w:r>
            <w:r w:rsidRPr="00FC0759">
              <w:rPr>
                <w:sz w:val="24"/>
                <w:szCs w:val="24"/>
              </w:rPr>
              <w:t>20%</w:t>
            </w:r>
            <w:r w:rsidRPr="00FC0759">
              <w:rPr>
                <w:sz w:val="24"/>
                <w:szCs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szCs w:val="24"/>
              </w:rPr>
              <w:t>5000</w:t>
            </w:r>
            <w:r w:rsidRPr="00FC0759">
              <w:rPr>
                <w:sz w:val="24"/>
                <w:szCs w:val="24"/>
              </w:rPr>
              <w:t>万元，基金还可能面临转换运作方式、与其他基金合并或者终止基金合同等情形；持有基金份额占比较高的投资者在召开持有人大会并对审议事项进行投票表决时可能拥有较大话语权。</w:t>
            </w:r>
          </w:p>
        </w:tc>
      </w:tr>
    </w:tbl>
    <w:p w:rsidR="001F5F5D" w:rsidRPr="001F5F5D" w:rsidRDefault="001F5F5D" w:rsidP="001F5F5D">
      <w:pPr>
        <w:autoSpaceDE w:val="0"/>
        <w:autoSpaceDN w:val="0"/>
        <w:adjustRightInd w:val="0"/>
        <w:spacing w:line="360" w:lineRule="auto"/>
        <w:jc w:val="left"/>
        <w:rPr>
          <w:rFonts w:ascii="宋体"/>
          <w:b/>
          <w:bCs/>
          <w:color w:val="000000"/>
          <w:kern w:val="0"/>
          <w:sz w:val="24"/>
          <w:szCs w:val="24"/>
        </w:rPr>
      </w:pPr>
      <w:r w:rsidRPr="001F5F5D">
        <w:rPr>
          <w:rFonts w:ascii="宋体"/>
          <w:b/>
          <w:bCs/>
          <w:color w:val="000000"/>
          <w:kern w:val="0"/>
          <w:sz w:val="24"/>
          <w:szCs w:val="24"/>
        </w:rPr>
        <w:t>10.2 影响投资者决策的其他重要信息</w:t>
      </w:r>
    </w:p>
    <w:p w:rsidR="00565B7C" w:rsidRDefault="004578F5">
      <w:pPr>
        <w:spacing w:line="360" w:lineRule="auto"/>
        <w:ind w:firstLineChars="200" w:firstLine="480"/>
        <w:rPr>
          <w:color w:val="000000"/>
          <w:sz w:val="24"/>
          <w:szCs w:val="24"/>
        </w:rPr>
      </w:pPr>
      <w:r>
        <w:rPr>
          <w:rFonts w:eastAsiaTheme="minorEastAsia"/>
          <w:color w:val="000000" w:themeColor="text1"/>
          <w:sz w:val="24"/>
          <w:szCs w:val="24"/>
        </w:rPr>
        <w:t>本基金投资于其他基金的比例不低于本基金资产的</w:t>
      </w:r>
      <w:r>
        <w:rPr>
          <w:rFonts w:eastAsiaTheme="minorEastAsia"/>
          <w:color w:val="000000" w:themeColor="text1"/>
          <w:sz w:val="24"/>
          <w:szCs w:val="24"/>
        </w:rPr>
        <w:t>80%</w:t>
      </w:r>
      <w:r>
        <w:rPr>
          <w:rFonts w:eastAsiaTheme="minorEastAsia"/>
          <w:color w:val="000000" w:themeColor="text1"/>
          <w:sz w:val="24"/>
          <w:szCs w:val="24"/>
        </w:rPr>
        <w:t>，由此可能面临如下风险：</w:t>
      </w:r>
    </w:p>
    <w:p w:rsidR="00565B7C" w:rsidRDefault="004578F5">
      <w:pPr>
        <w:spacing w:line="360" w:lineRule="auto"/>
        <w:ind w:firstLineChars="200" w:firstLine="480"/>
        <w:rPr>
          <w:color w:val="000000"/>
          <w:sz w:val="24"/>
          <w:szCs w:val="24"/>
        </w:rPr>
      </w:pPr>
      <w:r>
        <w:rPr>
          <w:rFonts w:eastAsiaTheme="minorEastAsia"/>
          <w:color w:val="000000" w:themeColor="text1"/>
          <w:sz w:val="24"/>
          <w:szCs w:val="24"/>
        </w:rPr>
        <w:t>（</w:t>
      </w:r>
      <w:r>
        <w:rPr>
          <w:rFonts w:eastAsiaTheme="minorEastAsia"/>
          <w:color w:val="000000" w:themeColor="text1"/>
          <w:sz w:val="24"/>
          <w:szCs w:val="24"/>
        </w:rPr>
        <w:t>1</w:t>
      </w:r>
      <w:r>
        <w:rPr>
          <w:rFonts w:eastAsiaTheme="minorEastAsia"/>
          <w:color w:val="000000" w:themeColor="text1"/>
          <w:sz w:val="24"/>
          <w:szCs w:val="24"/>
        </w:rPr>
        <w:t>）被投资基金的业绩风险。本基金投资于其他基金的比例不低于基金资产的</w:t>
      </w:r>
      <w:r>
        <w:rPr>
          <w:rFonts w:eastAsiaTheme="minorEastAsia"/>
          <w:color w:val="000000" w:themeColor="text1"/>
          <w:sz w:val="24"/>
          <w:szCs w:val="24"/>
        </w:rPr>
        <w:t>80%</w:t>
      </w:r>
      <w:r>
        <w:rPr>
          <w:rFonts w:eastAsiaTheme="minorEastAsia"/>
          <w:color w:val="000000" w:themeColor="text1"/>
          <w:sz w:val="24"/>
          <w:szCs w:val="24"/>
        </w:rPr>
        <w:t>，因此本基金投资目标的实现建立在被投资基金本身投资目标实现的基础上。如果由于被投资基金未能实现投资目标，则本基金存在达不成投资目标的风险。</w:t>
      </w:r>
    </w:p>
    <w:p w:rsidR="00565B7C" w:rsidRDefault="004578F5">
      <w:pPr>
        <w:spacing w:line="360" w:lineRule="auto"/>
        <w:ind w:firstLineChars="200" w:firstLine="480"/>
        <w:rPr>
          <w:color w:val="000000"/>
          <w:sz w:val="24"/>
          <w:szCs w:val="24"/>
        </w:rPr>
      </w:pPr>
      <w:r>
        <w:rPr>
          <w:rFonts w:eastAsiaTheme="minorEastAsia"/>
          <w:color w:val="000000" w:themeColor="text1"/>
          <w:sz w:val="24"/>
          <w:szCs w:val="24"/>
        </w:rPr>
        <w:t>（</w:t>
      </w:r>
      <w:r>
        <w:rPr>
          <w:rFonts w:eastAsiaTheme="minorEastAsia"/>
          <w:color w:val="000000" w:themeColor="text1"/>
          <w:sz w:val="24"/>
          <w:szCs w:val="24"/>
        </w:rPr>
        <w:t>2</w:t>
      </w:r>
      <w:r>
        <w:rPr>
          <w:rFonts w:eastAsiaTheme="minorEastAsia"/>
          <w:color w:val="000000" w:themeColor="text1"/>
          <w:sz w:val="24"/>
          <w:szCs w:val="24"/>
        </w:rPr>
        <w:t>）赎回资金到账时间较晚的风险。基金赎回的资金交收效率慢于基础证券市场交易的证券，因此本基金赎回款实际到达投资者账户的时间可能晚于普通境内开放式基金，存在对投资者资金安排造成影响的风险。</w:t>
      </w:r>
    </w:p>
    <w:p w:rsidR="00565B7C" w:rsidRDefault="004578F5">
      <w:pPr>
        <w:spacing w:line="360" w:lineRule="auto"/>
        <w:ind w:firstLineChars="200" w:firstLine="480"/>
        <w:rPr>
          <w:color w:val="000000"/>
          <w:sz w:val="24"/>
          <w:szCs w:val="24"/>
        </w:rPr>
      </w:pPr>
      <w:r>
        <w:rPr>
          <w:rFonts w:eastAsiaTheme="minorEastAsia"/>
          <w:color w:val="000000" w:themeColor="text1"/>
          <w:sz w:val="24"/>
          <w:szCs w:val="24"/>
        </w:rPr>
        <w:t>（</w:t>
      </w:r>
      <w:r>
        <w:rPr>
          <w:rFonts w:eastAsiaTheme="minorEastAsia"/>
          <w:color w:val="000000" w:themeColor="text1"/>
          <w:sz w:val="24"/>
          <w:szCs w:val="24"/>
        </w:rPr>
        <w:t>3</w:t>
      </w:r>
      <w:r>
        <w:rPr>
          <w:rFonts w:eastAsiaTheme="minorEastAsia"/>
          <w:color w:val="000000" w:themeColor="text1"/>
          <w:sz w:val="24"/>
          <w:szCs w:val="24"/>
        </w:rPr>
        <w:t>）双重收费风险。本基金的投资范围包含全市场基金，投资于非本基金管理人管理的其他基金时，存在本基金与被投资基金各类基金费用的双重收取情况，相较于其他基金产品存在额外增加投资者投资成本的风险。</w:t>
      </w:r>
    </w:p>
    <w:p w:rsidR="00565B7C" w:rsidRDefault="004578F5">
      <w:pPr>
        <w:spacing w:line="360" w:lineRule="auto"/>
        <w:ind w:firstLineChars="200" w:firstLine="480"/>
        <w:rPr>
          <w:color w:val="000000"/>
          <w:sz w:val="24"/>
          <w:szCs w:val="24"/>
        </w:rPr>
      </w:pPr>
      <w:r>
        <w:rPr>
          <w:rFonts w:eastAsiaTheme="minorEastAsia"/>
          <w:color w:val="000000" w:themeColor="text1"/>
          <w:sz w:val="24"/>
          <w:szCs w:val="24"/>
        </w:rPr>
        <w:lastRenderedPageBreak/>
        <w:t>（</w:t>
      </w:r>
      <w:r>
        <w:rPr>
          <w:rFonts w:eastAsiaTheme="minorEastAsia"/>
          <w:color w:val="000000" w:themeColor="text1"/>
          <w:sz w:val="24"/>
          <w:szCs w:val="24"/>
        </w:rPr>
        <w:t>4</w:t>
      </w:r>
      <w:r>
        <w:rPr>
          <w:rFonts w:eastAsiaTheme="minorEastAsia"/>
          <w:color w:val="000000" w:themeColor="text1"/>
          <w:sz w:val="24"/>
          <w:szCs w:val="24"/>
        </w:rPr>
        <w:t>）投资</w:t>
      </w:r>
      <w:r>
        <w:rPr>
          <w:rFonts w:eastAsiaTheme="minorEastAsia"/>
          <w:color w:val="000000" w:themeColor="text1"/>
          <w:sz w:val="24"/>
          <w:szCs w:val="24"/>
        </w:rPr>
        <w:t>QDII</w:t>
      </w:r>
      <w:r>
        <w:rPr>
          <w:rFonts w:eastAsiaTheme="minorEastAsia"/>
          <w:color w:val="000000" w:themeColor="text1"/>
          <w:sz w:val="24"/>
          <w:szCs w:val="24"/>
        </w:rPr>
        <w:t>基金的特有风险。本基金可投资于</w:t>
      </w:r>
      <w:r>
        <w:rPr>
          <w:rFonts w:eastAsiaTheme="minorEastAsia"/>
          <w:color w:val="000000" w:themeColor="text1"/>
          <w:sz w:val="24"/>
          <w:szCs w:val="24"/>
        </w:rPr>
        <w:t>QDII</w:t>
      </w:r>
      <w:r>
        <w:rPr>
          <w:rFonts w:eastAsiaTheme="minorEastAsia"/>
          <w:color w:val="000000" w:themeColor="text1"/>
          <w:sz w:val="24"/>
          <w:szCs w:val="24"/>
        </w:rPr>
        <w:t>基金，主要存在如下风险：</w:t>
      </w:r>
      <w:r>
        <w:rPr>
          <w:rFonts w:eastAsiaTheme="minorEastAsia"/>
          <w:color w:val="000000" w:themeColor="text1"/>
          <w:sz w:val="24"/>
          <w:szCs w:val="24"/>
        </w:rPr>
        <w:t>①QDII</w:t>
      </w:r>
      <w:r>
        <w:rPr>
          <w:rFonts w:eastAsiaTheme="minorEastAsia"/>
          <w:color w:val="000000" w:themeColor="text1"/>
          <w:sz w:val="24"/>
          <w:szCs w:val="24"/>
        </w:rPr>
        <w:t>基金主要投资境外市场，因此本基金投资</w:t>
      </w:r>
      <w:r>
        <w:rPr>
          <w:rFonts w:eastAsiaTheme="minorEastAsia"/>
          <w:color w:val="000000" w:themeColor="text1"/>
          <w:sz w:val="24"/>
          <w:szCs w:val="24"/>
        </w:rPr>
        <w:t>Q</w:t>
      </w:r>
      <w:r>
        <w:rPr>
          <w:rFonts w:eastAsiaTheme="minorEastAsia"/>
          <w:color w:val="000000" w:themeColor="text1"/>
          <w:sz w:val="24"/>
          <w:szCs w:val="24"/>
        </w:rPr>
        <w:t>DII</w:t>
      </w:r>
      <w:r>
        <w:rPr>
          <w:rFonts w:eastAsiaTheme="minorEastAsia"/>
          <w:color w:val="000000" w:themeColor="text1"/>
          <w:sz w:val="24"/>
          <w:szCs w:val="24"/>
        </w:rPr>
        <w:t>基金时，将间接承担境外市场波动以及汇率波动的风险；</w:t>
      </w:r>
      <w:r>
        <w:rPr>
          <w:rFonts w:eastAsiaTheme="minorEastAsia"/>
          <w:color w:val="000000" w:themeColor="text1"/>
          <w:sz w:val="24"/>
          <w:szCs w:val="24"/>
        </w:rPr>
        <w:t>②</w:t>
      </w:r>
      <w:r>
        <w:rPr>
          <w:rFonts w:eastAsiaTheme="minorEastAsia"/>
          <w:color w:val="000000" w:themeColor="text1"/>
          <w:sz w:val="24"/>
          <w:szCs w:val="24"/>
        </w:rPr>
        <w:t>按照目前的业务规则，</w:t>
      </w:r>
      <w:r>
        <w:rPr>
          <w:rFonts w:eastAsiaTheme="minorEastAsia"/>
          <w:color w:val="000000" w:themeColor="text1"/>
          <w:sz w:val="24"/>
          <w:szCs w:val="24"/>
        </w:rPr>
        <w:t>QDII</w:t>
      </w:r>
      <w:r>
        <w:rPr>
          <w:rFonts w:eastAsiaTheme="minorEastAsia"/>
          <w:color w:val="000000" w:themeColor="text1"/>
          <w:sz w:val="24"/>
          <w:szCs w:val="24"/>
        </w:rPr>
        <w:t>基金的赎回款项将在</w:t>
      </w:r>
      <w:r>
        <w:rPr>
          <w:rFonts w:eastAsiaTheme="minorEastAsia"/>
          <w:color w:val="000000" w:themeColor="text1"/>
          <w:sz w:val="24"/>
          <w:szCs w:val="24"/>
        </w:rPr>
        <w:t>T+10</w:t>
      </w:r>
      <w:r>
        <w:rPr>
          <w:rFonts w:eastAsiaTheme="minorEastAsia"/>
          <w:color w:val="000000" w:themeColor="text1"/>
          <w:sz w:val="24"/>
          <w:szCs w:val="24"/>
        </w:rPr>
        <w:t>内进行支付（</w:t>
      </w:r>
      <w:r>
        <w:rPr>
          <w:rFonts w:eastAsiaTheme="minorEastAsia"/>
          <w:color w:val="000000" w:themeColor="text1"/>
          <w:sz w:val="24"/>
          <w:szCs w:val="24"/>
        </w:rPr>
        <w:t>T</w:t>
      </w:r>
      <w:r>
        <w:rPr>
          <w:rFonts w:eastAsiaTheme="minorEastAsia"/>
          <w:color w:val="000000" w:themeColor="text1"/>
          <w:sz w:val="24"/>
          <w:szCs w:val="24"/>
        </w:rPr>
        <w:t>为赎回申请日），晚于普通境内基金的支付时间。因此，可能存在</w:t>
      </w:r>
      <w:r>
        <w:rPr>
          <w:rFonts w:eastAsiaTheme="minorEastAsia"/>
          <w:color w:val="000000" w:themeColor="text1"/>
          <w:sz w:val="24"/>
          <w:szCs w:val="24"/>
        </w:rPr>
        <w:t>QDII</w:t>
      </w:r>
      <w:r>
        <w:rPr>
          <w:rFonts w:eastAsiaTheme="minorEastAsia"/>
          <w:color w:val="000000" w:themeColor="text1"/>
          <w:sz w:val="24"/>
          <w:szCs w:val="24"/>
        </w:rPr>
        <w:t>基金赎回款到帐时间较晚，本基金无法及时支付投资者赎回款项的风险；</w:t>
      </w:r>
      <w:r>
        <w:rPr>
          <w:rFonts w:eastAsiaTheme="minorEastAsia"/>
          <w:color w:val="000000" w:themeColor="text1"/>
          <w:sz w:val="24"/>
          <w:szCs w:val="24"/>
        </w:rPr>
        <w:t>③</w:t>
      </w:r>
      <w:r>
        <w:rPr>
          <w:rFonts w:eastAsiaTheme="minorEastAsia"/>
          <w:color w:val="000000" w:themeColor="text1"/>
          <w:sz w:val="24"/>
          <w:szCs w:val="24"/>
        </w:rPr>
        <w:t>由于投资</w:t>
      </w:r>
      <w:r>
        <w:rPr>
          <w:rFonts w:eastAsiaTheme="minorEastAsia"/>
          <w:color w:val="000000" w:themeColor="text1"/>
          <w:sz w:val="24"/>
          <w:szCs w:val="24"/>
        </w:rPr>
        <w:t>QDII</w:t>
      </w:r>
      <w:r>
        <w:rPr>
          <w:rFonts w:eastAsiaTheme="minorEastAsia"/>
          <w:color w:val="000000" w:themeColor="text1"/>
          <w:sz w:val="24"/>
          <w:szCs w:val="24"/>
        </w:rPr>
        <w:t>基金，正常情况下，本基金将于</w:t>
      </w:r>
      <w:r>
        <w:rPr>
          <w:rFonts w:eastAsiaTheme="minorEastAsia"/>
          <w:color w:val="000000" w:themeColor="text1"/>
          <w:sz w:val="24"/>
          <w:szCs w:val="24"/>
        </w:rPr>
        <w:t>T+2</w:t>
      </w:r>
      <w:r>
        <w:rPr>
          <w:rFonts w:eastAsiaTheme="minorEastAsia"/>
          <w:color w:val="000000" w:themeColor="text1"/>
          <w:sz w:val="24"/>
          <w:szCs w:val="24"/>
        </w:rPr>
        <w:t>日（</w:t>
      </w:r>
      <w:r>
        <w:rPr>
          <w:rFonts w:eastAsiaTheme="minorEastAsia"/>
          <w:color w:val="000000" w:themeColor="text1"/>
          <w:sz w:val="24"/>
          <w:szCs w:val="24"/>
        </w:rPr>
        <w:t>T</w:t>
      </w:r>
      <w:r>
        <w:rPr>
          <w:rFonts w:eastAsiaTheme="minorEastAsia"/>
          <w:color w:val="000000" w:themeColor="text1"/>
          <w:sz w:val="24"/>
          <w:szCs w:val="24"/>
        </w:rPr>
        <w:t>日为开放日）对</w:t>
      </w:r>
      <w:r>
        <w:rPr>
          <w:rFonts w:eastAsiaTheme="minorEastAsia"/>
          <w:color w:val="000000" w:themeColor="text1"/>
          <w:sz w:val="24"/>
          <w:szCs w:val="24"/>
        </w:rPr>
        <w:t>T</w:t>
      </w:r>
      <w:r>
        <w:rPr>
          <w:rFonts w:eastAsiaTheme="minorEastAsia"/>
          <w:color w:val="000000" w:themeColor="text1"/>
          <w:sz w:val="24"/>
          <w:szCs w:val="24"/>
        </w:rPr>
        <w:t>日的基金资产净值进行估值，</w:t>
      </w:r>
      <w:r>
        <w:rPr>
          <w:rFonts w:eastAsiaTheme="minorEastAsia"/>
          <w:color w:val="000000" w:themeColor="text1"/>
          <w:sz w:val="24"/>
          <w:szCs w:val="24"/>
        </w:rPr>
        <w:t>T+3</w:t>
      </w:r>
      <w:r>
        <w:rPr>
          <w:rFonts w:eastAsiaTheme="minorEastAsia"/>
          <w:color w:val="000000" w:themeColor="text1"/>
          <w:sz w:val="24"/>
          <w:szCs w:val="24"/>
        </w:rPr>
        <w:t>日对投资人申购、赎回申请的有效性进行确认，投资人可于</w:t>
      </w:r>
      <w:r>
        <w:rPr>
          <w:rFonts w:eastAsiaTheme="minorEastAsia"/>
          <w:color w:val="000000" w:themeColor="text1"/>
          <w:sz w:val="24"/>
          <w:szCs w:val="24"/>
        </w:rPr>
        <w:t>T+4</w:t>
      </w:r>
      <w:r>
        <w:rPr>
          <w:rFonts w:eastAsiaTheme="minorEastAsia"/>
          <w:color w:val="000000" w:themeColor="text1"/>
          <w:sz w:val="24"/>
          <w:szCs w:val="24"/>
        </w:rPr>
        <w:t>日到销售网点柜台或以销售机构规定的其他方式查询申请的确认情况，这将导致投资者承担更长时间基金</w:t>
      </w:r>
      <w:r>
        <w:rPr>
          <w:rFonts w:eastAsiaTheme="minorEastAsia"/>
          <w:color w:val="000000" w:themeColor="text1"/>
          <w:sz w:val="24"/>
          <w:szCs w:val="24"/>
        </w:rPr>
        <w:t>净值波动的风险。</w:t>
      </w:r>
    </w:p>
    <w:p w:rsidR="00565B7C" w:rsidRDefault="004578F5">
      <w:pPr>
        <w:spacing w:line="360" w:lineRule="auto"/>
        <w:ind w:firstLineChars="200" w:firstLine="480"/>
        <w:rPr>
          <w:color w:val="000000"/>
          <w:sz w:val="24"/>
          <w:szCs w:val="24"/>
        </w:rPr>
      </w:pPr>
      <w:r>
        <w:rPr>
          <w:rFonts w:eastAsiaTheme="minorEastAsia"/>
          <w:color w:val="000000" w:themeColor="text1"/>
          <w:sz w:val="24"/>
          <w:szCs w:val="24"/>
        </w:rPr>
        <w:t>（</w:t>
      </w:r>
      <w:r>
        <w:rPr>
          <w:rFonts w:eastAsiaTheme="minorEastAsia"/>
          <w:color w:val="000000" w:themeColor="text1"/>
          <w:sz w:val="24"/>
          <w:szCs w:val="24"/>
        </w:rPr>
        <w:t>5</w:t>
      </w:r>
      <w:r>
        <w:rPr>
          <w:rFonts w:eastAsiaTheme="minorEastAsia"/>
          <w:color w:val="000000" w:themeColor="text1"/>
          <w:sz w:val="24"/>
          <w:szCs w:val="24"/>
        </w:rPr>
        <w:t>）可上市交易基金的二级市场投资风险本基金可通过二级市场进行</w:t>
      </w:r>
      <w:r>
        <w:rPr>
          <w:rFonts w:eastAsiaTheme="minorEastAsia"/>
          <w:color w:val="000000" w:themeColor="text1"/>
          <w:sz w:val="24"/>
          <w:szCs w:val="24"/>
        </w:rPr>
        <w:t>ETF</w:t>
      </w:r>
      <w:r>
        <w:rPr>
          <w:rFonts w:eastAsiaTheme="minorEastAsia"/>
          <w:color w:val="000000" w:themeColor="text1"/>
          <w:sz w:val="24"/>
          <w:szCs w:val="24"/>
        </w:rPr>
        <w:t>、</w:t>
      </w:r>
      <w:r>
        <w:rPr>
          <w:rFonts w:eastAsiaTheme="minorEastAsia"/>
          <w:color w:val="000000" w:themeColor="text1"/>
          <w:sz w:val="24"/>
          <w:szCs w:val="24"/>
        </w:rPr>
        <w:t>LOF</w:t>
      </w:r>
      <w:r>
        <w:rPr>
          <w:rFonts w:eastAsiaTheme="minorEastAsia"/>
          <w:color w:val="000000" w:themeColor="text1"/>
          <w:sz w:val="24"/>
          <w:szCs w:val="24"/>
        </w:rPr>
        <w:t>、封闭式基金的买卖交易，由此可能面临交易量不足所引起的流动性风险、交易价格与基金份额净值之间的折溢价风险以及被投资基金暂停交易或退市的风险等。</w:t>
      </w:r>
    </w:p>
    <w:p w:rsidR="00565B7C" w:rsidRDefault="004578F5">
      <w:pPr>
        <w:spacing w:line="360" w:lineRule="auto"/>
        <w:ind w:firstLineChars="200" w:firstLine="480"/>
        <w:rPr>
          <w:color w:val="000000"/>
          <w:sz w:val="24"/>
          <w:szCs w:val="24"/>
        </w:rPr>
      </w:pPr>
      <w:r>
        <w:rPr>
          <w:rFonts w:eastAsiaTheme="minorEastAsia"/>
          <w:color w:val="000000" w:themeColor="text1"/>
          <w:sz w:val="24"/>
          <w:szCs w:val="24"/>
        </w:rPr>
        <w:t>（</w:t>
      </w:r>
      <w:r>
        <w:rPr>
          <w:rFonts w:eastAsiaTheme="minorEastAsia"/>
          <w:color w:val="000000" w:themeColor="text1"/>
          <w:sz w:val="24"/>
          <w:szCs w:val="24"/>
        </w:rPr>
        <w:t>6</w:t>
      </w:r>
      <w:r>
        <w:rPr>
          <w:rFonts w:eastAsiaTheme="minorEastAsia"/>
          <w:color w:val="000000" w:themeColor="text1"/>
          <w:sz w:val="24"/>
          <w:szCs w:val="24"/>
        </w:rPr>
        <w:t>）被投资基金的运作风险具体包括基金投资风格漂移风险、基金经理变更风险、基金实际运作风险以及基金产品设计开发创新风险等。此外，封闭式基金到期转开放、基金清算、基金合并等事件也会带来风险。虽然本基金管理人将会从基金风格、投资能力、管理团队、实际运作情况等多方面精选基金投资品</w:t>
      </w:r>
      <w:r>
        <w:rPr>
          <w:rFonts w:eastAsiaTheme="minorEastAsia"/>
          <w:color w:val="000000" w:themeColor="text1"/>
          <w:sz w:val="24"/>
          <w:szCs w:val="24"/>
        </w:rPr>
        <w:t>种，但无法完全规避基金运作风险。</w:t>
      </w:r>
    </w:p>
    <w:p w:rsidR="00565B7C" w:rsidRDefault="004578F5">
      <w:pPr>
        <w:spacing w:line="360" w:lineRule="auto"/>
        <w:ind w:firstLineChars="200" w:firstLine="480"/>
        <w:rPr>
          <w:color w:val="000000"/>
          <w:sz w:val="24"/>
          <w:szCs w:val="24"/>
        </w:rPr>
      </w:pPr>
      <w:r>
        <w:rPr>
          <w:rFonts w:eastAsiaTheme="minorEastAsia"/>
          <w:color w:val="000000" w:themeColor="text1"/>
          <w:sz w:val="24"/>
          <w:szCs w:val="24"/>
        </w:rPr>
        <w:t>（</w:t>
      </w:r>
      <w:r>
        <w:rPr>
          <w:rFonts w:eastAsiaTheme="minorEastAsia"/>
          <w:color w:val="000000" w:themeColor="text1"/>
          <w:sz w:val="24"/>
          <w:szCs w:val="24"/>
        </w:rPr>
        <w:t>7</w:t>
      </w:r>
      <w:r>
        <w:rPr>
          <w:rFonts w:eastAsiaTheme="minorEastAsia"/>
          <w:color w:val="000000" w:themeColor="text1"/>
          <w:sz w:val="24"/>
          <w:szCs w:val="24"/>
        </w:rPr>
        <w:t>）被投资基金的基金管理人经营风险基金的投资业绩会受到基金管理人的经营状况的影响。如基金管理人面临的管理能力、财务状况、市场前景、行业竞争、人员素质等因素的变化均会导致基金投资业绩的波动。虽然本基金可以通过投资多样化分散这种非系统风险，但不能完全规避。特别地，在本基金投资策略的实施过程中，可将基金资产部分或全部投资于本基金管理人管理的其他基金，在这种情况下，本基金将无法通过投资多样化来分散这种非系统性风险。</w:t>
      </w:r>
    </w:p>
    <w:p w:rsidR="00750D48" w:rsidRPr="004B7A92" w:rsidRDefault="001F5F5D" w:rsidP="001F5F5D">
      <w:pPr>
        <w:spacing w:line="360" w:lineRule="auto"/>
        <w:ind w:firstLineChars="200" w:firstLine="480"/>
        <w:rPr>
          <w:color w:val="000000"/>
          <w:sz w:val="24"/>
          <w:szCs w:val="24"/>
        </w:rPr>
      </w:pPr>
      <w:r w:rsidRPr="00FC0759">
        <w:rPr>
          <w:rFonts w:eastAsiaTheme="minorEastAsia"/>
          <w:color w:val="000000" w:themeColor="text1"/>
          <w:sz w:val="24"/>
          <w:szCs w:val="24"/>
        </w:rPr>
        <w:t>（</w:t>
      </w:r>
      <w:r w:rsidRPr="00FC0759">
        <w:rPr>
          <w:rFonts w:eastAsiaTheme="minorEastAsia"/>
          <w:color w:val="000000" w:themeColor="text1"/>
          <w:sz w:val="24"/>
          <w:szCs w:val="24"/>
        </w:rPr>
        <w:t>8</w:t>
      </w:r>
      <w:r w:rsidRPr="00FC0759">
        <w:rPr>
          <w:rFonts w:eastAsiaTheme="minorEastAsia"/>
          <w:color w:val="000000" w:themeColor="text1"/>
          <w:sz w:val="24"/>
          <w:szCs w:val="24"/>
        </w:rPr>
        <w:t>）被投资基金的相关政策风险本基金主要投资于各类其他基金，如遇国家金融政策发生重大调整，导致被投资基金的基金管理人、基金投资操作、基金运作方式发生较大变化，可能影响本基金的收益水平。</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11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11.1 </w:t>
      </w:r>
      <w:r w:rsidRPr="00264E55">
        <w:rPr>
          <w:rFonts w:ascii="宋体" w:hAnsi="宋体" w:hint="eastAsia"/>
          <w:b/>
          <w:bCs/>
          <w:color w:val="000000"/>
          <w:kern w:val="0"/>
          <w:sz w:val="24"/>
          <w:szCs w:val="24"/>
        </w:rPr>
        <w:t>备查文件目录</w:t>
      </w:r>
    </w:p>
    <w:p w:rsidR="00565B7C" w:rsidRDefault="004578F5">
      <w:pPr>
        <w:spacing w:line="360" w:lineRule="auto"/>
        <w:ind w:firstLineChars="200" w:firstLine="480"/>
        <w:rPr>
          <w:color w:val="000000"/>
          <w:sz w:val="24"/>
          <w:szCs w:val="24"/>
        </w:rPr>
      </w:pPr>
      <w:r>
        <w:rPr>
          <w:color w:val="000000"/>
          <w:sz w:val="24"/>
          <w:szCs w:val="24"/>
        </w:rPr>
        <w:t>1.</w:t>
      </w:r>
      <w:r>
        <w:rPr>
          <w:color w:val="000000"/>
          <w:sz w:val="24"/>
          <w:szCs w:val="24"/>
        </w:rPr>
        <w:t>中国证监会关于准予易方达汇诚养老目标日期</w:t>
      </w:r>
      <w:r>
        <w:rPr>
          <w:color w:val="000000"/>
          <w:sz w:val="24"/>
          <w:szCs w:val="24"/>
        </w:rPr>
        <w:t>2038</w:t>
      </w:r>
      <w:r>
        <w:rPr>
          <w:color w:val="000000"/>
          <w:sz w:val="24"/>
          <w:szCs w:val="24"/>
        </w:rPr>
        <w:t>三年持有期混合型基金中基金（</w:t>
      </w:r>
      <w:r>
        <w:rPr>
          <w:color w:val="000000"/>
          <w:sz w:val="24"/>
          <w:szCs w:val="24"/>
        </w:rPr>
        <w:t>FOF</w:t>
      </w:r>
      <w:r>
        <w:rPr>
          <w:color w:val="000000"/>
          <w:sz w:val="24"/>
          <w:szCs w:val="24"/>
        </w:rPr>
        <w:t>）变更注册的批复；</w:t>
      </w:r>
    </w:p>
    <w:p w:rsidR="00565B7C" w:rsidRDefault="004578F5">
      <w:pPr>
        <w:spacing w:line="360" w:lineRule="auto"/>
        <w:ind w:firstLineChars="200" w:firstLine="480"/>
        <w:rPr>
          <w:color w:val="000000"/>
          <w:sz w:val="24"/>
          <w:szCs w:val="24"/>
        </w:rPr>
      </w:pPr>
      <w:r>
        <w:rPr>
          <w:color w:val="000000"/>
          <w:sz w:val="24"/>
          <w:szCs w:val="24"/>
        </w:rPr>
        <w:t>2.</w:t>
      </w:r>
      <w:r>
        <w:rPr>
          <w:color w:val="000000"/>
          <w:sz w:val="24"/>
          <w:szCs w:val="24"/>
        </w:rPr>
        <w:t>《易方达汇诚养老目标日期</w:t>
      </w:r>
      <w:r>
        <w:rPr>
          <w:color w:val="000000"/>
          <w:sz w:val="24"/>
          <w:szCs w:val="24"/>
        </w:rPr>
        <w:t>2038</w:t>
      </w:r>
      <w:r>
        <w:rPr>
          <w:color w:val="000000"/>
          <w:sz w:val="24"/>
          <w:szCs w:val="24"/>
        </w:rPr>
        <w:t>三年持有期混合型发起式基金中基金（</w:t>
      </w:r>
      <w:r>
        <w:rPr>
          <w:color w:val="000000"/>
          <w:sz w:val="24"/>
          <w:szCs w:val="24"/>
        </w:rPr>
        <w:t>FOF</w:t>
      </w:r>
      <w:r>
        <w:rPr>
          <w:color w:val="000000"/>
          <w:sz w:val="24"/>
          <w:szCs w:val="24"/>
        </w:rPr>
        <w:t>）基金合同》；</w:t>
      </w:r>
    </w:p>
    <w:p w:rsidR="00565B7C" w:rsidRDefault="004578F5">
      <w:pPr>
        <w:spacing w:line="360" w:lineRule="auto"/>
        <w:ind w:firstLineChars="200" w:firstLine="480"/>
        <w:rPr>
          <w:color w:val="000000"/>
          <w:sz w:val="24"/>
          <w:szCs w:val="24"/>
        </w:rPr>
      </w:pPr>
      <w:r>
        <w:rPr>
          <w:color w:val="000000"/>
          <w:sz w:val="24"/>
          <w:szCs w:val="24"/>
        </w:rPr>
        <w:t>3.</w:t>
      </w:r>
      <w:r>
        <w:rPr>
          <w:color w:val="000000"/>
          <w:sz w:val="24"/>
          <w:szCs w:val="24"/>
        </w:rPr>
        <w:t>《易方达汇诚养老目标日期</w:t>
      </w:r>
      <w:r>
        <w:rPr>
          <w:color w:val="000000"/>
          <w:sz w:val="24"/>
          <w:szCs w:val="24"/>
        </w:rPr>
        <w:t>2038</w:t>
      </w:r>
      <w:r>
        <w:rPr>
          <w:color w:val="000000"/>
          <w:sz w:val="24"/>
          <w:szCs w:val="24"/>
        </w:rPr>
        <w:t>三年持有期混合型发起式基金中基金（</w:t>
      </w:r>
      <w:r>
        <w:rPr>
          <w:color w:val="000000"/>
          <w:sz w:val="24"/>
          <w:szCs w:val="24"/>
        </w:rPr>
        <w:t>FOF</w:t>
      </w:r>
      <w:r>
        <w:rPr>
          <w:color w:val="000000"/>
          <w:sz w:val="24"/>
          <w:szCs w:val="24"/>
        </w:rPr>
        <w:t>）托管协议》；</w:t>
      </w:r>
    </w:p>
    <w:p w:rsidR="00565B7C" w:rsidRDefault="004578F5">
      <w:pPr>
        <w:spacing w:line="360" w:lineRule="auto"/>
        <w:ind w:firstLineChars="200" w:firstLine="480"/>
        <w:rPr>
          <w:color w:val="000000"/>
          <w:sz w:val="24"/>
          <w:szCs w:val="24"/>
        </w:rPr>
      </w:pPr>
      <w:r>
        <w:rPr>
          <w:color w:val="000000"/>
          <w:sz w:val="24"/>
          <w:szCs w:val="24"/>
        </w:rPr>
        <w:t>4.</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5.</w:t>
      </w:r>
      <w:r w:rsidRPr="006C56AA">
        <w:rPr>
          <w:color w:val="000000"/>
          <w:sz w:val="24"/>
          <w:szCs w:val="24"/>
        </w:rPr>
        <w:t>基金管理人业务资格批件、营业执照。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11.2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11.3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2E2237" w:rsidRDefault="00750D48" w:rsidP="002E223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2E223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19D" w:rsidRDefault="00AB519D" w:rsidP="00876D65">
      <w:r>
        <w:separator/>
      </w:r>
    </w:p>
  </w:endnote>
  <w:endnote w:type="continuationSeparator" w:id="0">
    <w:p w:rsidR="00AB519D" w:rsidRDefault="00AB519D"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4578F5">
      <w:rPr>
        <w:rStyle w:val="a7"/>
        <w:noProof/>
      </w:rPr>
      <w:t>1</w:t>
    </w:r>
    <w:r>
      <w:rPr>
        <w:rStyle w:val="a7"/>
      </w:rPr>
      <w:fldChar w:fldCharType="end"/>
    </w:r>
    <w:r>
      <w:rPr>
        <w:rStyle w:val="a7"/>
        <w:rFonts w:hint="eastAsia"/>
      </w:rPr>
      <w:t>页共</w:t>
    </w:r>
    <w:r w:rsidR="004578F5">
      <w:fldChar w:fldCharType="begin"/>
    </w:r>
    <w:r w:rsidR="004578F5">
      <w:instrText xml:space="preserve"> NUMPAGES  \* Arabic  \* MERGEFORMAT </w:instrText>
    </w:r>
    <w:r w:rsidR="004578F5">
      <w:fldChar w:fldCharType="separate"/>
    </w:r>
    <w:r w:rsidR="004578F5" w:rsidRPr="004578F5">
      <w:rPr>
        <w:rStyle w:val="a7"/>
        <w:noProof/>
      </w:rPr>
      <w:t>3</w:t>
    </w:r>
    <w:r w:rsidR="004578F5">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4578F5">
      <w:rPr>
        <w:rStyle w:val="a7"/>
        <w:noProof/>
      </w:rPr>
      <w:t>16</w:t>
    </w:r>
    <w:r>
      <w:rPr>
        <w:rStyle w:val="a7"/>
      </w:rPr>
      <w:fldChar w:fldCharType="end"/>
    </w:r>
    <w:r>
      <w:rPr>
        <w:rStyle w:val="a7"/>
        <w:rFonts w:hint="eastAsia"/>
      </w:rPr>
      <w:t>页共</w:t>
    </w:r>
    <w:r w:rsidR="004578F5">
      <w:fldChar w:fldCharType="begin"/>
    </w:r>
    <w:r w:rsidR="004578F5">
      <w:instrText xml:space="preserve"> NUMPAGES  \* Arabic  \* MERGEFORMAT </w:instrText>
    </w:r>
    <w:r w:rsidR="004578F5">
      <w:fldChar w:fldCharType="separate"/>
    </w:r>
    <w:r w:rsidR="004578F5" w:rsidRPr="004578F5">
      <w:rPr>
        <w:rStyle w:val="a7"/>
        <w:noProof/>
      </w:rPr>
      <w:t>16</w:t>
    </w:r>
    <w:r w:rsidR="004578F5">
      <w:rPr>
        <w:rStyle w:val="a7"/>
        <w:noProof/>
      </w:rPr>
      <w:fldChar w:fldCharType="end"/>
    </w:r>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19D" w:rsidRDefault="00AB519D" w:rsidP="00876D65">
      <w:r>
        <w:separator/>
      </w:r>
    </w:p>
  </w:footnote>
  <w:footnote w:type="continuationSeparator" w:id="0">
    <w:p w:rsidR="00AB519D" w:rsidRDefault="00AB519D"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易方达汇诚养老目标日期</w:t>
    </w:r>
    <w:r w:rsidRPr="00093704">
      <w:t>2038</w:t>
    </w:r>
    <w:r w:rsidRPr="00093704">
      <w:t>三年持有期混合型发起式基金中基金（</w:t>
    </w:r>
    <w:r w:rsidRPr="00093704">
      <w:t>FOF</w:t>
    </w:r>
    <w:r w:rsidRPr="00093704">
      <w:t>）</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31EBB"/>
    <w:rsid w:val="00033B8D"/>
    <w:rsid w:val="00033E3E"/>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0A"/>
    <w:rsid w:val="00160EDC"/>
    <w:rsid w:val="0016180A"/>
    <w:rsid w:val="001675CD"/>
    <w:rsid w:val="00170435"/>
    <w:rsid w:val="00171EF0"/>
    <w:rsid w:val="001761D2"/>
    <w:rsid w:val="001830D7"/>
    <w:rsid w:val="00185A34"/>
    <w:rsid w:val="001878B0"/>
    <w:rsid w:val="0019049E"/>
    <w:rsid w:val="00191BDE"/>
    <w:rsid w:val="00196E6C"/>
    <w:rsid w:val="001A73E8"/>
    <w:rsid w:val="001B0A62"/>
    <w:rsid w:val="001B2F35"/>
    <w:rsid w:val="001B3C1C"/>
    <w:rsid w:val="001B6E7E"/>
    <w:rsid w:val="001C0993"/>
    <w:rsid w:val="001C5F9B"/>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80C9F"/>
    <w:rsid w:val="00286BEF"/>
    <w:rsid w:val="00286FA2"/>
    <w:rsid w:val="002918E3"/>
    <w:rsid w:val="002973A9"/>
    <w:rsid w:val="002B1D1A"/>
    <w:rsid w:val="002C28F2"/>
    <w:rsid w:val="002C5960"/>
    <w:rsid w:val="002D6FB6"/>
    <w:rsid w:val="002E2237"/>
    <w:rsid w:val="002E2255"/>
    <w:rsid w:val="002E3B09"/>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578F5"/>
    <w:rsid w:val="00457DBA"/>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65B7C"/>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420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5FB3"/>
    <w:rsid w:val="006A67F8"/>
    <w:rsid w:val="006A7AF1"/>
    <w:rsid w:val="006B11BB"/>
    <w:rsid w:val="006B4C11"/>
    <w:rsid w:val="006C12B8"/>
    <w:rsid w:val="006C37FC"/>
    <w:rsid w:val="006C56AA"/>
    <w:rsid w:val="006C7EA3"/>
    <w:rsid w:val="006D07F3"/>
    <w:rsid w:val="006D39E9"/>
    <w:rsid w:val="006D3BE3"/>
    <w:rsid w:val="006D7004"/>
    <w:rsid w:val="006D75A5"/>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431FA"/>
    <w:rsid w:val="00945AF6"/>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42"/>
    <w:rsid w:val="00A727C1"/>
    <w:rsid w:val="00A76625"/>
    <w:rsid w:val="00A82CBA"/>
    <w:rsid w:val="00A83500"/>
    <w:rsid w:val="00A90049"/>
    <w:rsid w:val="00A917BF"/>
    <w:rsid w:val="00A96A94"/>
    <w:rsid w:val="00AA257D"/>
    <w:rsid w:val="00AA3A38"/>
    <w:rsid w:val="00AA4F94"/>
    <w:rsid w:val="00AB047E"/>
    <w:rsid w:val="00AB519D"/>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BF4727"/>
    <w:rsid w:val="00C11A5E"/>
    <w:rsid w:val="00C21520"/>
    <w:rsid w:val="00C222B2"/>
    <w:rsid w:val="00C225FB"/>
    <w:rsid w:val="00C26ADA"/>
    <w:rsid w:val="00C370E0"/>
    <w:rsid w:val="00C41870"/>
    <w:rsid w:val="00C46B88"/>
    <w:rsid w:val="00C5218C"/>
    <w:rsid w:val="00C52191"/>
    <w:rsid w:val="00C5642F"/>
    <w:rsid w:val="00C57A3E"/>
    <w:rsid w:val="00C63554"/>
    <w:rsid w:val="00C71497"/>
    <w:rsid w:val="00C72F5B"/>
    <w:rsid w:val="00C73BCD"/>
    <w:rsid w:val="00C77AEF"/>
    <w:rsid w:val="00C77E37"/>
    <w:rsid w:val="00C86EB7"/>
    <w:rsid w:val="00C87129"/>
    <w:rsid w:val="00C91E1B"/>
    <w:rsid w:val="00CA2BD3"/>
    <w:rsid w:val="00CA4677"/>
    <w:rsid w:val="00CA5FD5"/>
    <w:rsid w:val="00CA7703"/>
    <w:rsid w:val="00CB0F92"/>
    <w:rsid w:val="00CB1953"/>
    <w:rsid w:val="00CD4E6D"/>
    <w:rsid w:val="00CD5707"/>
    <w:rsid w:val="00CD7702"/>
    <w:rsid w:val="00CD7FC9"/>
    <w:rsid w:val="00CE075A"/>
    <w:rsid w:val="00CE29EA"/>
    <w:rsid w:val="00CF47EB"/>
    <w:rsid w:val="00CF6572"/>
    <w:rsid w:val="00CF7885"/>
    <w:rsid w:val="00D02347"/>
    <w:rsid w:val="00D04755"/>
    <w:rsid w:val="00D1193B"/>
    <w:rsid w:val="00D13737"/>
    <w:rsid w:val="00D15D27"/>
    <w:rsid w:val="00D1638E"/>
    <w:rsid w:val="00D21D10"/>
    <w:rsid w:val="00D21FFF"/>
    <w:rsid w:val="00D272A5"/>
    <w:rsid w:val="00D43AFB"/>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21AA62B-1CFA-4E0D-A964-234978972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 w:type="character" w:customStyle="1" w:styleId="2CharCharChar">
    <w:name w:val="标题 2 Char Char Char"/>
    <w:rsid w:val="006A5FB3"/>
    <w:rPr>
      <w:rFonts w:ascii="Arial" w:eastAsia="宋体" w:hAnsi="Arial"/>
      <w:b/>
      <w:kern w:val="2"/>
      <w:sz w:val="28"/>
      <w:szCs w:val="28"/>
      <w:lang w:val="en-US" w:eastAsia="zh-CN" w:bidi="ar-SA"/>
    </w:rPr>
  </w:style>
  <w:style w:type="paragraph" w:customStyle="1" w:styleId="11">
    <w:name w:val="正文_1"/>
    <w:qFormat/>
    <w:rsid w:val="006A5FB3"/>
    <w:pPr>
      <w:widowControl w:val="0"/>
      <w:jc w:val="both"/>
    </w:pPr>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953">
      <w:bodyDiv w:val="1"/>
      <w:marLeft w:val="0"/>
      <w:marRight w:val="0"/>
      <w:marTop w:val="0"/>
      <w:marBottom w:val="0"/>
      <w:divBdr>
        <w:top w:val="none" w:sz="0" w:space="0" w:color="auto"/>
        <w:left w:val="none" w:sz="0" w:space="0" w:color="auto"/>
        <w:bottom w:val="none" w:sz="0" w:space="0" w:color="auto"/>
        <w:right w:val="none" w:sz="0" w:space="0" w:color="auto"/>
      </w:divBdr>
    </w:div>
    <w:div w:id="1068840387">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2975C-2F88-4619-A924-911E57D5D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1766</TotalTime>
  <Pages>3</Pages>
  <Words>1424</Words>
  <Characters>8118</Characters>
  <Application>Microsoft Office Word</Application>
  <DocSecurity>0</DocSecurity>
  <Lines>67</Lines>
  <Paragraphs>19</Paragraphs>
  <ScaleCrop>false</ScaleCrop>
  <Company/>
  <LinksUpToDate>false</LinksUpToDate>
  <CharactersWithSpaces>9523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338</cp:revision>
  <cp:lastPrinted>2019-10-16T13:56:00Z</cp:lastPrinted>
  <dcterms:created xsi:type="dcterms:W3CDTF">2012-10-16T06:07:00Z</dcterms:created>
  <dcterms:modified xsi:type="dcterms:W3CDTF">2019-10-16T13:56:00Z</dcterms:modified>
</cp:coreProperties>
</file>