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易方达汇诚养老目标日期2033三年持有期混合型发起式基金中基金（FOF）</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6006B1" w:rsidRDefault="000329EB">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6006B1" w:rsidRDefault="000329EB">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6006B1" w:rsidRDefault="000329EB">
      <w:pPr>
        <w:spacing w:line="360" w:lineRule="auto"/>
        <w:ind w:firstLineChars="200" w:firstLine="480"/>
        <w:rPr>
          <w:color w:val="000000"/>
          <w:sz w:val="24"/>
          <w:szCs w:val="24"/>
        </w:rPr>
      </w:pPr>
      <w:r>
        <w:rPr>
          <w:color w:val="000000"/>
          <w:sz w:val="24"/>
          <w:szCs w:val="24"/>
        </w:rPr>
        <w:t>基</w:t>
      </w:r>
      <w:r>
        <w:rPr>
          <w:color w:val="000000"/>
          <w:sz w:val="24"/>
          <w:szCs w:val="24"/>
        </w:rPr>
        <w:t>金管理人承诺以诚实信用、勤勉尽责的原则管理和运用基金资产，但不保证基金一定盈利。</w:t>
      </w:r>
      <w:r>
        <w:rPr>
          <w:color w:val="000000"/>
          <w:sz w:val="24"/>
          <w:szCs w:val="24"/>
        </w:rPr>
        <w:t xml:space="preserve"> </w:t>
      </w:r>
    </w:p>
    <w:p w:rsidR="006006B1" w:rsidRDefault="000329EB">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6006B1" w:rsidRDefault="000329EB">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易方达汇诚养老</w:t>
            </w:r>
            <w:r w:rsidRPr="00232B03">
              <w:rPr>
                <w:color w:val="000000"/>
                <w:kern w:val="0"/>
                <w:sz w:val="24"/>
                <w:szCs w:val="24"/>
              </w:rPr>
              <w:t>2033</w:t>
            </w:r>
            <w:r w:rsidRPr="00232B03">
              <w:rPr>
                <w:color w:val="000000"/>
                <w:kern w:val="0"/>
                <w:sz w:val="24"/>
                <w:szCs w:val="24"/>
              </w:rPr>
              <w:t>三年持有混合发起式（</w:t>
            </w:r>
            <w:r w:rsidRPr="00232B03">
              <w:rPr>
                <w:color w:val="000000"/>
                <w:kern w:val="0"/>
                <w:sz w:val="24"/>
                <w:szCs w:val="24"/>
              </w:rPr>
              <w:t>FOF</w:t>
            </w:r>
            <w:r w:rsidRPr="00232B03">
              <w:rPr>
                <w:color w:val="000000"/>
                <w:kern w:val="0"/>
                <w:sz w:val="24"/>
                <w:szCs w:val="24"/>
              </w:rPr>
              <w:t>）</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006859</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006859</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2019</w:t>
            </w:r>
            <w:r w:rsidRPr="00232B03">
              <w:rPr>
                <w:color w:val="000000"/>
                <w:kern w:val="0"/>
                <w:sz w:val="24"/>
                <w:szCs w:val="24"/>
              </w:rPr>
              <w:t>年</w:t>
            </w:r>
            <w:r w:rsidRPr="00232B03">
              <w:rPr>
                <w:color w:val="000000"/>
                <w:kern w:val="0"/>
                <w:sz w:val="24"/>
                <w:szCs w:val="24"/>
              </w:rPr>
              <w:t>4</w:t>
            </w:r>
            <w:r w:rsidRPr="00232B03">
              <w:rPr>
                <w:color w:val="000000"/>
                <w:kern w:val="0"/>
                <w:sz w:val="24"/>
                <w:szCs w:val="24"/>
              </w:rPr>
              <w:t>月</w:t>
            </w:r>
            <w:r w:rsidRPr="00232B03">
              <w:rPr>
                <w:color w:val="000000"/>
                <w:kern w:val="0"/>
                <w:sz w:val="24"/>
                <w:szCs w:val="24"/>
              </w:rPr>
              <w:t>30</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10,360,434.29</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在投资管理过程中遵循各个阶段既定的投资比例，动态调整大类资产配置，控制基金下行风险，力争追求基金长期稳健增值。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本基金属于目标日期策略基金，基金管理人根据设计的下滑曲线确定权益类资产与非权益类资产的配置比例，随着所设定目标日期的临近，本基金从整体趋势上将逐步降低权益类资产的配置比例，增</w:t>
            </w:r>
            <w:r w:rsidRPr="00232B03">
              <w:rPr>
                <w:color w:val="000000"/>
                <w:kern w:val="0"/>
                <w:sz w:val="24"/>
                <w:szCs w:val="24"/>
              </w:rPr>
              <w:lastRenderedPageBreak/>
              <w:t>加非权益类资产的配置比例。本基金的主要投资策略包括资产配置策略、基金筛选策略、基金配置策略。资产配置策略在根据下滑曲线确定的投资比例范围之内通过战略资产配置与战术资产配置确定各个大类资产的配置比例。本基金根据下滑曲线在不同时期均设定了权益类资产与非权益类资产投资比例范围。本基金的战略资产配置策略即在满足各个时间段约定的权益类资产与非权益类资产投资比例限制的前提下，确定股票、债券、商品、货币等各类资产的资产配置比例。战术资产配置是根据经济状况与市场环境对资产配置进行动态调整，进一步优化配置、增强收益的方法。本基金使用的战术资产配置策略主要基于对宏观经济面、政策面、基本面、技术面、估值面的深入分析，形成战术配置观点。通过战略资产配置策略与战术资产配置策略，本基金将最终形成目标资产配置比例，并以此指导后续基金的配置。基金筛选策略通过全方位的定量和定性分析筛选出符合基金管理人要求的标的基金，本基金所投资的全部基金都应是通过基金筛选策略选择出的标的基金。基金配置策略是通过对短周期内的基金多因子分解，结合公开披露的信息估算拟投资基金的最新的资产配置比例和短期的风格定位，通过优化求解的方法，得到匹配目标资产配置比例的最优基金组合，在此基础之上，基金管理人可以结合其他定性因素对组合进行调整，形成最终的投资组合。</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基金合同生效日至</w:t>
            </w:r>
            <w:r w:rsidRPr="00232B03">
              <w:rPr>
                <w:color w:val="000000"/>
                <w:kern w:val="0"/>
                <w:sz w:val="24"/>
                <w:szCs w:val="24"/>
              </w:rPr>
              <w:t>2023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40%×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+55%×</w:t>
            </w:r>
            <w:r w:rsidRPr="00232B03">
              <w:rPr>
                <w:color w:val="000000"/>
                <w:kern w:val="0"/>
                <w:sz w:val="24"/>
                <w:szCs w:val="24"/>
              </w:rPr>
              <w:t>中债新综合财富指数收益率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2024</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1</w:t>
            </w:r>
            <w:r w:rsidRPr="00232B03">
              <w:rPr>
                <w:color w:val="000000"/>
                <w:kern w:val="0"/>
                <w:sz w:val="24"/>
                <w:szCs w:val="24"/>
              </w:rPr>
              <w:t>日至</w:t>
            </w:r>
            <w:r w:rsidRPr="00232B03">
              <w:rPr>
                <w:color w:val="000000"/>
                <w:kern w:val="0"/>
                <w:sz w:val="24"/>
                <w:szCs w:val="24"/>
              </w:rPr>
              <w:t>2028</w:t>
            </w:r>
            <w:r w:rsidRPr="00232B03">
              <w:rPr>
                <w:color w:val="000000"/>
                <w:kern w:val="0"/>
                <w:sz w:val="24"/>
                <w:szCs w:val="24"/>
              </w:rPr>
              <w:t>年</w:t>
            </w:r>
            <w:r w:rsidRPr="00232B03">
              <w:rPr>
                <w:color w:val="000000"/>
                <w:kern w:val="0"/>
                <w:sz w:val="24"/>
                <w:szCs w:val="24"/>
              </w:rPr>
              <w:lastRenderedPageBreak/>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30%×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+65%×</w:t>
            </w:r>
            <w:r w:rsidRPr="00232B03">
              <w:rPr>
                <w:color w:val="000000"/>
                <w:kern w:val="0"/>
                <w:sz w:val="24"/>
                <w:szCs w:val="24"/>
              </w:rPr>
              <w:t>中债新综合财富指数收益率</w:t>
            </w:r>
            <w:r w:rsidRPr="00232B03">
              <w:rPr>
                <w:color w:val="000000"/>
                <w:kern w:val="0"/>
                <w:sz w:val="24"/>
                <w:szCs w:val="24"/>
              </w:rPr>
              <w:t>+5%×</w:t>
            </w:r>
            <w:r w:rsidRPr="00232B03">
              <w:rPr>
                <w:color w:val="000000"/>
                <w:kern w:val="0"/>
                <w:sz w:val="24"/>
                <w:szCs w:val="24"/>
              </w:rPr>
              <w:t>活期存款利率；</w:t>
            </w:r>
            <w:r w:rsidRPr="00232B03">
              <w:rPr>
                <w:color w:val="000000"/>
                <w:kern w:val="0"/>
                <w:sz w:val="24"/>
                <w:szCs w:val="24"/>
              </w:rPr>
              <w:t>2029</w:t>
            </w:r>
            <w:r w:rsidRPr="00232B03">
              <w:rPr>
                <w:color w:val="000000"/>
                <w:kern w:val="0"/>
                <w:sz w:val="24"/>
                <w:szCs w:val="24"/>
              </w:rPr>
              <w:t>年</w:t>
            </w:r>
            <w:r w:rsidRPr="00232B03">
              <w:rPr>
                <w:color w:val="000000"/>
                <w:kern w:val="0"/>
                <w:sz w:val="24"/>
                <w:szCs w:val="24"/>
              </w:rPr>
              <w:t>1</w:t>
            </w:r>
            <w:r w:rsidRPr="00232B03">
              <w:rPr>
                <w:color w:val="000000"/>
                <w:kern w:val="0"/>
                <w:sz w:val="24"/>
                <w:szCs w:val="24"/>
              </w:rPr>
              <w:t>月</w:t>
            </w:r>
            <w:r w:rsidRPr="00232B03">
              <w:rPr>
                <w:color w:val="000000"/>
                <w:kern w:val="0"/>
                <w:sz w:val="24"/>
                <w:szCs w:val="24"/>
              </w:rPr>
              <w:t>1</w:t>
            </w:r>
            <w:r w:rsidRPr="00232B03">
              <w:rPr>
                <w:color w:val="000000"/>
                <w:kern w:val="0"/>
                <w:sz w:val="24"/>
                <w:szCs w:val="24"/>
              </w:rPr>
              <w:t>日至</w:t>
            </w:r>
            <w:r w:rsidRPr="00232B03">
              <w:rPr>
                <w:color w:val="000000"/>
                <w:kern w:val="0"/>
                <w:sz w:val="24"/>
                <w:szCs w:val="24"/>
              </w:rPr>
              <w:t>2033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w:t>
            </w:r>
            <w:r w:rsidRPr="00232B03">
              <w:rPr>
                <w:color w:val="000000"/>
                <w:kern w:val="0"/>
                <w:sz w:val="24"/>
                <w:szCs w:val="24"/>
              </w:rPr>
              <w:t>20%×</w:t>
            </w:r>
            <w:r w:rsidRPr="00232B03">
              <w:rPr>
                <w:color w:val="000000"/>
                <w:kern w:val="0"/>
                <w:sz w:val="24"/>
                <w:szCs w:val="24"/>
              </w:rPr>
              <w:t>沪深</w:t>
            </w:r>
            <w:r w:rsidRPr="00232B03">
              <w:rPr>
                <w:color w:val="000000"/>
                <w:kern w:val="0"/>
                <w:sz w:val="24"/>
                <w:szCs w:val="24"/>
              </w:rPr>
              <w:t>300</w:t>
            </w:r>
            <w:r w:rsidRPr="00232B03">
              <w:rPr>
                <w:color w:val="000000"/>
                <w:kern w:val="0"/>
                <w:sz w:val="24"/>
                <w:szCs w:val="24"/>
              </w:rPr>
              <w:t>指数收益率</w:t>
            </w:r>
            <w:r w:rsidRPr="00232B03">
              <w:rPr>
                <w:color w:val="000000"/>
                <w:kern w:val="0"/>
                <w:sz w:val="24"/>
                <w:szCs w:val="24"/>
              </w:rPr>
              <w:t>+75%×</w:t>
            </w:r>
            <w:r w:rsidRPr="00232B03">
              <w:rPr>
                <w:color w:val="000000"/>
                <w:kern w:val="0"/>
                <w:sz w:val="24"/>
                <w:szCs w:val="24"/>
              </w:rPr>
              <w:t>中债新综合财富指数收益率</w:t>
            </w:r>
            <w:r w:rsidRPr="00232B03">
              <w:rPr>
                <w:color w:val="000000"/>
                <w:kern w:val="0"/>
                <w:sz w:val="24"/>
                <w:szCs w:val="24"/>
              </w:rPr>
              <w:t>+5%×</w:t>
            </w:r>
            <w:r w:rsidRPr="00232B03">
              <w:rPr>
                <w:color w:val="000000"/>
                <w:kern w:val="0"/>
                <w:sz w:val="24"/>
                <w:szCs w:val="24"/>
              </w:rPr>
              <w:t>活期存款利率。</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本基金属于采用目标日期策略的基金中基金，</w:t>
            </w:r>
            <w:r w:rsidRPr="00232B03">
              <w:rPr>
                <w:color w:val="000000"/>
                <w:kern w:val="0"/>
                <w:sz w:val="24"/>
                <w:szCs w:val="24"/>
              </w:rPr>
              <w:t>2033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日为本基金的目标日期。从基金合同生效日至目标日期止，本基金的预期风险与预期收益水平将随着时间的流逝逐步降低。基金合同生效日至</w:t>
            </w:r>
            <w:r w:rsidRPr="00232B03">
              <w:rPr>
                <w:color w:val="000000"/>
                <w:kern w:val="0"/>
                <w:sz w:val="24"/>
                <w:szCs w:val="24"/>
              </w:rPr>
              <w:t>2033</w:t>
            </w:r>
            <w:r w:rsidRPr="00232B03">
              <w:rPr>
                <w:color w:val="000000"/>
                <w:kern w:val="0"/>
                <w:sz w:val="24"/>
                <w:szCs w:val="24"/>
              </w:rPr>
              <w:t>年</w:t>
            </w:r>
            <w:r w:rsidRPr="00232B03">
              <w:rPr>
                <w:color w:val="000000"/>
                <w:kern w:val="0"/>
                <w:sz w:val="24"/>
                <w:szCs w:val="24"/>
              </w:rPr>
              <w:t>12</w:t>
            </w:r>
            <w:r w:rsidRPr="00232B03">
              <w:rPr>
                <w:color w:val="000000"/>
                <w:kern w:val="0"/>
                <w:sz w:val="24"/>
                <w:szCs w:val="24"/>
              </w:rPr>
              <w:t>月</w:t>
            </w:r>
            <w:r w:rsidRPr="00232B03">
              <w:rPr>
                <w:color w:val="000000"/>
                <w:kern w:val="0"/>
                <w:sz w:val="24"/>
                <w:szCs w:val="24"/>
              </w:rPr>
              <w:t>31</w:t>
            </w:r>
            <w:r w:rsidRPr="00232B03">
              <w:rPr>
                <w:color w:val="000000"/>
                <w:kern w:val="0"/>
                <w:sz w:val="24"/>
                <w:szCs w:val="24"/>
              </w:rPr>
              <w:t>日，理论上本基金的预期风险与预期收益水平低于股票型基金、股票型基金中基金（</w:t>
            </w:r>
            <w:r w:rsidRPr="00232B03">
              <w:rPr>
                <w:color w:val="000000"/>
                <w:kern w:val="0"/>
                <w:sz w:val="24"/>
                <w:szCs w:val="24"/>
              </w:rPr>
              <w:t>FOF</w:t>
            </w:r>
            <w:r w:rsidRPr="00232B03">
              <w:rPr>
                <w:color w:val="000000"/>
                <w:kern w:val="0"/>
                <w:sz w:val="24"/>
                <w:szCs w:val="24"/>
              </w:rPr>
              <w:t>），高于债券型基金、债券型基金中基金（</w:t>
            </w:r>
            <w:r w:rsidRPr="00232B03">
              <w:rPr>
                <w:color w:val="000000"/>
                <w:kern w:val="0"/>
                <w:sz w:val="24"/>
                <w:szCs w:val="24"/>
              </w:rPr>
              <w:t>FOF</w:t>
            </w:r>
            <w:r w:rsidRPr="00232B03">
              <w:rPr>
                <w:color w:val="000000"/>
                <w:kern w:val="0"/>
                <w:sz w:val="24"/>
                <w:szCs w:val="24"/>
              </w:rPr>
              <w:t>）、货币市场基金和货币型基金中基金（</w:t>
            </w:r>
            <w:r w:rsidRPr="00232B03">
              <w:rPr>
                <w:color w:val="000000"/>
                <w:kern w:val="0"/>
                <w:sz w:val="24"/>
                <w:szCs w:val="24"/>
              </w:rPr>
              <w:t>FOF</w:t>
            </w:r>
            <w:r w:rsidRPr="00232B03">
              <w:rPr>
                <w:color w:val="000000"/>
                <w:kern w:val="0"/>
                <w:sz w:val="24"/>
                <w:szCs w:val="24"/>
              </w:rPr>
              <w:t>）。</w:t>
            </w:r>
            <w:r w:rsidRPr="00232B03">
              <w:rPr>
                <w:color w:val="000000"/>
                <w:kern w:val="0"/>
                <w:sz w:val="24"/>
                <w:szCs w:val="24"/>
              </w:rPr>
              <w:t xml:space="preserve"> </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62420E" w:rsidRPr="006506EF" w:rsidRDefault="0062420E" w:rsidP="0062420E">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62420E" w:rsidRPr="006506EF" w:rsidTr="00C3442A">
        <w:tc>
          <w:tcPr>
            <w:tcW w:w="3402" w:type="dxa"/>
            <w:vAlign w:val="center"/>
          </w:tcPr>
          <w:p w:rsidR="0062420E" w:rsidRPr="006506EF" w:rsidRDefault="0062420E"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62420E" w:rsidRPr="006506EF" w:rsidRDefault="0062420E" w:rsidP="00C3442A">
            <w:pPr>
              <w:adjustRightInd w:val="0"/>
              <w:spacing w:before="29" w:line="360" w:lineRule="auto"/>
              <w:ind w:left="17"/>
              <w:jc w:val="center"/>
              <w:rPr>
                <w:color w:val="000000"/>
                <w:sz w:val="24"/>
              </w:rPr>
            </w:pPr>
            <w:r w:rsidRPr="006506EF">
              <w:rPr>
                <w:color w:val="000000"/>
                <w:sz w:val="24"/>
              </w:rPr>
              <w:t>报告期</w:t>
            </w:r>
          </w:p>
          <w:p w:rsidR="0062420E" w:rsidRPr="006506EF" w:rsidRDefault="0062420E"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62420E" w:rsidRPr="006506EF" w:rsidRDefault="0062420E" w:rsidP="00C3442A">
            <w:pPr>
              <w:adjustRightInd w:val="0"/>
              <w:spacing w:before="29" w:line="360" w:lineRule="auto"/>
              <w:ind w:left="17"/>
              <w:jc w:val="center"/>
              <w:rPr>
                <w:color w:val="000000"/>
                <w:sz w:val="24"/>
              </w:rPr>
            </w:pPr>
            <w:r w:rsidRPr="006506EF">
              <w:rPr>
                <w:color w:val="000000"/>
                <w:sz w:val="24"/>
              </w:rPr>
              <w:t>上期金额</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201,924.00</w:t>
            </w:r>
          </w:p>
        </w:tc>
        <w:tc>
          <w:tcPr>
            <w:tcW w:w="2410" w:type="dxa"/>
            <w:hMerge/>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155,207.15</w:t>
            </w:r>
          </w:p>
        </w:tc>
        <w:tc>
          <w:tcPr>
            <w:tcW w:w="2410" w:type="dxa"/>
            <w:hMerge/>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0.0153</w:t>
            </w:r>
          </w:p>
        </w:tc>
        <w:tc>
          <w:tcPr>
            <w:tcW w:w="2410" w:type="dxa"/>
            <w:hMerge/>
            <w:vAlign w:val="bottom"/>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10,565,853.26</w:t>
            </w:r>
          </w:p>
        </w:tc>
        <w:tc>
          <w:tcPr>
            <w:tcW w:w="2410" w:type="dxa"/>
            <w:hMerge/>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r w:rsidR="0062420E" w:rsidRPr="006506EF" w:rsidTr="00C3442A">
        <w:trPr>
          <w:trHeight w:val="158"/>
        </w:trPr>
        <w:tc>
          <w:tcPr>
            <w:tcW w:w="3402" w:type="dxa"/>
          </w:tcPr>
          <w:p w:rsidR="0062420E" w:rsidRPr="006506EF" w:rsidRDefault="0062420E"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1.0198</w:t>
            </w:r>
          </w:p>
        </w:tc>
        <w:tc>
          <w:tcPr>
            <w:tcW w:w="2410" w:type="dxa"/>
            <w:hMerge/>
          </w:tcPr>
          <w:p w:rsidR="0062420E" w:rsidRPr="006506EF" w:rsidRDefault="0062420E" w:rsidP="00C3442A">
            <w:pPr>
              <w:adjustRightInd w:val="0"/>
              <w:spacing w:before="29" w:line="360" w:lineRule="auto"/>
              <w:ind w:left="17"/>
              <w:jc w:val="right"/>
              <w:rPr>
                <w:color w:val="000000"/>
                <w:sz w:val="24"/>
              </w:rPr>
            </w:pPr>
            <w:r w:rsidRPr="006506EF">
              <w:rPr>
                <w:color w:val="000000"/>
                <w:sz w:val="24"/>
              </w:rPr>
              <w:t>-</w:t>
            </w:r>
          </w:p>
        </w:tc>
      </w:tr>
    </w:tbl>
    <w:p w:rsidR="006006B1" w:rsidRDefault="000329EB">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w:t>
      </w:r>
      <w:r>
        <w:rPr>
          <w:color w:val="000000"/>
          <w:sz w:val="24"/>
        </w:rPr>
        <w:lastRenderedPageBreak/>
        <w:t>用后实际收益水平要低于所列数字。</w:t>
      </w:r>
    </w:p>
    <w:p w:rsidR="00750D48" w:rsidRPr="00232B03" w:rsidRDefault="0062420E"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6006B1">
        <w:tc>
          <w:tcPr>
            <w:tcW w:w="1395" w:type="dxa"/>
            <w:vAlign w:val="center"/>
          </w:tcPr>
          <w:p w:rsidR="006006B1" w:rsidRDefault="000329EB">
            <w:pPr>
              <w:jc w:val="left"/>
            </w:pPr>
            <w:r>
              <w:rPr>
                <w:color w:val="000000"/>
                <w:kern w:val="0"/>
                <w:sz w:val="24"/>
                <w:szCs w:val="24"/>
              </w:rPr>
              <w:t>过去三个月</w:t>
            </w:r>
          </w:p>
        </w:tc>
        <w:tc>
          <w:tcPr>
            <w:tcW w:w="1092" w:type="dxa"/>
            <w:vAlign w:val="center"/>
          </w:tcPr>
          <w:p w:rsidR="006006B1" w:rsidRDefault="000329EB">
            <w:pPr>
              <w:jc w:val="center"/>
            </w:pPr>
            <w:r>
              <w:rPr>
                <w:color w:val="000000"/>
                <w:kern w:val="0"/>
                <w:sz w:val="24"/>
                <w:szCs w:val="24"/>
              </w:rPr>
              <w:t>1.53%</w:t>
            </w:r>
          </w:p>
        </w:tc>
        <w:tc>
          <w:tcPr>
            <w:tcW w:w="1161" w:type="dxa"/>
            <w:vAlign w:val="center"/>
          </w:tcPr>
          <w:p w:rsidR="006006B1" w:rsidRDefault="000329EB">
            <w:pPr>
              <w:jc w:val="center"/>
            </w:pPr>
            <w:r>
              <w:rPr>
                <w:color w:val="000000"/>
                <w:kern w:val="0"/>
                <w:sz w:val="24"/>
                <w:szCs w:val="24"/>
              </w:rPr>
              <w:t>0.09%</w:t>
            </w:r>
          </w:p>
        </w:tc>
        <w:tc>
          <w:tcPr>
            <w:tcW w:w="1181" w:type="dxa"/>
            <w:vAlign w:val="center"/>
          </w:tcPr>
          <w:p w:rsidR="006006B1" w:rsidRDefault="000329EB">
            <w:pPr>
              <w:jc w:val="center"/>
            </w:pPr>
            <w:r>
              <w:rPr>
                <w:color w:val="000000"/>
                <w:kern w:val="0"/>
                <w:sz w:val="24"/>
                <w:szCs w:val="24"/>
              </w:rPr>
              <w:t>0.73%</w:t>
            </w:r>
          </w:p>
        </w:tc>
        <w:tc>
          <w:tcPr>
            <w:tcW w:w="1188" w:type="dxa"/>
            <w:vAlign w:val="center"/>
          </w:tcPr>
          <w:p w:rsidR="006006B1" w:rsidRDefault="000329EB">
            <w:pPr>
              <w:jc w:val="center"/>
            </w:pPr>
            <w:r>
              <w:rPr>
                <w:color w:val="000000"/>
                <w:kern w:val="0"/>
                <w:sz w:val="24"/>
                <w:szCs w:val="24"/>
              </w:rPr>
              <w:t>0.38%</w:t>
            </w:r>
          </w:p>
        </w:tc>
        <w:tc>
          <w:tcPr>
            <w:tcW w:w="1199" w:type="dxa"/>
            <w:vAlign w:val="center"/>
          </w:tcPr>
          <w:p w:rsidR="006006B1" w:rsidRDefault="000329EB">
            <w:pPr>
              <w:jc w:val="center"/>
            </w:pPr>
            <w:r>
              <w:rPr>
                <w:color w:val="000000"/>
                <w:kern w:val="0"/>
                <w:sz w:val="24"/>
                <w:szCs w:val="24"/>
              </w:rPr>
              <w:t>0.80%</w:t>
            </w:r>
          </w:p>
        </w:tc>
        <w:tc>
          <w:tcPr>
            <w:tcW w:w="1204" w:type="dxa"/>
            <w:vAlign w:val="center"/>
          </w:tcPr>
          <w:p w:rsidR="006006B1" w:rsidRDefault="000329EB">
            <w:pPr>
              <w:jc w:val="center"/>
            </w:pPr>
            <w:r>
              <w:rPr>
                <w:color w:val="000000"/>
                <w:kern w:val="0"/>
                <w:sz w:val="24"/>
                <w:szCs w:val="24"/>
              </w:rPr>
              <w:t>-0.29%</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易方达汇诚养老目标日期</w:t>
      </w:r>
      <w:r w:rsidRPr="0074694E">
        <w:rPr>
          <w:color w:val="000000"/>
          <w:sz w:val="24"/>
          <w:szCs w:val="24"/>
        </w:rPr>
        <w:t>2033</w:t>
      </w:r>
      <w:r w:rsidRPr="0074694E">
        <w:rPr>
          <w:color w:val="000000"/>
          <w:sz w:val="24"/>
          <w:szCs w:val="24"/>
        </w:rPr>
        <w:t>三年持有期混合型发起式基金中基金（</w:t>
      </w:r>
      <w:r w:rsidRPr="0074694E">
        <w:rPr>
          <w:color w:val="000000"/>
          <w:sz w:val="24"/>
          <w:szCs w:val="24"/>
        </w:rPr>
        <w:t>FOF</w:t>
      </w:r>
      <w:r w:rsidRPr="0074694E">
        <w:rPr>
          <w:color w:val="000000"/>
          <w:sz w:val="24"/>
          <w:szCs w:val="24"/>
        </w:rPr>
        <w:t>）</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4</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0329EB"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6006B1" w:rsidRDefault="000329EB">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本基金合同于</w:t>
      </w:r>
      <w:r>
        <w:rPr>
          <w:color w:val="000000"/>
          <w:sz w:val="24"/>
          <w:szCs w:val="24"/>
        </w:rPr>
        <w:t>2019</w:t>
      </w:r>
      <w:r>
        <w:rPr>
          <w:color w:val="000000"/>
          <w:sz w:val="24"/>
          <w:szCs w:val="24"/>
        </w:rPr>
        <w:t>年</w:t>
      </w:r>
      <w:r>
        <w:rPr>
          <w:color w:val="000000"/>
          <w:sz w:val="24"/>
          <w:szCs w:val="24"/>
        </w:rPr>
        <w:t>4</w:t>
      </w:r>
      <w:r>
        <w:rPr>
          <w:color w:val="000000"/>
          <w:sz w:val="24"/>
          <w:szCs w:val="24"/>
        </w:rPr>
        <w:t>月</w:t>
      </w:r>
      <w:r>
        <w:rPr>
          <w:color w:val="000000"/>
          <w:sz w:val="24"/>
          <w:szCs w:val="24"/>
        </w:rPr>
        <w:t>30</w:t>
      </w:r>
      <w:r>
        <w:rPr>
          <w:color w:val="000000"/>
          <w:sz w:val="24"/>
          <w:szCs w:val="24"/>
        </w:rPr>
        <w:t>日生效</w:t>
      </w:r>
      <w:r>
        <w:rPr>
          <w:color w:val="000000"/>
          <w:sz w:val="24"/>
          <w:szCs w:val="24"/>
        </w:rPr>
        <w:t>,</w:t>
      </w:r>
      <w:r>
        <w:rPr>
          <w:color w:val="000000"/>
          <w:sz w:val="24"/>
          <w:szCs w:val="24"/>
        </w:rPr>
        <w:t>截至报告期末本基金合同生效未</w:t>
      </w:r>
      <w:r>
        <w:rPr>
          <w:color w:val="000000"/>
          <w:sz w:val="24"/>
          <w:szCs w:val="24"/>
        </w:rPr>
        <w:lastRenderedPageBreak/>
        <w:t>满一年。</w:t>
      </w:r>
    </w:p>
    <w:p w:rsidR="006006B1" w:rsidRDefault="000329EB">
      <w:pPr>
        <w:spacing w:line="360" w:lineRule="auto"/>
        <w:ind w:firstLineChars="200" w:firstLine="480"/>
        <w:rPr>
          <w:color w:val="000000"/>
          <w:sz w:val="24"/>
          <w:szCs w:val="24"/>
        </w:rPr>
      </w:pPr>
      <w:r>
        <w:rPr>
          <w:color w:val="000000"/>
          <w:sz w:val="24"/>
          <w:szCs w:val="24"/>
        </w:rPr>
        <w:t>2.</w:t>
      </w:r>
      <w:r>
        <w:rPr>
          <w:color w:val="000000"/>
          <w:sz w:val="24"/>
          <w:szCs w:val="24"/>
        </w:rPr>
        <w:t>按基金合同和招募说明书的约定</w:t>
      </w:r>
      <w:r>
        <w:rPr>
          <w:color w:val="000000"/>
          <w:sz w:val="24"/>
          <w:szCs w:val="24"/>
        </w:rPr>
        <w:t>,</w:t>
      </w:r>
      <w:r>
        <w:rPr>
          <w:color w:val="000000"/>
          <w:sz w:val="24"/>
          <w:szCs w:val="24"/>
        </w:rPr>
        <w:t>自基金合同生效之日起六个月内使基金的投资组合比例符合本基金合同</w:t>
      </w:r>
      <w:r>
        <w:rPr>
          <w:color w:val="000000"/>
          <w:sz w:val="24"/>
          <w:szCs w:val="24"/>
        </w:rPr>
        <w:t>(</w:t>
      </w:r>
      <w:r>
        <w:rPr>
          <w:color w:val="000000"/>
          <w:sz w:val="24"/>
          <w:szCs w:val="24"/>
        </w:rPr>
        <w:t>第十二部分二、投资范围</w:t>
      </w:r>
      <w:r>
        <w:rPr>
          <w:color w:val="000000"/>
          <w:sz w:val="24"/>
          <w:szCs w:val="24"/>
        </w:rPr>
        <w:t>,</w:t>
      </w:r>
      <w:r>
        <w:rPr>
          <w:color w:val="000000"/>
          <w:sz w:val="24"/>
          <w:szCs w:val="24"/>
        </w:rPr>
        <w:t>三、投资策略和四、投资限制</w:t>
      </w:r>
      <w:r>
        <w:rPr>
          <w:color w:val="000000"/>
          <w:sz w:val="24"/>
          <w:szCs w:val="24"/>
        </w:rPr>
        <w:t>)</w:t>
      </w:r>
      <w:r>
        <w:rPr>
          <w:color w:val="000000"/>
          <w:sz w:val="24"/>
          <w:szCs w:val="24"/>
        </w:rPr>
        <w:t>的有关约定。本报告期本基金处于建仓期内。</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3.</w:t>
      </w:r>
      <w:r w:rsidRPr="006C56AA">
        <w:rPr>
          <w:color w:val="000000"/>
          <w:sz w:val="24"/>
          <w:szCs w:val="24"/>
        </w:rPr>
        <w:t>自基金合同生效至报告期末</w:t>
      </w:r>
      <w:r w:rsidRPr="006C56AA">
        <w:rPr>
          <w:color w:val="000000"/>
          <w:sz w:val="24"/>
          <w:szCs w:val="24"/>
        </w:rPr>
        <w:t>,</w:t>
      </w:r>
      <w:r w:rsidRPr="006C56AA">
        <w:rPr>
          <w:color w:val="000000"/>
          <w:sz w:val="24"/>
          <w:szCs w:val="24"/>
        </w:rPr>
        <w:t>基金份额净值增长率为</w:t>
      </w:r>
      <w:r w:rsidRPr="006C56AA">
        <w:rPr>
          <w:color w:val="000000"/>
          <w:sz w:val="24"/>
          <w:szCs w:val="24"/>
        </w:rPr>
        <w:t>1.98%,</w:t>
      </w:r>
      <w:r w:rsidRPr="006C56AA">
        <w:rPr>
          <w:color w:val="000000"/>
          <w:sz w:val="24"/>
          <w:szCs w:val="24"/>
        </w:rPr>
        <w:t>同期业绩比较基准收益率为</w:t>
      </w:r>
      <w:r w:rsidRPr="006C56AA">
        <w:rPr>
          <w:color w:val="000000"/>
          <w:sz w:val="24"/>
          <w:szCs w:val="24"/>
        </w:rPr>
        <w:t>0.79%</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6006B1">
        <w:tc>
          <w:tcPr>
            <w:tcW w:w="567" w:type="dxa"/>
            <w:vAlign w:val="center"/>
          </w:tcPr>
          <w:p w:rsidR="006006B1" w:rsidRDefault="000329EB">
            <w:pPr>
              <w:jc w:val="center"/>
            </w:pPr>
            <w:r>
              <w:rPr>
                <w:color w:val="000000"/>
                <w:sz w:val="24"/>
              </w:rPr>
              <w:t>汪玲</w:t>
            </w:r>
          </w:p>
        </w:tc>
        <w:tc>
          <w:tcPr>
            <w:tcW w:w="2835" w:type="dxa"/>
            <w:vAlign w:val="center"/>
          </w:tcPr>
          <w:p w:rsidR="006006B1" w:rsidRDefault="000329EB">
            <w:pPr>
              <w:jc w:val="center"/>
            </w:pPr>
            <w:r>
              <w:rPr>
                <w:color w:val="000000"/>
                <w:sz w:val="24"/>
              </w:rPr>
              <w:t>本基金的基金经理、易方达汇诚养老目标日期</w:t>
            </w:r>
            <w:r>
              <w:rPr>
                <w:color w:val="000000"/>
                <w:sz w:val="24"/>
              </w:rPr>
              <w:t>2043</w:t>
            </w:r>
            <w:r>
              <w:rPr>
                <w:color w:val="000000"/>
                <w:sz w:val="24"/>
              </w:rPr>
              <w:t>三年持有期混合型基金中基金</w:t>
            </w:r>
            <w:r>
              <w:rPr>
                <w:color w:val="000000"/>
                <w:sz w:val="24"/>
              </w:rPr>
              <w:t>(FOF)</w:t>
            </w:r>
            <w:r>
              <w:rPr>
                <w:color w:val="000000"/>
                <w:sz w:val="24"/>
              </w:rPr>
              <w:t>的基金经理、易方达汇诚养老目标日期</w:t>
            </w:r>
            <w:r>
              <w:rPr>
                <w:color w:val="000000"/>
                <w:sz w:val="24"/>
              </w:rPr>
              <w:t>2038</w:t>
            </w:r>
            <w:r>
              <w:rPr>
                <w:color w:val="000000"/>
                <w:sz w:val="24"/>
              </w:rPr>
              <w:t>三年持有期混合型发起式基金中基金</w:t>
            </w:r>
            <w:r>
              <w:rPr>
                <w:color w:val="000000"/>
                <w:sz w:val="24"/>
              </w:rPr>
              <w:t>(FOF)</w:t>
            </w:r>
            <w:r>
              <w:rPr>
                <w:color w:val="000000"/>
                <w:sz w:val="24"/>
              </w:rPr>
              <w:t>的基金经理</w:t>
            </w:r>
          </w:p>
        </w:tc>
        <w:tc>
          <w:tcPr>
            <w:tcW w:w="851" w:type="dxa"/>
            <w:vAlign w:val="center"/>
          </w:tcPr>
          <w:p w:rsidR="006006B1" w:rsidRDefault="000329EB">
            <w:pPr>
              <w:jc w:val="center"/>
            </w:pPr>
            <w:r>
              <w:rPr>
                <w:color w:val="000000"/>
                <w:sz w:val="24"/>
              </w:rPr>
              <w:t>2019-04-30</w:t>
            </w:r>
          </w:p>
        </w:tc>
        <w:tc>
          <w:tcPr>
            <w:tcW w:w="850" w:type="dxa"/>
            <w:vAlign w:val="center"/>
          </w:tcPr>
          <w:p w:rsidR="006006B1" w:rsidRDefault="000329EB">
            <w:pPr>
              <w:jc w:val="center"/>
            </w:pPr>
            <w:r>
              <w:rPr>
                <w:color w:val="000000"/>
                <w:sz w:val="24"/>
              </w:rPr>
              <w:t>-</w:t>
            </w:r>
          </w:p>
        </w:tc>
        <w:tc>
          <w:tcPr>
            <w:tcW w:w="851" w:type="dxa"/>
            <w:vAlign w:val="center"/>
          </w:tcPr>
          <w:p w:rsidR="006006B1" w:rsidRDefault="000329EB">
            <w:pPr>
              <w:jc w:val="center"/>
            </w:pPr>
            <w:r>
              <w:rPr>
                <w:color w:val="000000"/>
                <w:sz w:val="24"/>
              </w:rPr>
              <w:t>11</w:t>
            </w:r>
            <w:r>
              <w:rPr>
                <w:color w:val="000000"/>
                <w:sz w:val="24"/>
              </w:rPr>
              <w:t>年</w:t>
            </w:r>
          </w:p>
        </w:tc>
        <w:tc>
          <w:tcPr>
            <w:tcW w:w="2977" w:type="dxa"/>
            <w:vAlign w:val="center"/>
          </w:tcPr>
          <w:p w:rsidR="006006B1" w:rsidRDefault="000329EB">
            <w:r>
              <w:rPr>
                <w:color w:val="000000"/>
                <w:sz w:val="24"/>
              </w:rPr>
              <w:t>硕士研究生，曾任合众人寿保险股份有限公司资金管理中心基金研究员、基金投资经理，合众资产管理股份有限公司组合管理部基金投资经理，中国人寿养老保险股份有限公司投资中心组合管理部高级组合基金投资经理。</w:t>
            </w:r>
          </w:p>
        </w:tc>
      </w:tr>
    </w:tbl>
    <w:p w:rsidR="006006B1" w:rsidRDefault="000329EB">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lastRenderedPageBreak/>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6006B1" w:rsidRDefault="000329EB">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6006B1" w:rsidRDefault="000329EB">
      <w:pPr>
        <w:spacing w:line="360" w:lineRule="auto"/>
        <w:ind w:firstLineChars="200" w:firstLine="480"/>
        <w:rPr>
          <w:color w:val="000000"/>
          <w:sz w:val="24"/>
          <w:szCs w:val="24"/>
        </w:rPr>
      </w:pPr>
      <w:r>
        <w:rPr>
          <w:color w:val="000000"/>
          <w:sz w:val="24"/>
          <w:szCs w:val="24"/>
        </w:rPr>
        <w:t>2019</w:t>
      </w:r>
      <w:r>
        <w:rPr>
          <w:color w:val="000000"/>
          <w:sz w:val="24"/>
          <w:szCs w:val="24"/>
        </w:rPr>
        <w:t>年</w:t>
      </w:r>
      <w:r>
        <w:rPr>
          <w:color w:val="000000"/>
          <w:sz w:val="24"/>
          <w:szCs w:val="24"/>
        </w:rPr>
        <w:t>3</w:t>
      </w:r>
      <w:r>
        <w:rPr>
          <w:color w:val="000000"/>
          <w:sz w:val="24"/>
          <w:szCs w:val="24"/>
        </w:rPr>
        <w:t>季度全球经济形势逐步走弱，央行普遍采取偏宽松的货币政策，债券收益率出现一定幅度下行，权益资产表现出结构性行情，创业板、中小板表现较好，尤其是电子行业，出现了大幅上涨。中美贸易战反反复复，给风险资产的表现带来了一定的波动。估值方面，</w:t>
      </w:r>
      <w:r>
        <w:rPr>
          <w:color w:val="000000"/>
          <w:sz w:val="24"/>
          <w:szCs w:val="24"/>
        </w:rPr>
        <w:t>A</w:t>
      </w:r>
      <w:r>
        <w:rPr>
          <w:color w:val="000000"/>
          <w:sz w:val="24"/>
          <w:szCs w:val="24"/>
        </w:rPr>
        <w:t>股估值相对历史处于偏低位置，但呈现结构分化；债券收益率水平处于历史较低位置。</w:t>
      </w:r>
    </w:p>
    <w:p w:rsidR="006006B1" w:rsidRDefault="000329EB">
      <w:pPr>
        <w:spacing w:line="360" w:lineRule="auto"/>
        <w:ind w:firstLineChars="200" w:firstLine="480"/>
        <w:rPr>
          <w:color w:val="000000"/>
          <w:sz w:val="24"/>
          <w:szCs w:val="24"/>
        </w:rPr>
      </w:pPr>
      <w:r>
        <w:rPr>
          <w:color w:val="000000"/>
          <w:sz w:val="24"/>
          <w:szCs w:val="24"/>
        </w:rPr>
        <w:t>本基金于</w:t>
      </w:r>
      <w:r>
        <w:rPr>
          <w:color w:val="000000"/>
          <w:sz w:val="24"/>
          <w:szCs w:val="24"/>
        </w:rPr>
        <w:t>2019</w:t>
      </w:r>
      <w:r>
        <w:rPr>
          <w:color w:val="000000"/>
          <w:sz w:val="24"/>
          <w:szCs w:val="24"/>
        </w:rPr>
        <w:t>年</w:t>
      </w:r>
      <w:r>
        <w:rPr>
          <w:color w:val="000000"/>
          <w:sz w:val="24"/>
          <w:szCs w:val="24"/>
        </w:rPr>
        <w:t>4</w:t>
      </w:r>
      <w:r>
        <w:rPr>
          <w:color w:val="000000"/>
          <w:sz w:val="24"/>
          <w:szCs w:val="24"/>
        </w:rPr>
        <w:t>月</w:t>
      </w:r>
      <w:r>
        <w:rPr>
          <w:color w:val="000000"/>
          <w:sz w:val="24"/>
          <w:szCs w:val="24"/>
        </w:rPr>
        <w:t>30</w:t>
      </w:r>
      <w:r>
        <w:rPr>
          <w:color w:val="000000"/>
          <w:sz w:val="24"/>
          <w:szCs w:val="24"/>
        </w:rPr>
        <w:t>日成立并开始运作，在报告期内，本基金依然处于建仓期，遵循稳健投资的理念，立足养老产品的定位，采用固定收益类资产积累安全垫，根据安全垫水平，分批稳步建仓权益类资产，注重控制组合回撤。同时动态比较各类资产的相对价值，配置收益风险比更合适的策略或资产，对原有资产进行增强，力争获取超额收益。</w:t>
      </w:r>
    </w:p>
    <w:p w:rsidR="006006B1" w:rsidRDefault="000329EB">
      <w:pPr>
        <w:spacing w:line="360" w:lineRule="auto"/>
        <w:ind w:firstLineChars="200" w:firstLine="480"/>
        <w:rPr>
          <w:color w:val="000000"/>
          <w:sz w:val="24"/>
          <w:szCs w:val="24"/>
        </w:rPr>
      </w:pPr>
      <w:r>
        <w:rPr>
          <w:color w:val="000000"/>
          <w:sz w:val="24"/>
          <w:szCs w:val="24"/>
        </w:rPr>
        <w:t>在本报告期内，本基金尚处于建仓期，权益类资产和非权益类资产的配置比例尚未达到基金合同约定的资产配置比例范围，权益类资产平均配置比例低于下滑曲线预设的权益类资产配置比例要求。到建仓期结束时，本基金的各项</w:t>
      </w:r>
      <w:r>
        <w:rPr>
          <w:color w:val="000000"/>
          <w:sz w:val="24"/>
          <w:szCs w:val="24"/>
        </w:rPr>
        <w:t>资产配置比例将达到基金合同约定的资产配置比例要求。</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lastRenderedPageBreak/>
        <w:t>本基金坚持既定的基金选择理念，主动基金与被动基金相结合，通过优选风格相对稳定</w:t>
      </w:r>
      <w:r w:rsidRPr="006C56AA">
        <w:rPr>
          <w:color w:val="000000"/>
          <w:sz w:val="24"/>
          <w:szCs w:val="24"/>
        </w:rPr>
        <w:t>Alpha</w:t>
      </w:r>
      <w:r w:rsidRPr="006C56AA">
        <w:rPr>
          <w:color w:val="000000"/>
          <w:sz w:val="24"/>
          <w:szCs w:val="24"/>
        </w:rPr>
        <w:t>持续性较强的主动型基金，力争获取超额收益。</w:t>
      </w:r>
    </w:p>
    <w:p w:rsidR="00750D48" w:rsidRPr="00264E55" w:rsidRDefault="00750D48" w:rsidP="009E7C6A">
      <w:pPr>
        <w:spacing w:line="360" w:lineRule="auto"/>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1.0198</w:t>
      </w:r>
      <w:r w:rsidRPr="006C56AA">
        <w:rPr>
          <w:color w:val="000000"/>
          <w:sz w:val="24"/>
          <w:szCs w:val="24"/>
        </w:rPr>
        <w:t>元，本报告期份额净值增长率为</w:t>
      </w:r>
      <w:r w:rsidRPr="006C56AA">
        <w:rPr>
          <w:color w:val="000000"/>
          <w:sz w:val="24"/>
          <w:szCs w:val="24"/>
        </w:rPr>
        <w:t>1.53%</w:t>
      </w:r>
      <w:r w:rsidRPr="006C56AA">
        <w:rPr>
          <w:color w:val="000000"/>
          <w:sz w:val="24"/>
          <w:szCs w:val="24"/>
        </w:rPr>
        <w:t>，同期业绩比较基准收益率为</w:t>
      </w:r>
      <w:r w:rsidRPr="006C56AA">
        <w:rPr>
          <w:color w:val="000000"/>
          <w:sz w:val="24"/>
          <w:szCs w:val="24"/>
        </w:rPr>
        <w:t>0.73%</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C370E0" w:rsidRDefault="00C370E0" w:rsidP="00F94C5F">
            <w:pPr>
              <w:spacing w:before="29" w:line="360" w:lineRule="auto"/>
              <w:ind w:left="17"/>
              <w:jc w:val="center"/>
              <w:rPr>
                <w:color w:val="000000" w:themeColor="text1"/>
                <w:sz w:val="24"/>
                <w:szCs w:val="24"/>
              </w:rPr>
            </w:pPr>
            <w:r w:rsidRPr="00C370E0">
              <w:rPr>
                <w:color w:val="000000" w:themeColor="text1"/>
                <w:sz w:val="24"/>
                <w:szCs w:val="24"/>
              </w:rPr>
              <w:t>2</w:t>
            </w:r>
          </w:p>
        </w:tc>
        <w:tc>
          <w:tcPr>
            <w:tcW w:w="3357" w:type="dxa"/>
            <w:vAlign w:val="center"/>
          </w:tcPr>
          <w:p w:rsidR="00C370E0" w:rsidRPr="00C370E0" w:rsidRDefault="00C370E0" w:rsidP="00F94C5F">
            <w:pPr>
              <w:spacing w:before="29" w:line="360" w:lineRule="auto"/>
              <w:jc w:val="left"/>
              <w:rPr>
                <w:color w:val="000000" w:themeColor="text1"/>
                <w:sz w:val="24"/>
                <w:szCs w:val="24"/>
              </w:rPr>
            </w:pPr>
            <w:r w:rsidRPr="00C370E0">
              <w:rPr>
                <w:color w:val="000000" w:themeColor="text1"/>
                <w:sz w:val="24"/>
                <w:szCs w:val="24"/>
              </w:rPr>
              <w:t>基金投资</w:t>
            </w:r>
          </w:p>
        </w:tc>
        <w:tc>
          <w:tcPr>
            <w:tcW w:w="2977" w:type="dxa"/>
            <w:vAlign w:val="center"/>
          </w:tcPr>
          <w:p w:rsidR="00C370E0" w:rsidRPr="00C370E0" w:rsidRDefault="00C370E0" w:rsidP="00F94C5F">
            <w:pPr>
              <w:spacing w:before="29" w:line="360" w:lineRule="auto"/>
              <w:ind w:left="17"/>
              <w:jc w:val="right"/>
              <w:rPr>
                <w:color w:val="000000" w:themeColor="text1"/>
                <w:sz w:val="24"/>
                <w:szCs w:val="24"/>
              </w:rPr>
            </w:pPr>
            <w:r w:rsidRPr="00C370E0">
              <w:rPr>
                <w:color w:val="000000" w:themeColor="text1"/>
                <w:sz w:val="24"/>
                <w:szCs w:val="24"/>
              </w:rPr>
              <w:t>9,577,297.63</w:t>
            </w:r>
          </w:p>
        </w:tc>
        <w:tc>
          <w:tcPr>
            <w:tcW w:w="1843" w:type="dxa"/>
            <w:vAlign w:val="center"/>
          </w:tcPr>
          <w:p w:rsidR="00C370E0" w:rsidRPr="00C370E0" w:rsidRDefault="00C370E0" w:rsidP="00F94C5F">
            <w:pPr>
              <w:spacing w:before="29" w:line="360" w:lineRule="auto"/>
              <w:ind w:left="17"/>
              <w:jc w:val="right"/>
              <w:rPr>
                <w:color w:val="000000" w:themeColor="text1"/>
                <w:sz w:val="24"/>
                <w:szCs w:val="24"/>
              </w:rPr>
            </w:pPr>
            <w:r w:rsidRPr="00C370E0">
              <w:rPr>
                <w:color w:val="000000" w:themeColor="text1"/>
                <w:sz w:val="24"/>
                <w:szCs w:val="24"/>
              </w:rPr>
              <w:t>90.49</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3</w:t>
            </w: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499,950.00</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4.72</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499,950.00</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4.72</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p>
        </w:tc>
        <w:tc>
          <w:tcPr>
            <w:tcW w:w="3357" w:type="dxa"/>
            <w:vAlign w:val="center"/>
          </w:tcPr>
          <w:p w:rsidR="00C370E0" w:rsidRPr="00232B03" w:rsidRDefault="00C370E0"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4</w:t>
            </w:r>
          </w:p>
        </w:tc>
        <w:tc>
          <w:tcPr>
            <w:tcW w:w="3357" w:type="dxa"/>
          </w:tcPr>
          <w:p w:rsidR="00C370E0" w:rsidRPr="00232B03" w:rsidRDefault="00C370E0"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5</w:t>
            </w:r>
          </w:p>
        </w:tc>
        <w:tc>
          <w:tcPr>
            <w:tcW w:w="3357" w:type="dxa"/>
            <w:vAlign w:val="center"/>
          </w:tcPr>
          <w:p w:rsidR="00C370E0" w:rsidRPr="00232B03" w:rsidRDefault="00C370E0"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6</w:t>
            </w: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300,000.00</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2.83</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w:t>
            </w:r>
          </w:p>
        </w:tc>
      </w:tr>
      <w:tr w:rsidR="00C370E0" w:rsidRPr="00264E55" w:rsidTr="00B05049">
        <w:trPr>
          <w:jc w:val="center"/>
        </w:trPr>
        <w:tc>
          <w:tcPr>
            <w:tcW w:w="720" w:type="dxa"/>
            <w:vAlign w:val="center"/>
          </w:tcPr>
          <w:p w:rsidR="00C370E0" w:rsidRPr="00232B03" w:rsidRDefault="00C370E0" w:rsidP="00B05049">
            <w:pPr>
              <w:spacing w:before="29" w:line="360" w:lineRule="auto"/>
              <w:ind w:left="17"/>
              <w:jc w:val="center"/>
              <w:rPr>
                <w:color w:val="000000"/>
                <w:kern w:val="0"/>
                <w:sz w:val="24"/>
                <w:szCs w:val="24"/>
              </w:rPr>
            </w:pPr>
            <w:r>
              <w:rPr>
                <w:rFonts w:hint="eastAsia"/>
                <w:color w:val="000000"/>
                <w:kern w:val="0"/>
                <w:sz w:val="24"/>
                <w:szCs w:val="24"/>
              </w:rPr>
              <w:t>7</w:t>
            </w:r>
          </w:p>
        </w:tc>
        <w:tc>
          <w:tcPr>
            <w:tcW w:w="3357" w:type="dxa"/>
            <w:vAlign w:val="center"/>
          </w:tcPr>
          <w:p w:rsidR="00C370E0" w:rsidRPr="00232B03" w:rsidRDefault="00C370E0"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188,087.42</w:t>
            </w:r>
          </w:p>
        </w:tc>
        <w:tc>
          <w:tcPr>
            <w:tcW w:w="1843" w:type="dxa"/>
            <w:vAlign w:val="center"/>
          </w:tcPr>
          <w:p w:rsidR="00C370E0" w:rsidRPr="00232B03" w:rsidRDefault="00C370E0" w:rsidP="00B05049">
            <w:pPr>
              <w:spacing w:before="29" w:line="360" w:lineRule="auto"/>
              <w:ind w:left="17"/>
              <w:jc w:val="right"/>
              <w:rPr>
                <w:color w:val="000000"/>
                <w:kern w:val="0"/>
                <w:sz w:val="24"/>
                <w:szCs w:val="24"/>
              </w:rPr>
            </w:pPr>
            <w:r w:rsidRPr="00232B03">
              <w:rPr>
                <w:color w:val="000000"/>
                <w:kern w:val="0"/>
                <w:sz w:val="24"/>
                <w:szCs w:val="24"/>
              </w:rPr>
              <w:t>1.78</w:t>
            </w:r>
          </w:p>
        </w:tc>
      </w:tr>
      <w:tr w:rsidR="00C370E0" w:rsidRPr="00264E55" w:rsidTr="00B05049">
        <w:trPr>
          <w:jc w:val="center"/>
        </w:trPr>
        <w:tc>
          <w:tcPr>
            <w:tcW w:w="720" w:type="dxa"/>
            <w:vAlign w:val="center"/>
          </w:tcPr>
          <w:p w:rsidR="00C370E0" w:rsidRPr="00232B03" w:rsidRDefault="00C370E0" w:rsidP="00C370E0">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C370E0" w:rsidRPr="00232B03" w:rsidRDefault="00C370E0" w:rsidP="00B05049">
            <w:pPr>
              <w:jc w:val="left"/>
              <w:rPr>
                <w:kern w:val="0"/>
                <w:sz w:val="24"/>
                <w:szCs w:val="24"/>
              </w:rPr>
            </w:pPr>
            <w:r w:rsidRPr="00232B03">
              <w:rPr>
                <w:color w:val="000000"/>
                <w:kern w:val="0"/>
                <w:sz w:val="24"/>
                <w:szCs w:val="24"/>
              </w:rPr>
              <w:t>其他资产</w:t>
            </w:r>
          </w:p>
        </w:tc>
        <w:tc>
          <w:tcPr>
            <w:tcW w:w="2977"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18,283.03</w:t>
            </w:r>
          </w:p>
        </w:tc>
        <w:tc>
          <w:tcPr>
            <w:tcW w:w="1843"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0.17</w:t>
            </w:r>
          </w:p>
        </w:tc>
      </w:tr>
      <w:tr w:rsidR="00C370E0" w:rsidRPr="00264E55" w:rsidTr="00B05049">
        <w:trPr>
          <w:jc w:val="center"/>
        </w:trPr>
        <w:tc>
          <w:tcPr>
            <w:tcW w:w="720" w:type="dxa"/>
            <w:vAlign w:val="center"/>
          </w:tcPr>
          <w:p w:rsidR="00C370E0" w:rsidRPr="00232B03" w:rsidRDefault="00C370E0" w:rsidP="00BF4727">
            <w:pPr>
              <w:spacing w:before="29" w:line="360" w:lineRule="auto"/>
              <w:ind w:left="17"/>
              <w:jc w:val="center"/>
              <w:rPr>
                <w:color w:val="000000"/>
                <w:kern w:val="0"/>
                <w:sz w:val="24"/>
                <w:szCs w:val="24"/>
              </w:rPr>
            </w:pPr>
            <w:r w:rsidRPr="00232B03">
              <w:rPr>
                <w:color w:val="000000"/>
                <w:kern w:val="0"/>
                <w:sz w:val="24"/>
                <w:szCs w:val="24"/>
              </w:rPr>
              <w:t>9</w:t>
            </w:r>
          </w:p>
        </w:tc>
        <w:tc>
          <w:tcPr>
            <w:tcW w:w="3357" w:type="dxa"/>
            <w:vAlign w:val="center"/>
          </w:tcPr>
          <w:p w:rsidR="00C370E0" w:rsidRPr="00232B03" w:rsidRDefault="00C370E0" w:rsidP="00B05049">
            <w:pPr>
              <w:jc w:val="left"/>
              <w:rPr>
                <w:kern w:val="0"/>
                <w:sz w:val="24"/>
                <w:szCs w:val="24"/>
              </w:rPr>
            </w:pPr>
            <w:r w:rsidRPr="00232B03">
              <w:rPr>
                <w:color w:val="000000"/>
                <w:kern w:val="0"/>
                <w:sz w:val="24"/>
                <w:szCs w:val="24"/>
              </w:rPr>
              <w:t>合计</w:t>
            </w:r>
          </w:p>
        </w:tc>
        <w:tc>
          <w:tcPr>
            <w:tcW w:w="2977"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10,583,618.08</w:t>
            </w:r>
          </w:p>
        </w:tc>
        <w:tc>
          <w:tcPr>
            <w:tcW w:w="1843" w:type="dxa"/>
            <w:vAlign w:val="center"/>
          </w:tcPr>
          <w:p w:rsidR="00C370E0" w:rsidRPr="00232B03" w:rsidRDefault="00C370E0"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p w:rsidR="008C2A4F" w:rsidRPr="00403A06" w:rsidRDefault="008C2A4F" w:rsidP="00403A06">
      <w:pPr>
        <w:spacing w:line="360" w:lineRule="auto"/>
        <w:ind w:firstLineChars="200" w:firstLine="480"/>
        <w:rPr>
          <w:color w:val="000000"/>
          <w:sz w:val="24"/>
          <w:szCs w:val="24"/>
        </w:rPr>
      </w:pPr>
      <w:r w:rsidRPr="00403A06">
        <w:rPr>
          <w:color w:val="000000"/>
          <w:sz w:val="24"/>
          <w:szCs w:val="24"/>
        </w:rPr>
        <w:t>本基金本报告期末未持有境内股票。</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lastRenderedPageBreak/>
        <w:t>本基金本报告期末未持有股票。</w:t>
      </w:r>
    </w:p>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499,950.00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4.73</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499,950.00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4.73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6006B1">
        <w:tc>
          <w:tcPr>
            <w:tcW w:w="959" w:type="dxa"/>
            <w:vAlign w:val="center"/>
          </w:tcPr>
          <w:p w:rsidR="006006B1" w:rsidRDefault="000329EB">
            <w:pPr>
              <w:jc w:val="center"/>
            </w:pPr>
            <w:r>
              <w:rPr>
                <w:color w:val="000000"/>
                <w:kern w:val="0"/>
                <w:sz w:val="24"/>
                <w:szCs w:val="24"/>
              </w:rPr>
              <w:t>1</w:t>
            </w:r>
          </w:p>
        </w:tc>
        <w:tc>
          <w:tcPr>
            <w:tcW w:w="1276" w:type="dxa"/>
            <w:vAlign w:val="center"/>
          </w:tcPr>
          <w:p w:rsidR="006006B1" w:rsidRDefault="000329EB">
            <w:pPr>
              <w:jc w:val="center"/>
            </w:pPr>
            <w:r>
              <w:rPr>
                <w:color w:val="000000"/>
                <w:kern w:val="0"/>
                <w:sz w:val="24"/>
                <w:szCs w:val="24"/>
              </w:rPr>
              <w:t>019611</w:t>
            </w:r>
          </w:p>
        </w:tc>
        <w:tc>
          <w:tcPr>
            <w:tcW w:w="1275" w:type="dxa"/>
            <w:vAlign w:val="center"/>
          </w:tcPr>
          <w:p w:rsidR="006006B1" w:rsidRDefault="000329EB">
            <w:pPr>
              <w:jc w:val="center"/>
            </w:pPr>
            <w:r>
              <w:rPr>
                <w:color w:val="000000"/>
                <w:kern w:val="0"/>
                <w:sz w:val="24"/>
                <w:szCs w:val="24"/>
              </w:rPr>
              <w:t>19</w:t>
            </w:r>
            <w:r>
              <w:rPr>
                <w:color w:val="000000"/>
                <w:kern w:val="0"/>
                <w:sz w:val="24"/>
                <w:szCs w:val="24"/>
              </w:rPr>
              <w:t>国债</w:t>
            </w:r>
            <w:r>
              <w:rPr>
                <w:color w:val="000000"/>
                <w:kern w:val="0"/>
                <w:sz w:val="24"/>
                <w:szCs w:val="24"/>
              </w:rPr>
              <w:t>01</w:t>
            </w:r>
          </w:p>
        </w:tc>
        <w:tc>
          <w:tcPr>
            <w:tcW w:w="1560" w:type="dxa"/>
            <w:vAlign w:val="center"/>
          </w:tcPr>
          <w:p w:rsidR="006006B1" w:rsidRDefault="000329EB">
            <w:pPr>
              <w:jc w:val="right"/>
            </w:pPr>
            <w:r>
              <w:rPr>
                <w:color w:val="000000"/>
                <w:kern w:val="0"/>
                <w:sz w:val="24"/>
                <w:szCs w:val="24"/>
              </w:rPr>
              <w:t>5,000</w:t>
            </w:r>
          </w:p>
        </w:tc>
        <w:tc>
          <w:tcPr>
            <w:tcW w:w="1984" w:type="dxa"/>
            <w:vAlign w:val="center"/>
          </w:tcPr>
          <w:p w:rsidR="006006B1" w:rsidRDefault="000329EB">
            <w:pPr>
              <w:jc w:val="right"/>
            </w:pPr>
            <w:r>
              <w:rPr>
                <w:color w:val="000000"/>
                <w:kern w:val="0"/>
                <w:sz w:val="24"/>
                <w:szCs w:val="24"/>
              </w:rPr>
              <w:t>499,950.00</w:t>
            </w:r>
          </w:p>
        </w:tc>
        <w:tc>
          <w:tcPr>
            <w:tcW w:w="1474" w:type="dxa"/>
            <w:vAlign w:val="center"/>
          </w:tcPr>
          <w:p w:rsidR="006006B1" w:rsidRDefault="000329EB">
            <w:pPr>
              <w:jc w:val="right"/>
            </w:pPr>
            <w:r>
              <w:rPr>
                <w:color w:val="000000"/>
                <w:kern w:val="0"/>
                <w:sz w:val="24"/>
                <w:szCs w:val="24"/>
              </w:rPr>
              <w:t>4.73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033E3E" w:rsidRDefault="00033E3E" w:rsidP="00033E3E">
      <w:pPr>
        <w:spacing w:line="360" w:lineRule="auto"/>
        <w:ind w:firstLineChars="200" w:firstLine="480"/>
        <w:rPr>
          <w:rFonts w:eastAsiaTheme="minorEastAsia"/>
          <w:color w:val="000000" w:themeColor="text1"/>
          <w:sz w:val="24"/>
        </w:rPr>
      </w:pPr>
      <w:r>
        <w:rPr>
          <w:rFonts w:eastAsiaTheme="minorEastAsia"/>
          <w:color w:val="000000" w:themeColor="text1"/>
          <w:sz w:val="24"/>
        </w:rPr>
        <w:lastRenderedPageBreak/>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C26ADA" w:rsidRDefault="00C26ADA" w:rsidP="00C26ADA">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5.11.2本基金本报告期没有投资股票，因此不存在投资的前十名股票超出基金合同规定的备选股票库情况。</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807.64</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8,238.97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9,236.42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18,283.03</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本基金本报告期末未持有股票。</w:t>
      </w:r>
    </w:p>
    <w:p w:rsidR="006A5FB3" w:rsidRPr="006A5FB3" w:rsidRDefault="006A5FB3" w:rsidP="006A5FB3">
      <w:pPr>
        <w:pStyle w:val="1"/>
        <w:spacing w:beforeLines="100" w:before="312" w:afterLines="100" w:after="312" w:line="360" w:lineRule="auto"/>
        <w:jc w:val="center"/>
        <w:rPr>
          <w:color w:val="000000"/>
          <w:kern w:val="0"/>
          <w:sz w:val="24"/>
          <w:szCs w:val="24"/>
        </w:rPr>
      </w:pPr>
      <w:r w:rsidRPr="006A5FB3">
        <w:rPr>
          <w:color w:val="000000"/>
          <w:kern w:val="0"/>
          <w:sz w:val="24"/>
          <w:szCs w:val="24"/>
        </w:rPr>
        <w:t>§6</w:t>
      </w:r>
      <w:r w:rsidR="006D75A5" w:rsidRPr="00264E55">
        <w:rPr>
          <w:rFonts w:ascii="宋体" w:hAnsi="宋体"/>
          <w:color w:val="000000"/>
          <w:kern w:val="0"/>
          <w:sz w:val="24"/>
          <w:szCs w:val="24"/>
        </w:rPr>
        <w:t xml:space="preserve">  </w:t>
      </w:r>
      <w:r w:rsidRPr="006A5FB3">
        <w:rPr>
          <w:color w:val="000000"/>
          <w:kern w:val="0"/>
          <w:sz w:val="24"/>
          <w:szCs w:val="24"/>
        </w:rPr>
        <w:t>基金中基金</w:t>
      </w:r>
    </w:p>
    <w:p w:rsidR="006A5FB3" w:rsidRPr="006A5FB3" w:rsidRDefault="006A5FB3" w:rsidP="006A5FB3">
      <w:pPr>
        <w:autoSpaceDE w:val="0"/>
        <w:autoSpaceDN w:val="0"/>
        <w:adjustRightInd w:val="0"/>
        <w:spacing w:line="360" w:lineRule="auto"/>
        <w:jc w:val="left"/>
        <w:rPr>
          <w:color w:val="000000"/>
          <w:sz w:val="24"/>
          <w:szCs w:val="24"/>
        </w:rPr>
      </w:pPr>
      <w:r w:rsidRPr="006A5FB3">
        <w:rPr>
          <w:color w:val="000000"/>
          <w:sz w:val="24"/>
          <w:szCs w:val="24"/>
        </w:rPr>
        <w:t xml:space="preserve">6.1 </w:t>
      </w:r>
      <w:r w:rsidRPr="006A5FB3">
        <w:rPr>
          <w:color w:val="000000"/>
          <w:sz w:val="24"/>
          <w:szCs w:val="24"/>
        </w:rPr>
        <w:t>报告期末按公允价值占基金资产净值比例大小排序的前十名基金投资明细</w:t>
      </w:r>
    </w:p>
    <w:tbl>
      <w:tblPr>
        <w:tblStyle w:val="af7"/>
        <w:tblW w:w="4863" w:type="pct"/>
        <w:tblInd w:w="108" w:type="dxa"/>
        <w:tblLayout w:type="fixed"/>
        <w:tblLook w:val="04A0" w:firstRow="1" w:lastRow="0" w:firstColumn="1" w:lastColumn="0" w:noHBand="0" w:noVBand="1"/>
      </w:tblPr>
      <w:tblGrid>
        <w:gridCol w:w="668"/>
        <w:gridCol w:w="1068"/>
        <w:gridCol w:w="1072"/>
        <w:gridCol w:w="1072"/>
        <w:gridCol w:w="1070"/>
        <w:gridCol w:w="1204"/>
        <w:gridCol w:w="1072"/>
        <w:gridCol w:w="1068"/>
      </w:tblGrid>
      <w:tr w:rsidR="006A5FB3" w:rsidRPr="006A5FB3" w:rsidTr="00F94C5F">
        <w:tc>
          <w:tcPr>
            <w:tcW w:w="403"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序号</w:t>
            </w:r>
          </w:p>
        </w:tc>
        <w:tc>
          <w:tcPr>
            <w:tcW w:w="644"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基金代码</w:t>
            </w:r>
          </w:p>
        </w:tc>
        <w:tc>
          <w:tcPr>
            <w:tcW w:w="64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基金名称</w:t>
            </w:r>
          </w:p>
        </w:tc>
        <w:tc>
          <w:tcPr>
            <w:tcW w:w="64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运作方式</w:t>
            </w:r>
          </w:p>
        </w:tc>
        <w:tc>
          <w:tcPr>
            <w:tcW w:w="645"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持有份额（份）</w:t>
            </w:r>
          </w:p>
        </w:tc>
        <w:tc>
          <w:tcPr>
            <w:tcW w:w="72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公允价值（元）</w:t>
            </w:r>
          </w:p>
        </w:tc>
        <w:tc>
          <w:tcPr>
            <w:tcW w:w="646"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t>占基金资产净值比例</w:t>
            </w:r>
            <w:r w:rsidRPr="006A5FB3">
              <w:rPr>
                <w:rFonts w:ascii="Times New Roman" w:hAnsi="Times New Roman" w:cs="Times New Roman"/>
              </w:rPr>
              <w:lastRenderedPageBreak/>
              <w:t>（</w:t>
            </w:r>
            <w:r w:rsidRPr="006A5FB3">
              <w:rPr>
                <w:rFonts w:ascii="Times New Roman" w:hAnsi="Times New Roman" w:cs="Times New Roman"/>
              </w:rPr>
              <w:t>%</w:t>
            </w:r>
            <w:r w:rsidRPr="006A5FB3">
              <w:rPr>
                <w:rFonts w:ascii="Times New Roman" w:hAnsi="Times New Roman" w:cs="Times New Roman"/>
              </w:rPr>
              <w:t>）</w:t>
            </w:r>
          </w:p>
        </w:tc>
        <w:tc>
          <w:tcPr>
            <w:tcW w:w="645" w:type="pct"/>
            <w:vAlign w:val="center"/>
          </w:tcPr>
          <w:p w:rsidR="006A5FB3" w:rsidRPr="006A5FB3" w:rsidRDefault="006A5FB3" w:rsidP="00F94C5F">
            <w:pPr>
              <w:pStyle w:val="Default"/>
              <w:spacing w:line="276" w:lineRule="auto"/>
              <w:jc w:val="center"/>
              <w:rPr>
                <w:rFonts w:ascii="Times New Roman" w:hAnsi="Times New Roman" w:cs="Times New Roman"/>
              </w:rPr>
            </w:pPr>
            <w:r w:rsidRPr="006A5FB3">
              <w:rPr>
                <w:rFonts w:ascii="Times New Roman" w:hAnsi="Times New Roman" w:cs="Times New Roman"/>
              </w:rPr>
              <w:lastRenderedPageBreak/>
              <w:t>是否属于基金管理人</w:t>
            </w:r>
            <w:r w:rsidRPr="006A5FB3">
              <w:rPr>
                <w:rFonts w:ascii="Times New Roman" w:hAnsi="Times New Roman" w:cs="Times New Roman"/>
              </w:rPr>
              <w:lastRenderedPageBreak/>
              <w:t>及管理人关联方所管理的基金</w:t>
            </w:r>
          </w:p>
        </w:tc>
      </w:tr>
      <w:tr w:rsidR="006006B1">
        <w:tc>
          <w:tcPr>
            <w:tcW w:w="668" w:type="dxa"/>
            <w:vAlign w:val="center"/>
          </w:tcPr>
          <w:p w:rsidR="006006B1" w:rsidRDefault="000329EB">
            <w:pPr>
              <w:jc w:val="center"/>
            </w:pPr>
            <w:r>
              <w:rPr>
                <w:sz w:val="24"/>
                <w:szCs w:val="24"/>
              </w:rPr>
              <w:lastRenderedPageBreak/>
              <w:t>1</w:t>
            </w:r>
          </w:p>
        </w:tc>
        <w:tc>
          <w:tcPr>
            <w:tcW w:w="1068" w:type="dxa"/>
            <w:vAlign w:val="center"/>
          </w:tcPr>
          <w:p w:rsidR="006006B1" w:rsidRDefault="000329EB">
            <w:pPr>
              <w:jc w:val="center"/>
            </w:pPr>
            <w:r>
              <w:rPr>
                <w:sz w:val="24"/>
                <w:szCs w:val="24"/>
              </w:rPr>
              <w:t>000147</w:t>
            </w:r>
          </w:p>
        </w:tc>
        <w:tc>
          <w:tcPr>
            <w:tcW w:w="1072" w:type="dxa"/>
            <w:vAlign w:val="center"/>
          </w:tcPr>
          <w:p w:rsidR="006006B1" w:rsidRDefault="000329EB">
            <w:pPr>
              <w:jc w:val="center"/>
            </w:pPr>
            <w:r>
              <w:rPr>
                <w:sz w:val="24"/>
                <w:szCs w:val="24"/>
              </w:rPr>
              <w:t>易方达高等级信用债债券</w:t>
            </w:r>
            <w:r>
              <w:rPr>
                <w:sz w:val="24"/>
                <w:szCs w:val="24"/>
              </w:rPr>
              <w:t>A</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1,616,682.82</w:t>
            </w:r>
          </w:p>
        </w:tc>
        <w:tc>
          <w:tcPr>
            <w:tcW w:w="1204" w:type="dxa"/>
            <w:vAlign w:val="center"/>
          </w:tcPr>
          <w:p w:rsidR="006006B1" w:rsidRDefault="000329EB">
            <w:pPr>
              <w:jc w:val="center"/>
            </w:pPr>
            <w:r>
              <w:rPr>
                <w:sz w:val="24"/>
                <w:szCs w:val="24"/>
              </w:rPr>
              <w:t>1,855,951.88</w:t>
            </w:r>
          </w:p>
        </w:tc>
        <w:tc>
          <w:tcPr>
            <w:tcW w:w="1072" w:type="dxa"/>
            <w:vAlign w:val="center"/>
          </w:tcPr>
          <w:p w:rsidR="006006B1" w:rsidRDefault="000329EB">
            <w:pPr>
              <w:jc w:val="center"/>
            </w:pPr>
            <w:r>
              <w:rPr>
                <w:sz w:val="24"/>
                <w:szCs w:val="24"/>
              </w:rPr>
              <w:t>17.57%</w:t>
            </w:r>
          </w:p>
        </w:tc>
        <w:tc>
          <w:tcPr>
            <w:tcW w:w="1068" w:type="dxa"/>
            <w:vAlign w:val="center"/>
          </w:tcPr>
          <w:p w:rsidR="006006B1" w:rsidRDefault="000329EB">
            <w:pPr>
              <w:jc w:val="center"/>
            </w:pPr>
            <w:r>
              <w:rPr>
                <w:sz w:val="24"/>
                <w:szCs w:val="24"/>
              </w:rPr>
              <w:t>是</w:t>
            </w:r>
          </w:p>
        </w:tc>
      </w:tr>
      <w:tr w:rsidR="006006B1">
        <w:tc>
          <w:tcPr>
            <w:tcW w:w="668" w:type="dxa"/>
            <w:vAlign w:val="center"/>
          </w:tcPr>
          <w:p w:rsidR="006006B1" w:rsidRDefault="000329EB">
            <w:pPr>
              <w:jc w:val="center"/>
            </w:pPr>
            <w:r>
              <w:rPr>
                <w:sz w:val="24"/>
                <w:szCs w:val="24"/>
              </w:rPr>
              <w:t>2</w:t>
            </w:r>
          </w:p>
        </w:tc>
        <w:tc>
          <w:tcPr>
            <w:tcW w:w="1068" w:type="dxa"/>
            <w:vAlign w:val="center"/>
          </w:tcPr>
          <w:p w:rsidR="006006B1" w:rsidRDefault="000329EB">
            <w:pPr>
              <w:jc w:val="center"/>
            </w:pPr>
            <w:r>
              <w:rPr>
                <w:sz w:val="24"/>
                <w:szCs w:val="24"/>
              </w:rPr>
              <w:t>000205</w:t>
            </w:r>
          </w:p>
        </w:tc>
        <w:tc>
          <w:tcPr>
            <w:tcW w:w="1072" w:type="dxa"/>
            <w:vAlign w:val="center"/>
          </w:tcPr>
          <w:p w:rsidR="006006B1" w:rsidRDefault="000329EB">
            <w:pPr>
              <w:jc w:val="center"/>
            </w:pPr>
            <w:r>
              <w:rPr>
                <w:sz w:val="24"/>
                <w:szCs w:val="24"/>
              </w:rPr>
              <w:t>易方达投资级信用债债券</w:t>
            </w:r>
            <w:r>
              <w:rPr>
                <w:sz w:val="24"/>
                <w:szCs w:val="24"/>
              </w:rPr>
              <w:t>A</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1,318,889.09</w:t>
            </w:r>
          </w:p>
        </w:tc>
        <w:tc>
          <w:tcPr>
            <w:tcW w:w="1204" w:type="dxa"/>
            <w:vAlign w:val="center"/>
          </w:tcPr>
          <w:p w:rsidR="006006B1" w:rsidRDefault="000329EB">
            <w:pPr>
              <w:jc w:val="center"/>
            </w:pPr>
            <w:r>
              <w:rPr>
                <w:sz w:val="24"/>
                <w:szCs w:val="24"/>
              </w:rPr>
              <w:t>1,506,171.34</w:t>
            </w:r>
          </w:p>
        </w:tc>
        <w:tc>
          <w:tcPr>
            <w:tcW w:w="1072" w:type="dxa"/>
            <w:vAlign w:val="center"/>
          </w:tcPr>
          <w:p w:rsidR="006006B1" w:rsidRDefault="000329EB">
            <w:pPr>
              <w:jc w:val="center"/>
            </w:pPr>
            <w:r>
              <w:rPr>
                <w:sz w:val="24"/>
                <w:szCs w:val="24"/>
              </w:rPr>
              <w:t>14.26%</w:t>
            </w:r>
          </w:p>
        </w:tc>
        <w:tc>
          <w:tcPr>
            <w:tcW w:w="1068" w:type="dxa"/>
            <w:vAlign w:val="center"/>
          </w:tcPr>
          <w:p w:rsidR="006006B1" w:rsidRDefault="000329EB">
            <w:pPr>
              <w:jc w:val="center"/>
            </w:pPr>
            <w:r>
              <w:rPr>
                <w:sz w:val="24"/>
                <w:szCs w:val="24"/>
              </w:rPr>
              <w:t>是</w:t>
            </w:r>
          </w:p>
        </w:tc>
      </w:tr>
      <w:tr w:rsidR="006006B1">
        <w:tc>
          <w:tcPr>
            <w:tcW w:w="668" w:type="dxa"/>
            <w:vAlign w:val="center"/>
          </w:tcPr>
          <w:p w:rsidR="006006B1" w:rsidRDefault="000329EB">
            <w:pPr>
              <w:jc w:val="center"/>
            </w:pPr>
            <w:r>
              <w:rPr>
                <w:sz w:val="24"/>
                <w:szCs w:val="24"/>
              </w:rPr>
              <w:t>3</w:t>
            </w:r>
          </w:p>
        </w:tc>
        <w:tc>
          <w:tcPr>
            <w:tcW w:w="1068" w:type="dxa"/>
            <w:vAlign w:val="center"/>
          </w:tcPr>
          <w:p w:rsidR="006006B1" w:rsidRDefault="000329EB">
            <w:pPr>
              <w:jc w:val="center"/>
            </w:pPr>
            <w:r>
              <w:rPr>
                <w:sz w:val="24"/>
                <w:szCs w:val="24"/>
              </w:rPr>
              <w:t>217011</w:t>
            </w:r>
          </w:p>
        </w:tc>
        <w:tc>
          <w:tcPr>
            <w:tcW w:w="1072" w:type="dxa"/>
            <w:vAlign w:val="center"/>
          </w:tcPr>
          <w:p w:rsidR="006006B1" w:rsidRDefault="000329EB">
            <w:pPr>
              <w:jc w:val="center"/>
            </w:pPr>
            <w:r>
              <w:rPr>
                <w:sz w:val="24"/>
                <w:szCs w:val="24"/>
              </w:rPr>
              <w:t>招商安心收益债券</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660,501.98</w:t>
            </w:r>
          </w:p>
        </w:tc>
        <w:tc>
          <w:tcPr>
            <w:tcW w:w="1204" w:type="dxa"/>
            <w:vAlign w:val="center"/>
          </w:tcPr>
          <w:p w:rsidR="006006B1" w:rsidRDefault="000329EB">
            <w:pPr>
              <w:jc w:val="center"/>
            </w:pPr>
            <w:r>
              <w:rPr>
                <w:sz w:val="24"/>
                <w:szCs w:val="24"/>
              </w:rPr>
              <w:t>1,017,833.55</w:t>
            </w:r>
          </w:p>
        </w:tc>
        <w:tc>
          <w:tcPr>
            <w:tcW w:w="1072" w:type="dxa"/>
            <w:vAlign w:val="center"/>
          </w:tcPr>
          <w:p w:rsidR="006006B1" w:rsidRDefault="000329EB">
            <w:pPr>
              <w:jc w:val="center"/>
            </w:pPr>
            <w:r>
              <w:rPr>
                <w:sz w:val="24"/>
                <w:szCs w:val="24"/>
              </w:rPr>
              <w:t>9.63%</w:t>
            </w:r>
          </w:p>
        </w:tc>
        <w:tc>
          <w:tcPr>
            <w:tcW w:w="1068" w:type="dxa"/>
            <w:vAlign w:val="center"/>
          </w:tcPr>
          <w:p w:rsidR="006006B1" w:rsidRDefault="000329EB">
            <w:pPr>
              <w:jc w:val="center"/>
            </w:pPr>
            <w:r>
              <w:rPr>
                <w:sz w:val="24"/>
                <w:szCs w:val="24"/>
              </w:rPr>
              <w:t>否</w:t>
            </w:r>
          </w:p>
        </w:tc>
      </w:tr>
      <w:tr w:rsidR="006006B1">
        <w:tc>
          <w:tcPr>
            <w:tcW w:w="668" w:type="dxa"/>
            <w:vAlign w:val="center"/>
          </w:tcPr>
          <w:p w:rsidR="006006B1" w:rsidRDefault="000329EB">
            <w:pPr>
              <w:jc w:val="center"/>
            </w:pPr>
            <w:r>
              <w:rPr>
                <w:sz w:val="24"/>
                <w:szCs w:val="24"/>
              </w:rPr>
              <w:t>4</w:t>
            </w:r>
          </w:p>
        </w:tc>
        <w:tc>
          <w:tcPr>
            <w:tcW w:w="1068" w:type="dxa"/>
            <w:vAlign w:val="center"/>
          </w:tcPr>
          <w:p w:rsidR="006006B1" w:rsidRDefault="000329EB">
            <w:pPr>
              <w:jc w:val="center"/>
            </w:pPr>
            <w:r>
              <w:rPr>
                <w:sz w:val="24"/>
                <w:szCs w:val="24"/>
              </w:rPr>
              <w:t>000191</w:t>
            </w:r>
          </w:p>
        </w:tc>
        <w:tc>
          <w:tcPr>
            <w:tcW w:w="1072" w:type="dxa"/>
            <w:vAlign w:val="center"/>
          </w:tcPr>
          <w:p w:rsidR="006006B1" w:rsidRDefault="000329EB">
            <w:pPr>
              <w:jc w:val="center"/>
            </w:pPr>
            <w:r>
              <w:rPr>
                <w:sz w:val="24"/>
                <w:szCs w:val="24"/>
              </w:rPr>
              <w:t>富国信用债债券</w:t>
            </w:r>
            <w:r>
              <w:rPr>
                <w:sz w:val="24"/>
                <w:szCs w:val="24"/>
              </w:rPr>
              <w:t>A</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950,818.35</w:t>
            </w:r>
          </w:p>
        </w:tc>
        <w:tc>
          <w:tcPr>
            <w:tcW w:w="1204" w:type="dxa"/>
            <w:vAlign w:val="center"/>
          </w:tcPr>
          <w:p w:rsidR="006006B1" w:rsidRDefault="000329EB">
            <w:pPr>
              <w:jc w:val="center"/>
            </w:pPr>
            <w:r>
              <w:rPr>
                <w:sz w:val="24"/>
                <w:szCs w:val="24"/>
              </w:rPr>
              <w:t>1,017,470.72</w:t>
            </w:r>
          </w:p>
        </w:tc>
        <w:tc>
          <w:tcPr>
            <w:tcW w:w="1072" w:type="dxa"/>
            <w:vAlign w:val="center"/>
          </w:tcPr>
          <w:p w:rsidR="006006B1" w:rsidRDefault="000329EB">
            <w:pPr>
              <w:jc w:val="center"/>
            </w:pPr>
            <w:r>
              <w:rPr>
                <w:sz w:val="24"/>
                <w:szCs w:val="24"/>
              </w:rPr>
              <w:t>9.63%</w:t>
            </w:r>
          </w:p>
        </w:tc>
        <w:tc>
          <w:tcPr>
            <w:tcW w:w="1068" w:type="dxa"/>
            <w:vAlign w:val="center"/>
          </w:tcPr>
          <w:p w:rsidR="006006B1" w:rsidRDefault="000329EB">
            <w:pPr>
              <w:jc w:val="center"/>
            </w:pPr>
            <w:r>
              <w:rPr>
                <w:sz w:val="24"/>
                <w:szCs w:val="24"/>
              </w:rPr>
              <w:t>否</w:t>
            </w:r>
          </w:p>
        </w:tc>
      </w:tr>
      <w:tr w:rsidR="006006B1">
        <w:tc>
          <w:tcPr>
            <w:tcW w:w="668" w:type="dxa"/>
            <w:vAlign w:val="center"/>
          </w:tcPr>
          <w:p w:rsidR="006006B1" w:rsidRDefault="000329EB">
            <w:pPr>
              <w:jc w:val="center"/>
            </w:pPr>
            <w:r>
              <w:rPr>
                <w:sz w:val="24"/>
                <w:szCs w:val="24"/>
              </w:rPr>
              <w:t>5</w:t>
            </w:r>
          </w:p>
        </w:tc>
        <w:tc>
          <w:tcPr>
            <w:tcW w:w="1068" w:type="dxa"/>
            <w:vAlign w:val="center"/>
          </w:tcPr>
          <w:p w:rsidR="006006B1" w:rsidRDefault="000329EB">
            <w:pPr>
              <w:jc w:val="center"/>
            </w:pPr>
            <w:r>
              <w:rPr>
                <w:sz w:val="24"/>
                <w:szCs w:val="24"/>
              </w:rPr>
              <w:t>000754</w:t>
            </w:r>
          </w:p>
        </w:tc>
        <w:tc>
          <w:tcPr>
            <w:tcW w:w="1072" w:type="dxa"/>
            <w:vAlign w:val="center"/>
          </w:tcPr>
          <w:p w:rsidR="006006B1" w:rsidRDefault="000329EB">
            <w:pPr>
              <w:jc w:val="center"/>
            </w:pPr>
            <w:r>
              <w:rPr>
                <w:sz w:val="24"/>
                <w:szCs w:val="24"/>
              </w:rPr>
              <w:t>华宝量化对冲混合</w:t>
            </w:r>
            <w:r>
              <w:rPr>
                <w:sz w:val="24"/>
                <w:szCs w:val="24"/>
              </w:rPr>
              <w:t>C</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907,929.86</w:t>
            </w:r>
          </w:p>
        </w:tc>
        <w:tc>
          <w:tcPr>
            <w:tcW w:w="1204" w:type="dxa"/>
            <w:vAlign w:val="center"/>
          </w:tcPr>
          <w:p w:rsidR="006006B1" w:rsidRDefault="000329EB">
            <w:pPr>
              <w:jc w:val="center"/>
            </w:pPr>
            <w:r>
              <w:rPr>
                <w:sz w:val="24"/>
                <w:szCs w:val="24"/>
              </w:rPr>
              <w:t>1,000,084.74</w:t>
            </w:r>
          </w:p>
        </w:tc>
        <w:tc>
          <w:tcPr>
            <w:tcW w:w="1072" w:type="dxa"/>
            <w:vAlign w:val="center"/>
          </w:tcPr>
          <w:p w:rsidR="006006B1" w:rsidRDefault="000329EB">
            <w:pPr>
              <w:jc w:val="center"/>
            </w:pPr>
            <w:r>
              <w:rPr>
                <w:sz w:val="24"/>
                <w:szCs w:val="24"/>
              </w:rPr>
              <w:t>9.47%</w:t>
            </w:r>
          </w:p>
        </w:tc>
        <w:tc>
          <w:tcPr>
            <w:tcW w:w="1068" w:type="dxa"/>
            <w:vAlign w:val="center"/>
          </w:tcPr>
          <w:p w:rsidR="006006B1" w:rsidRDefault="000329EB">
            <w:pPr>
              <w:jc w:val="center"/>
            </w:pPr>
            <w:r>
              <w:rPr>
                <w:sz w:val="24"/>
                <w:szCs w:val="24"/>
              </w:rPr>
              <w:t>否</w:t>
            </w:r>
          </w:p>
        </w:tc>
      </w:tr>
      <w:tr w:rsidR="006006B1">
        <w:tc>
          <w:tcPr>
            <w:tcW w:w="668" w:type="dxa"/>
            <w:vAlign w:val="center"/>
          </w:tcPr>
          <w:p w:rsidR="006006B1" w:rsidRDefault="000329EB">
            <w:pPr>
              <w:jc w:val="center"/>
            </w:pPr>
            <w:r>
              <w:rPr>
                <w:sz w:val="24"/>
                <w:szCs w:val="24"/>
              </w:rPr>
              <w:t>6</w:t>
            </w:r>
          </w:p>
        </w:tc>
        <w:tc>
          <w:tcPr>
            <w:tcW w:w="1068" w:type="dxa"/>
            <w:vAlign w:val="center"/>
          </w:tcPr>
          <w:p w:rsidR="006006B1" w:rsidRDefault="000329EB">
            <w:pPr>
              <w:jc w:val="center"/>
            </w:pPr>
            <w:r>
              <w:rPr>
                <w:sz w:val="24"/>
                <w:szCs w:val="24"/>
              </w:rPr>
              <w:t>110037</w:t>
            </w:r>
          </w:p>
        </w:tc>
        <w:tc>
          <w:tcPr>
            <w:tcW w:w="1072" w:type="dxa"/>
            <w:vAlign w:val="center"/>
          </w:tcPr>
          <w:p w:rsidR="006006B1" w:rsidRDefault="000329EB">
            <w:pPr>
              <w:jc w:val="center"/>
            </w:pPr>
            <w:r>
              <w:rPr>
                <w:sz w:val="24"/>
                <w:szCs w:val="24"/>
              </w:rPr>
              <w:t>易方达纯债债券</w:t>
            </w:r>
            <w:r>
              <w:rPr>
                <w:sz w:val="24"/>
                <w:szCs w:val="24"/>
              </w:rPr>
              <w:t>A</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881,834.22</w:t>
            </w:r>
          </w:p>
        </w:tc>
        <w:tc>
          <w:tcPr>
            <w:tcW w:w="1204" w:type="dxa"/>
            <w:vAlign w:val="center"/>
          </w:tcPr>
          <w:p w:rsidR="006006B1" w:rsidRDefault="000329EB">
            <w:pPr>
              <w:jc w:val="center"/>
            </w:pPr>
            <w:r>
              <w:rPr>
                <w:sz w:val="24"/>
                <w:szCs w:val="24"/>
              </w:rPr>
              <w:t>983,245.16</w:t>
            </w:r>
          </w:p>
        </w:tc>
        <w:tc>
          <w:tcPr>
            <w:tcW w:w="1072" w:type="dxa"/>
            <w:vAlign w:val="center"/>
          </w:tcPr>
          <w:p w:rsidR="006006B1" w:rsidRDefault="000329EB">
            <w:pPr>
              <w:jc w:val="center"/>
            </w:pPr>
            <w:r>
              <w:rPr>
                <w:sz w:val="24"/>
                <w:szCs w:val="24"/>
              </w:rPr>
              <w:t>9.31%</w:t>
            </w:r>
          </w:p>
        </w:tc>
        <w:tc>
          <w:tcPr>
            <w:tcW w:w="1068" w:type="dxa"/>
            <w:vAlign w:val="center"/>
          </w:tcPr>
          <w:p w:rsidR="006006B1" w:rsidRDefault="000329EB">
            <w:pPr>
              <w:jc w:val="center"/>
            </w:pPr>
            <w:r>
              <w:rPr>
                <w:sz w:val="24"/>
                <w:szCs w:val="24"/>
              </w:rPr>
              <w:t>是</w:t>
            </w:r>
          </w:p>
        </w:tc>
      </w:tr>
      <w:tr w:rsidR="006006B1">
        <w:tc>
          <w:tcPr>
            <w:tcW w:w="668" w:type="dxa"/>
            <w:vAlign w:val="center"/>
          </w:tcPr>
          <w:p w:rsidR="006006B1" w:rsidRDefault="000329EB">
            <w:pPr>
              <w:jc w:val="center"/>
            </w:pPr>
            <w:r>
              <w:rPr>
                <w:sz w:val="24"/>
                <w:szCs w:val="24"/>
              </w:rPr>
              <w:t>7</w:t>
            </w:r>
          </w:p>
        </w:tc>
        <w:tc>
          <w:tcPr>
            <w:tcW w:w="1068" w:type="dxa"/>
            <w:vAlign w:val="center"/>
          </w:tcPr>
          <w:p w:rsidR="006006B1" w:rsidRDefault="000329EB">
            <w:pPr>
              <w:jc w:val="center"/>
            </w:pPr>
            <w:r>
              <w:rPr>
                <w:sz w:val="24"/>
                <w:szCs w:val="24"/>
              </w:rPr>
              <w:t>519062</w:t>
            </w:r>
          </w:p>
        </w:tc>
        <w:tc>
          <w:tcPr>
            <w:tcW w:w="1072" w:type="dxa"/>
            <w:vAlign w:val="center"/>
          </w:tcPr>
          <w:p w:rsidR="006006B1" w:rsidRDefault="000329EB">
            <w:pPr>
              <w:jc w:val="center"/>
            </w:pPr>
            <w:r>
              <w:rPr>
                <w:sz w:val="24"/>
                <w:szCs w:val="24"/>
              </w:rPr>
              <w:t>海富通阿尔法对冲混合</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390,650.33</w:t>
            </w:r>
          </w:p>
        </w:tc>
        <w:tc>
          <w:tcPr>
            <w:tcW w:w="1204" w:type="dxa"/>
            <w:vAlign w:val="center"/>
          </w:tcPr>
          <w:p w:rsidR="006006B1" w:rsidRDefault="000329EB">
            <w:pPr>
              <w:jc w:val="center"/>
            </w:pPr>
            <w:r>
              <w:rPr>
                <w:sz w:val="24"/>
                <w:szCs w:val="24"/>
              </w:rPr>
              <w:t>499,641.77</w:t>
            </w:r>
          </w:p>
        </w:tc>
        <w:tc>
          <w:tcPr>
            <w:tcW w:w="1072" w:type="dxa"/>
            <w:vAlign w:val="center"/>
          </w:tcPr>
          <w:p w:rsidR="006006B1" w:rsidRDefault="000329EB">
            <w:pPr>
              <w:jc w:val="center"/>
            </w:pPr>
            <w:r>
              <w:rPr>
                <w:sz w:val="24"/>
                <w:szCs w:val="24"/>
              </w:rPr>
              <w:t>4.73%</w:t>
            </w:r>
          </w:p>
        </w:tc>
        <w:tc>
          <w:tcPr>
            <w:tcW w:w="1068" w:type="dxa"/>
            <w:vAlign w:val="center"/>
          </w:tcPr>
          <w:p w:rsidR="006006B1" w:rsidRDefault="000329EB">
            <w:pPr>
              <w:jc w:val="center"/>
            </w:pPr>
            <w:r>
              <w:rPr>
                <w:sz w:val="24"/>
                <w:szCs w:val="24"/>
              </w:rPr>
              <w:t>否</w:t>
            </w:r>
          </w:p>
        </w:tc>
      </w:tr>
      <w:tr w:rsidR="006006B1">
        <w:tc>
          <w:tcPr>
            <w:tcW w:w="668" w:type="dxa"/>
            <w:vAlign w:val="center"/>
          </w:tcPr>
          <w:p w:rsidR="006006B1" w:rsidRDefault="000329EB">
            <w:pPr>
              <w:jc w:val="center"/>
            </w:pPr>
            <w:r>
              <w:rPr>
                <w:sz w:val="24"/>
                <w:szCs w:val="24"/>
              </w:rPr>
              <w:t>8</w:t>
            </w:r>
          </w:p>
        </w:tc>
        <w:tc>
          <w:tcPr>
            <w:tcW w:w="1068" w:type="dxa"/>
            <w:vAlign w:val="center"/>
          </w:tcPr>
          <w:p w:rsidR="006006B1" w:rsidRDefault="000329EB">
            <w:pPr>
              <w:jc w:val="center"/>
            </w:pPr>
            <w:r>
              <w:rPr>
                <w:sz w:val="24"/>
                <w:szCs w:val="24"/>
              </w:rPr>
              <w:t>510900</w:t>
            </w:r>
          </w:p>
        </w:tc>
        <w:tc>
          <w:tcPr>
            <w:tcW w:w="1072" w:type="dxa"/>
            <w:vAlign w:val="center"/>
          </w:tcPr>
          <w:p w:rsidR="006006B1" w:rsidRDefault="000329EB">
            <w:pPr>
              <w:jc w:val="center"/>
            </w:pPr>
            <w:r>
              <w:rPr>
                <w:sz w:val="24"/>
                <w:szCs w:val="24"/>
              </w:rPr>
              <w:t>易方达恒生中国企业</w:t>
            </w:r>
            <w:r>
              <w:rPr>
                <w:sz w:val="24"/>
                <w:szCs w:val="24"/>
              </w:rPr>
              <w:t>ETF(QDII)</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400,000.00</w:t>
            </w:r>
          </w:p>
        </w:tc>
        <w:tc>
          <w:tcPr>
            <w:tcW w:w="1204" w:type="dxa"/>
            <w:vAlign w:val="center"/>
          </w:tcPr>
          <w:p w:rsidR="006006B1" w:rsidRDefault="000329EB">
            <w:pPr>
              <w:jc w:val="center"/>
            </w:pPr>
            <w:r>
              <w:rPr>
                <w:sz w:val="24"/>
                <w:szCs w:val="24"/>
              </w:rPr>
              <w:t>474,000.00</w:t>
            </w:r>
          </w:p>
        </w:tc>
        <w:tc>
          <w:tcPr>
            <w:tcW w:w="1072" w:type="dxa"/>
            <w:vAlign w:val="center"/>
          </w:tcPr>
          <w:p w:rsidR="006006B1" w:rsidRDefault="000329EB">
            <w:pPr>
              <w:jc w:val="center"/>
            </w:pPr>
            <w:r>
              <w:rPr>
                <w:sz w:val="24"/>
                <w:szCs w:val="24"/>
              </w:rPr>
              <w:t>4.49%</w:t>
            </w:r>
          </w:p>
        </w:tc>
        <w:tc>
          <w:tcPr>
            <w:tcW w:w="1068" w:type="dxa"/>
            <w:vAlign w:val="center"/>
          </w:tcPr>
          <w:p w:rsidR="006006B1" w:rsidRDefault="000329EB">
            <w:pPr>
              <w:jc w:val="center"/>
            </w:pPr>
            <w:r>
              <w:rPr>
                <w:sz w:val="24"/>
                <w:szCs w:val="24"/>
              </w:rPr>
              <w:t>是</w:t>
            </w:r>
          </w:p>
        </w:tc>
      </w:tr>
      <w:tr w:rsidR="006006B1">
        <w:tc>
          <w:tcPr>
            <w:tcW w:w="668" w:type="dxa"/>
            <w:vAlign w:val="center"/>
          </w:tcPr>
          <w:p w:rsidR="006006B1" w:rsidRDefault="000329EB">
            <w:pPr>
              <w:jc w:val="center"/>
            </w:pPr>
            <w:r>
              <w:rPr>
                <w:sz w:val="24"/>
                <w:szCs w:val="24"/>
              </w:rPr>
              <w:t>9</w:t>
            </w:r>
          </w:p>
        </w:tc>
        <w:tc>
          <w:tcPr>
            <w:tcW w:w="1068" w:type="dxa"/>
            <w:vAlign w:val="center"/>
          </w:tcPr>
          <w:p w:rsidR="006006B1" w:rsidRDefault="000329EB">
            <w:pPr>
              <w:jc w:val="center"/>
            </w:pPr>
            <w:r>
              <w:rPr>
                <w:sz w:val="24"/>
                <w:szCs w:val="24"/>
              </w:rPr>
              <w:t>001073</w:t>
            </w:r>
          </w:p>
        </w:tc>
        <w:tc>
          <w:tcPr>
            <w:tcW w:w="1072" w:type="dxa"/>
            <w:vAlign w:val="center"/>
          </w:tcPr>
          <w:p w:rsidR="006006B1" w:rsidRDefault="000329EB">
            <w:pPr>
              <w:jc w:val="center"/>
            </w:pPr>
            <w:r>
              <w:rPr>
                <w:sz w:val="24"/>
                <w:szCs w:val="24"/>
              </w:rPr>
              <w:t>华泰柏瑞量化绝对收益混合</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260,733.53</w:t>
            </w:r>
          </w:p>
        </w:tc>
        <w:tc>
          <w:tcPr>
            <w:tcW w:w="1204" w:type="dxa"/>
            <w:vAlign w:val="center"/>
          </w:tcPr>
          <w:p w:rsidR="006006B1" w:rsidRDefault="000329EB">
            <w:pPr>
              <w:jc w:val="center"/>
            </w:pPr>
            <w:r>
              <w:rPr>
                <w:sz w:val="24"/>
                <w:szCs w:val="24"/>
              </w:rPr>
              <w:t>300,026.07</w:t>
            </w:r>
          </w:p>
        </w:tc>
        <w:tc>
          <w:tcPr>
            <w:tcW w:w="1072" w:type="dxa"/>
            <w:vAlign w:val="center"/>
          </w:tcPr>
          <w:p w:rsidR="006006B1" w:rsidRDefault="000329EB">
            <w:pPr>
              <w:jc w:val="center"/>
            </w:pPr>
            <w:r>
              <w:rPr>
                <w:sz w:val="24"/>
                <w:szCs w:val="24"/>
              </w:rPr>
              <w:t>2.84%</w:t>
            </w:r>
          </w:p>
        </w:tc>
        <w:tc>
          <w:tcPr>
            <w:tcW w:w="1068" w:type="dxa"/>
            <w:vAlign w:val="center"/>
          </w:tcPr>
          <w:p w:rsidR="006006B1" w:rsidRDefault="000329EB">
            <w:pPr>
              <w:jc w:val="center"/>
            </w:pPr>
            <w:r>
              <w:rPr>
                <w:sz w:val="24"/>
                <w:szCs w:val="24"/>
              </w:rPr>
              <w:t>否</w:t>
            </w:r>
          </w:p>
        </w:tc>
      </w:tr>
      <w:tr w:rsidR="006006B1">
        <w:tc>
          <w:tcPr>
            <w:tcW w:w="668" w:type="dxa"/>
            <w:vAlign w:val="center"/>
          </w:tcPr>
          <w:p w:rsidR="006006B1" w:rsidRDefault="000329EB">
            <w:pPr>
              <w:jc w:val="center"/>
            </w:pPr>
            <w:r>
              <w:rPr>
                <w:sz w:val="24"/>
                <w:szCs w:val="24"/>
              </w:rPr>
              <w:t>10</w:t>
            </w:r>
          </w:p>
        </w:tc>
        <w:tc>
          <w:tcPr>
            <w:tcW w:w="1068" w:type="dxa"/>
            <w:vAlign w:val="center"/>
          </w:tcPr>
          <w:p w:rsidR="006006B1" w:rsidRDefault="000329EB">
            <w:pPr>
              <w:jc w:val="center"/>
            </w:pPr>
            <w:r>
              <w:rPr>
                <w:sz w:val="24"/>
                <w:szCs w:val="24"/>
              </w:rPr>
              <w:t>110011</w:t>
            </w:r>
          </w:p>
        </w:tc>
        <w:tc>
          <w:tcPr>
            <w:tcW w:w="1072" w:type="dxa"/>
            <w:vAlign w:val="center"/>
          </w:tcPr>
          <w:p w:rsidR="006006B1" w:rsidRDefault="000329EB">
            <w:pPr>
              <w:jc w:val="center"/>
            </w:pPr>
            <w:r>
              <w:rPr>
                <w:sz w:val="24"/>
                <w:szCs w:val="24"/>
              </w:rPr>
              <w:t>易方达中小盘混合</w:t>
            </w:r>
          </w:p>
        </w:tc>
        <w:tc>
          <w:tcPr>
            <w:tcW w:w="1072" w:type="dxa"/>
            <w:vAlign w:val="center"/>
          </w:tcPr>
          <w:p w:rsidR="006006B1" w:rsidRDefault="000329EB">
            <w:pPr>
              <w:jc w:val="center"/>
            </w:pPr>
            <w:r>
              <w:rPr>
                <w:sz w:val="24"/>
                <w:szCs w:val="24"/>
              </w:rPr>
              <w:t>契约型开放式</w:t>
            </w:r>
          </w:p>
        </w:tc>
        <w:tc>
          <w:tcPr>
            <w:tcW w:w="1070" w:type="dxa"/>
            <w:vAlign w:val="center"/>
          </w:tcPr>
          <w:p w:rsidR="006006B1" w:rsidRDefault="000329EB">
            <w:pPr>
              <w:jc w:val="center"/>
            </w:pPr>
            <w:r>
              <w:rPr>
                <w:sz w:val="24"/>
                <w:szCs w:val="24"/>
              </w:rPr>
              <w:t>41,974.48</w:t>
            </w:r>
          </w:p>
        </w:tc>
        <w:tc>
          <w:tcPr>
            <w:tcW w:w="1204" w:type="dxa"/>
            <w:vAlign w:val="center"/>
          </w:tcPr>
          <w:p w:rsidR="006006B1" w:rsidRDefault="000329EB">
            <w:pPr>
              <w:jc w:val="center"/>
            </w:pPr>
            <w:r>
              <w:rPr>
                <w:sz w:val="24"/>
                <w:szCs w:val="24"/>
              </w:rPr>
              <w:t>219,497.15</w:t>
            </w:r>
          </w:p>
        </w:tc>
        <w:tc>
          <w:tcPr>
            <w:tcW w:w="1072" w:type="dxa"/>
            <w:vAlign w:val="center"/>
          </w:tcPr>
          <w:p w:rsidR="006006B1" w:rsidRDefault="000329EB">
            <w:pPr>
              <w:jc w:val="center"/>
            </w:pPr>
            <w:r>
              <w:rPr>
                <w:sz w:val="24"/>
                <w:szCs w:val="24"/>
              </w:rPr>
              <w:t>2.08%</w:t>
            </w:r>
          </w:p>
        </w:tc>
        <w:tc>
          <w:tcPr>
            <w:tcW w:w="1068" w:type="dxa"/>
            <w:vAlign w:val="center"/>
          </w:tcPr>
          <w:p w:rsidR="006006B1" w:rsidRDefault="000329EB">
            <w:pPr>
              <w:jc w:val="center"/>
            </w:pPr>
            <w:r>
              <w:rPr>
                <w:sz w:val="24"/>
                <w:szCs w:val="24"/>
              </w:rPr>
              <w:t>是</w:t>
            </w:r>
          </w:p>
        </w:tc>
      </w:tr>
    </w:tbl>
    <w:p w:rsidR="006A5FB3" w:rsidRPr="006A5FB3" w:rsidRDefault="006A5FB3" w:rsidP="006A5FB3">
      <w:pPr>
        <w:autoSpaceDE w:val="0"/>
        <w:autoSpaceDN w:val="0"/>
        <w:adjustRightInd w:val="0"/>
        <w:spacing w:line="360" w:lineRule="auto"/>
        <w:jc w:val="left"/>
        <w:rPr>
          <w:color w:val="000000"/>
          <w:sz w:val="24"/>
          <w:szCs w:val="24"/>
        </w:rPr>
      </w:pPr>
      <w:r w:rsidRPr="006A5FB3">
        <w:rPr>
          <w:color w:val="000000"/>
          <w:sz w:val="24"/>
          <w:szCs w:val="24"/>
        </w:rPr>
        <w:t xml:space="preserve">6.2 </w:t>
      </w:r>
      <w:r w:rsidRPr="006A5FB3">
        <w:rPr>
          <w:color w:val="000000"/>
          <w:sz w:val="24"/>
          <w:szCs w:val="24"/>
        </w:rPr>
        <w:t>当期交易及持有基金产生的费用</w:t>
      </w:r>
    </w:p>
    <w:tbl>
      <w:tblPr>
        <w:tblStyle w:val="af7"/>
        <w:tblW w:w="8364" w:type="dxa"/>
        <w:tblInd w:w="108" w:type="dxa"/>
        <w:tblLayout w:type="fixed"/>
        <w:tblLook w:val="04A0" w:firstRow="1" w:lastRow="0" w:firstColumn="1" w:lastColumn="0" w:noHBand="0" w:noVBand="1"/>
      </w:tblPr>
      <w:tblGrid>
        <w:gridCol w:w="2410"/>
        <w:gridCol w:w="2835"/>
        <w:gridCol w:w="3119"/>
      </w:tblGrid>
      <w:tr w:rsidR="006A5FB3" w:rsidRPr="006A5FB3" w:rsidTr="006D75A5">
        <w:tc>
          <w:tcPr>
            <w:tcW w:w="2410" w:type="dxa"/>
            <w:vAlign w:val="center"/>
          </w:tcPr>
          <w:p w:rsidR="006A5FB3" w:rsidRPr="006A5FB3" w:rsidRDefault="006A5FB3" w:rsidP="006A5FB3">
            <w:pPr>
              <w:adjustRightInd w:val="0"/>
              <w:snapToGrid w:val="0"/>
              <w:spacing w:beforeLines="50" w:before="156"/>
              <w:jc w:val="center"/>
              <w:rPr>
                <w:color w:val="000000" w:themeColor="text1"/>
                <w:sz w:val="24"/>
                <w:szCs w:val="24"/>
              </w:rPr>
            </w:pPr>
            <w:r w:rsidRPr="006A5FB3">
              <w:rPr>
                <w:sz w:val="24"/>
                <w:szCs w:val="24"/>
              </w:rPr>
              <w:lastRenderedPageBreak/>
              <w:t>项目</w:t>
            </w:r>
          </w:p>
        </w:tc>
        <w:tc>
          <w:tcPr>
            <w:tcW w:w="2835" w:type="dxa"/>
            <w:vAlign w:val="center"/>
          </w:tcPr>
          <w:p w:rsidR="006A5FB3" w:rsidRDefault="006A5FB3" w:rsidP="00F94C5F">
            <w:pPr>
              <w:jc w:val="center"/>
              <w:rPr>
                <w:sz w:val="24"/>
                <w:szCs w:val="24"/>
              </w:rPr>
            </w:pPr>
            <w:r w:rsidRPr="006A5FB3">
              <w:rPr>
                <w:sz w:val="24"/>
                <w:szCs w:val="24"/>
              </w:rPr>
              <w:t>本期费用</w:t>
            </w:r>
          </w:p>
          <w:p w:rsidR="00457DBA" w:rsidRPr="006A5FB3" w:rsidRDefault="00457DBA" w:rsidP="00F94C5F">
            <w:pPr>
              <w:jc w:val="center"/>
              <w:rPr>
                <w:sz w:val="24"/>
                <w:szCs w:val="24"/>
              </w:rPr>
            </w:pPr>
            <w:r>
              <w:rPr>
                <w:rFonts w:eastAsiaTheme="minorEastAsia"/>
              </w:rPr>
              <w:t>2019</w:t>
            </w:r>
            <w:r>
              <w:rPr>
                <w:rFonts w:eastAsiaTheme="minorEastAsia"/>
              </w:rPr>
              <w:t>年</w:t>
            </w:r>
            <w:r>
              <w:rPr>
                <w:rFonts w:eastAsiaTheme="minorEastAsia"/>
              </w:rPr>
              <w:t>7</w:t>
            </w:r>
            <w:r>
              <w:rPr>
                <w:rFonts w:eastAsiaTheme="minorEastAsia"/>
              </w:rPr>
              <w:t>月</w:t>
            </w:r>
            <w:r>
              <w:rPr>
                <w:rFonts w:eastAsiaTheme="minorEastAsia"/>
              </w:rPr>
              <w:t>1</w:t>
            </w:r>
            <w:r>
              <w:rPr>
                <w:rFonts w:eastAsiaTheme="minorEastAsia"/>
              </w:rPr>
              <w:t>日</w:t>
            </w:r>
            <w:r>
              <w:rPr>
                <w:rFonts w:eastAsiaTheme="minorEastAsia" w:hint="eastAsia"/>
              </w:rPr>
              <w:t>至</w:t>
            </w:r>
            <w:r>
              <w:rPr>
                <w:rFonts w:eastAsiaTheme="minorEastAsia"/>
              </w:rPr>
              <w:t>2019</w:t>
            </w:r>
            <w:r>
              <w:rPr>
                <w:rFonts w:eastAsiaTheme="minorEastAsia"/>
              </w:rPr>
              <w:t>年</w:t>
            </w:r>
            <w:r>
              <w:rPr>
                <w:rFonts w:eastAsiaTheme="minorEastAsia"/>
              </w:rPr>
              <w:t>9</w:t>
            </w:r>
            <w:r>
              <w:rPr>
                <w:rFonts w:eastAsiaTheme="minorEastAsia"/>
              </w:rPr>
              <w:t>月</w:t>
            </w:r>
            <w:r>
              <w:rPr>
                <w:rFonts w:eastAsiaTheme="minorEastAsia"/>
              </w:rPr>
              <w:t>30</w:t>
            </w:r>
            <w:r>
              <w:rPr>
                <w:rFonts w:eastAsiaTheme="minorEastAsia"/>
              </w:rPr>
              <w:t>日</w:t>
            </w:r>
          </w:p>
        </w:tc>
        <w:tc>
          <w:tcPr>
            <w:tcW w:w="3119" w:type="dxa"/>
            <w:vAlign w:val="center"/>
          </w:tcPr>
          <w:p w:rsidR="006A5FB3" w:rsidRPr="006A5FB3" w:rsidRDefault="006A5FB3" w:rsidP="00F94C5F">
            <w:pPr>
              <w:jc w:val="center"/>
              <w:rPr>
                <w:sz w:val="24"/>
                <w:szCs w:val="24"/>
              </w:rPr>
            </w:pPr>
            <w:r w:rsidRPr="006A5FB3">
              <w:rPr>
                <w:sz w:val="24"/>
                <w:szCs w:val="24"/>
              </w:rPr>
              <w:t>其中：交易及持有基金管理人以及管理人关联方所管理基金产生的费用</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当期交易基金产生的申购费（元）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1,198.20</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当期交易基金产生的赎回费（元）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10,236.28</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当期持有基金产生的应支付销售服务费（元）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2,087.65</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当期持有基金产生的应支付管理费（元）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14,535.18</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6,726.38</w:t>
            </w:r>
          </w:p>
        </w:tc>
      </w:tr>
      <w:tr w:rsidR="006A5FB3" w:rsidRPr="006A5FB3" w:rsidTr="006D75A5">
        <w:tc>
          <w:tcPr>
            <w:tcW w:w="2410" w:type="dxa"/>
            <w:vAlign w:val="center"/>
          </w:tcPr>
          <w:p w:rsidR="006A5FB3" w:rsidRPr="006A5FB3" w:rsidRDefault="006A5FB3" w:rsidP="006A5FB3">
            <w:pPr>
              <w:adjustRightInd w:val="0"/>
              <w:snapToGrid w:val="0"/>
              <w:spacing w:beforeLines="50" w:before="156"/>
              <w:rPr>
                <w:color w:val="000000" w:themeColor="text1"/>
                <w:sz w:val="24"/>
                <w:szCs w:val="24"/>
              </w:rPr>
            </w:pPr>
            <w:r w:rsidRPr="006A5FB3">
              <w:rPr>
                <w:sz w:val="24"/>
                <w:szCs w:val="24"/>
              </w:rPr>
              <w:t>当期持有基金产生的应支付托管费（元）</w:t>
            </w:r>
          </w:p>
        </w:tc>
        <w:tc>
          <w:tcPr>
            <w:tcW w:w="2835"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3,603.29</w:t>
            </w:r>
          </w:p>
        </w:tc>
        <w:tc>
          <w:tcPr>
            <w:tcW w:w="3119" w:type="dxa"/>
            <w:vAlign w:val="center"/>
          </w:tcPr>
          <w:p w:rsidR="006A5FB3" w:rsidRPr="006A5FB3" w:rsidRDefault="006A5FB3" w:rsidP="006A5FB3">
            <w:pPr>
              <w:adjustRightInd w:val="0"/>
              <w:snapToGrid w:val="0"/>
              <w:spacing w:beforeLines="50" w:before="156"/>
              <w:jc w:val="right"/>
              <w:rPr>
                <w:color w:val="000000" w:themeColor="text1"/>
                <w:sz w:val="24"/>
                <w:szCs w:val="24"/>
              </w:rPr>
            </w:pPr>
            <w:r w:rsidRPr="006A5FB3">
              <w:rPr>
                <w:color w:val="000000" w:themeColor="text1"/>
                <w:sz w:val="24"/>
                <w:szCs w:val="24"/>
              </w:rPr>
              <w:t>1,874.29</w:t>
            </w:r>
          </w:p>
        </w:tc>
      </w:tr>
      <w:tr w:rsidR="006006B1">
        <w:tc>
          <w:tcPr>
            <w:tcW w:w="2410" w:type="dxa"/>
            <w:vAlign w:val="center"/>
          </w:tcPr>
          <w:p w:rsidR="006006B1" w:rsidRDefault="000329EB">
            <w:pPr>
              <w:jc w:val="left"/>
            </w:pPr>
            <w:r>
              <w:rPr>
                <w:color w:val="000000" w:themeColor="text1"/>
                <w:sz w:val="24"/>
                <w:szCs w:val="24"/>
              </w:rPr>
              <w:t>当期交易所交易基金产生的交易费（元）</w:t>
            </w:r>
          </w:p>
        </w:tc>
        <w:tc>
          <w:tcPr>
            <w:tcW w:w="2835" w:type="dxa"/>
            <w:vAlign w:val="center"/>
          </w:tcPr>
          <w:p w:rsidR="006006B1" w:rsidRDefault="000329EB">
            <w:pPr>
              <w:jc w:val="right"/>
            </w:pPr>
            <w:r>
              <w:rPr>
                <w:color w:val="000000" w:themeColor="text1"/>
                <w:sz w:val="24"/>
                <w:szCs w:val="24"/>
              </w:rPr>
              <w:t>33.84</w:t>
            </w:r>
          </w:p>
        </w:tc>
        <w:tc>
          <w:tcPr>
            <w:tcW w:w="3119" w:type="dxa"/>
            <w:vAlign w:val="center"/>
          </w:tcPr>
          <w:p w:rsidR="006006B1" w:rsidRDefault="000329EB">
            <w:pPr>
              <w:jc w:val="right"/>
            </w:pPr>
            <w:r>
              <w:rPr>
                <w:color w:val="000000" w:themeColor="text1"/>
                <w:sz w:val="24"/>
                <w:szCs w:val="24"/>
              </w:rPr>
              <w:t>21.81</w:t>
            </w:r>
          </w:p>
        </w:tc>
      </w:tr>
      <w:tr w:rsidR="006006B1">
        <w:tc>
          <w:tcPr>
            <w:tcW w:w="2410" w:type="dxa"/>
            <w:vAlign w:val="center"/>
          </w:tcPr>
          <w:p w:rsidR="006006B1" w:rsidRDefault="000329EB">
            <w:pPr>
              <w:jc w:val="left"/>
            </w:pPr>
            <w:r>
              <w:rPr>
                <w:color w:val="000000" w:themeColor="text1"/>
                <w:sz w:val="24"/>
                <w:szCs w:val="24"/>
              </w:rPr>
              <w:t>当期交易基金产生的转换费（元）</w:t>
            </w:r>
          </w:p>
        </w:tc>
        <w:tc>
          <w:tcPr>
            <w:tcW w:w="2835" w:type="dxa"/>
            <w:vAlign w:val="center"/>
          </w:tcPr>
          <w:p w:rsidR="006006B1" w:rsidRDefault="000329EB">
            <w:pPr>
              <w:jc w:val="right"/>
            </w:pPr>
            <w:r>
              <w:rPr>
                <w:color w:val="000000" w:themeColor="text1"/>
                <w:sz w:val="24"/>
                <w:szCs w:val="24"/>
              </w:rPr>
              <w:t>-</w:t>
            </w:r>
          </w:p>
        </w:tc>
        <w:tc>
          <w:tcPr>
            <w:tcW w:w="3119" w:type="dxa"/>
            <w:vAlign w:val="center"/>
          </w:tcPr>
          <w:p w:rsidR="006006B1" w:rsidRDefault="000329EB">
            <w:pPr>
              <w:jc w:val="right"/>
            </w:pPr>
            <w:r>
              <w:rPr>
                <w:color w:val="000000" w:themeColor="text1"/>
                <w:sz w:val="24"/>
                <w:szCs w:val="24"/>
              </w:rPr>
              <w:t>-</w:t>
            </w:r>
          </w:p>
        </w:tc>
      </w:tr>
    </w:tbl>
    <w:p w:rsidR="006006B1" w:rsidRDefault="000329EB">
      <w:pPr>
        <w:pStyle w:val="11"/>
        <w:spacing w:line="360" w:lineRule="auto"/>
        <w:ind w:firstLine="420"/>
        <w:jc w:val="left"/>
        <w:rPr>
          <w:sz w:val="24"/>
        </w:rPr>
      </w:pPr>
      <w:r>
        <w:rPr>
          <w:sz w:val="24"/>
        </w:rPr>
        <w:t>注：当期持有基金产生的应支付销售服务费、应支付管理费、应支付托管费按照被投资基金基金合同约定已作为费用计入被投资基金的基金份额净值，上表列示金额为按照本基金对被投资基金的实际持仓情况根据被投资基金基金合同约定的相应费率计算得出。</w:t>
      </w:r>
      <w:r>
        <w:rPr>
          <w:sz w:val="24"/>
        </w:rPr>
        <w:t xml:space="preserve"> </w:t>
      </w:r>
    </w:p>
    <w:p w:rsidR="006A5FB3" w:rsidRPr="006A5FB3" w:rsidRDefault="006A5FB3" w:rsidP="006A5FB3">
      <w:pPr>
        <w:pStyle w:val="11"/>
        <w:spacing w:line="360" w:lineRule="auto"/>
        <w:ind w:firstLine="420"/>
        <w:jc w:val="left"/>
        <w:rPr>
          <w:sz w:val="24"/>
        </w:rPr>
      </w:pPr>
      <w:r w:rsidRPr="006A5FB3">
        <w:rPr>
          <w:sz w:val="24"/>
        </w:rPr>
        <w:t>根据相关法律法规及本基金合同的约定，基金管理人不得对基金中基金财产中持有的自身管理的基金部分收取基金中基金的管理费，基金托管人不得对基金中基金财产中持有的自身托管的基金部分收取基金中基金的托管费。基金管理人运用本基金财产申购自身管理的其他基金的（</w:t>
      </w:r>
      <w:r w:rsidRPr="006A5FB3">
        <w:rPr>
          <w:sz w:val="24"/>
        </w:rPr>
        <w:t>ETF</w:t>
      </w:r>
      <w:r w:rsidRPr="006A5FB3">
        <w:rPr>
          <w:sz w:val="24"/>
        </w:rPr>
        <w:t>除外），应当通过直销渠道申购且不收取申购费、赎回费（按照相关法规、基金招募说明书约定应当收取，并计入基金资产的赎回费用除外）、销售服务费等销售费用，其中申购费、赎回费在实际申购、赎回时按上述规定执行，销售服务费由本基金管理人从被投资基金收取后返还至本基金基金资产。</w:t>
      </w:r>
    </w:p>
    <w:p w:rsidR="006A5FB3" w:rsidRPr="006A5FB3" w:rsidRDefault="006A5FB3" w:rsidP="006A5FB3">
      <w:pPr>
        <w:autoSpaceDE w:val="0"/>
        <w:autoSpaceDN w:val="0"/>
        <w:adjustRightInd w:val="0"/>
        <w:spacing w:line="360" w:lineRule="auto"/>
        <w:jc w:val="left"/>
        <w:rPr>
          <w:color w:val="000000"/>
          <w:sz w:val="24"/>
          <w:szCs w:val="24"/>
        </w:rPr>
      </w:pPr>
      <w:r w:rsidRPr="006A5FB3">
        <w:rPr>
          <w:color w:val="000000"/>
          <w:sz w:val="24"/>
          <w:szCs w:val="24"/>
        </w:rPr>
        <w:t xml:space="preserve">6.3 </w:t>
      </w:r>
      <w:r w:rsidRPr="006A5FB3">
        <w:rPr>
          <w:color w:val="000000"/>
          <w:sz w:val="24"/>
          <w:szCs w:val="24"/>
        </w:rPr>
        <w:t>本报告期持有的基金发生的重大影响事件</w:t>
      </w:r>
    </w:p>
    <w:tbl>
      <w:tblPr>
        <w:tblStyle w:val="af7"/>
        <w:tblW w:w="0" w:type="auto"/>
        <w:tblInd w:w="108" w:type="dxa"/>
        <w:tblLook w:val="04A0" w:firstRow="1" w:lastRow="0" w:firstColumn="1" w:lastColumn="0" w:noHBand="0" w:noVBand="1"/>
      </w:tblPr>
      <w:tblGrid>
        <w:gridCol w:w="8420"/>
      </w:tblGrid>
      <w:tr w:rsidR="006A5FB3" w:rsidRPr="006A5FB3" w:rsidTr="00F94C5F">
        <w:tc>
          <w:tcPr>
            <w:tcW w:w="8789" w:type="dxa"/>
            <w:vAlign w:val="center"/>
          </w:tcPr>
          <w:p w:rsidR="006A5FB3" w:rsidRPr="006A5FB3" w:rsidRDefault="006A5FB3" w:rsidP="00F94C5F">
            <w:pPr>
              <w:autoSpaceDE w:val="0"/>
              <w:autoSpaceDN w:val="0"/>
              <w:adjustRightInd w:val="0"/>
              <w:rPr>
                <w:color w:val="000000" w:themeColor="text1"/>
                <w:sz w:val="24"/>
                <w:szCs w:val="24"/>
              </w:rPr>
            </w:pPr>
            <w:r w:rsidRPr="006A5FB3">
              <w:rPr>
                <w:color w:val="000000" w:themeColor="text1"/>
                <w:sz w:val="24"/>
                <w:szCs w:val="24"/>
              </w:rPr>
              <w:t>本基金持有的基金在报告期未发生重大影响事件。</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lastRenderedPageBreak/>
        <w:t>§</w:t>
      </w:r>
      <w:r w:rsidR="006D75A5" w:rsidRPr="006A5FB3">
        <w:rPr>
          <w:color w:val="000000"/>
          <w:kern w:val="0"/>
          <w:sz w:val="24"/>
          <w:szCs w:val="24"/>
        </w:rPr>
        <w:t>7</w:t>
      </w:r>
      <w:r w:rsidRPr="00264E55">
        <w:rPr>
          <w:rFonts w:ascii="宋体" w:hAnsi="宋体"/>
          <w:color w:val="000000"/>
          <w:kern w:val="0"/>
          <w:sz w:val="24"/>
          <w:szCs w:val="24"/>
        </w:rPr>
        <w:t xml:space="preserve">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10,020,610.37</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339,823.92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10,360,434.29</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8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8.1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10,000,000.00</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96.52</w:t>
            </w:r>
          </w:p>
        </w:tc>
      </w:tr>
    </w:tbl>
    <w:p w:rsidR="00750D48" w:rsidRDefault="00750D48" w:rsidP="00EB374A">
      <w:pPr>
        <w:spacing w:line="360" w:lineRule="auto"/>
        <w:jc w:val="left"/>
        <w:rPr>
          <w:sz w:val="24"/>
        </w:rPr>
      </w:pPr>
      <w:r>
        <w:rPr>
          <w:b/>
          <w:sz w:val="24"/>
        </w:rPr>
        <w:t xml:space="preserve">8.2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Pr>
          <w:rFonts w:ascii="宋体" w:hAnsi="宋体" w:hint="eastAsia"/>
          <w:color w:val="000000"/>
          <w:kern w:val="0"/>
          <w:sz w:val="24"/>
          <w:szCs w:val="24"/>
        </w:rPr>
        <w:t>报告期末</w:t>
      </w:r>
      <w:r w:rsidRPr="00264E55">
        <w:rPr>
          <w:rFonts w:ascii="宋体" w:hAnsi="宋体"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843"/>
        <w:gridCol w:w="1276"/>
        <w:gridCol w:w="1984"/>
        <w:gridCol w:w="1276"/>
        <w:gridCol w:w="941"/>
      </w:tblGrid>
      <w:tr w:rsidR="00750D48" w:rsidRPr="00264E55" w:rsidTr="00507F99">
        <w:trPr>
          <w:trHeight w:val="543"/>
          <w:jc w:val="center"/>
        </w:trPr>
        <w:tc>
          <w:tcPr>
            <w:tcW w:w="1560" w:type="dxa"/>
            <w:vAlign w:val="center"/>
          </w:tcPr>
          <w:p w:rsidR="00750D48" w:rsidRPr="00B227EA" w:rsidRDefault="00750D48" w:rsidP="00597E49">
            <w:pPr>
              <w:widowControl/>
              <w:jc w:val="left"/>
              <w:rPr>
                <w:color w:val="000000"/>
                <w:sz w:val="24"/>
                <w:szCs w:val="24"/>
              </w:rPr>
            </w:pPr>
            <w:r w:rsidRPr="00B227EA">
              <w:rPr>
                <w:color w:val="000000"/>
                <w:sz w:val="24"/>
                <w:szCs w:val="24"/>
              </w:rPr>
              <w:t>项目</w:t>
            </w:r>
          </w:p>
        </w:tc>
        <w:tc>
          <w:tcPr>
            <w:tcW w:w="1843"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持有份额占基金总份额比例</w:t>
            </w:r>
          </w:p>
        </w:tc>
        <w:tc>
          <w:tcPr>
            <w:tcW w:w="1984"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发起份额总数</w:t>
            </w:r>
          </w:p>
        </w:tc>
        <w:tc>
          <w:tcPr>
            <w:tcW w:w="1276"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发起份额占基金总份额比例</w:t>
            </w:r>
          </w:p>
        </w:tc>
        <w:tc>
          <w:tcPr>
            <w:tcW w:w="941" w:type="dxa"/>
          </w:tcPr>
          <w:p w:rsidR="00750D48" w:rsidRPr="00B227EA" w:rsidRDefault="00750D48" w:rsidP="00597E49">
            <w:pPr>
              <w:widowControl/>
              <w:jc w:val="left"/>
              <w:rPr>
                <w:color w:val="000000"/>
                <w:sz w:val="24"/>
                <w:szCs w:val="24"/>
              </w:rPr>
            </w:pPr>
            <w:r w:rsidRPr="00B227EA">
              <w:rPr>
                <w:color w:val="000000"/>
                <w:sz w:val="24"/>
                <w:szCs w:val="24"/>
              </w:rPr>
              <w:t>发起份额承诺持有期限</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基金管理人固有资金</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96.5211%</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96.5211%</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不少于</w:t>
            </w:r>
            <w:r w:rsidRPr="00B227EA">
              <w:rPr>
                <w:kern w:val="0"/>
                <w:sz w:val="24"/>
                <w:szCs w:val="24"/>
              </w:rPr>
              <w:t>3</w:t>
            </w:r>
            <w:r w:rsidRPr="00B227EA">
              <w:rPr>
                <w:kern w:val="0"/>
                <w:sz w:val="24"/>
                <w:szCs w:val="24"/>
              </w:rPr>
              <w:t>年</w:t>
            </w:r>
          </w:p>
        </w:tc>
      </w:tr>
      <w:tr w:rsidR="00750D48" w:rsidRPr="00264E55" w:rsidTr="00507F99">
        <w:trPr>
          <w:trHeight w:val="790"/>
          <w:jc w:val="center"/>
        </w:trPr>
        <w:tc>
          <w:tcPr>
            <w:tcW w:w="1560" w:type="dxa"/>
          </w:tcPr>
          <w:p w:rsidR="00750D48" w:rsidRPr="00B227EA" w:rsidRDefault="00750D48" w:rsidP="00597E49">
            <w:pPr>
              <w:adjustRightInd w:val="0"/>
              <w:snapToGrid w:val="0"/>
              <w:spacing w:line="360" w:lineRule="exact"/>
              <w:rPr>
                <w:color w:val="000000"/>
                <w:sz w:val="24"/>
                <w:szCs w:val="24"/>
              </w:rPr>
            </w:pPr>
            <w:r w:rsidRPr="00B227EA">
              <w:rPr>
                <w:color w:val="000000"/>
                <w:sz w:val="24"/>
                <w:szCs w:val="24"/>
              </w:rPr>
              <w:t>基金管理人高级管理人员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基金经理等</w:t>
            </w:r>
            <w:r w:rsidRPr="00B227EA">
              <w:rPr>
                <w:color w:val="000000"/>
                <w:sz w:val="24"/>
                <w:szCs w:val="24"/>
              </w:rPr>
              <w:lastRenderedPageBreak/>
              <w:t>人员</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lastRenderedPageBreak/>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基金管理人股东</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其他</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r w:rsidR="00750D48" w:rsidRPr="00264E55" w:rsidTr="00507F99">
        <w:trPr>
          <w:jc w:val="center"/>
        </w:trPr>
        <w:tc>
          <w:tcPr>
            <w:tcW w:w="1560" w:type="dxa"/>
          </w:tcPr>
          <w:p w:rsidR="00750D48" w:rsidRPr="00B227EA" w:rsidRDefault="00750D48" w:rsidP="00597E49">
            <w:pPr>
              <w:adjustRightInd w:val="0"/>
              <w:snapToGrid w:val="0"/>
              <w:spacing w:line="360" w:lineRule="exact"/>
              <w:jc w:val="left"/>
              <w:rPr>
                <w:color w:val="000000"/>
                <w:sz w:val="24"/>
                <w:szCs w:val="24"/>
              </w:rPr>
            </w:pPr>
            <w:r w:rsidRPr="00B227EA">
              <w:rPr>
                <w:color w:val="000000"/>
                <w:sz w:val="24"/>
                <w:szCs w:val="24"/>
              </w:rPr>
              <w:t>合计</w:t>
            </w:r>
          </w:p>
        </w:tc>
        <w:tc>
          <w:tcPr>
            <w:tcW w:w="1843"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96.5211%</w:t>
            </w:r>
          </w:p>
        </w:tc>
        <w:tc>
          <w:tcPr>
            <w:tcW w:w="1984"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10,000,000.00</w:t>
            </w:r>
          </w:p>
        </w:tc>
        <w:tc>
          <w:tcPr>
            <w:tcW w:w="1276"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96.5211%</w:t>
            </w:r>
          </w:p>
        </w:tc>
        <w:tc>
          <w:tcPr>
            <w:tcW w:w="941" w:type="dxa"/>
          </w:tcPr>
          <w:p w:rsidR="00750D48" w:rsidRPr="00B227EA" w:rsidRDefault="00750D48" w:rsidP="00722509">
            <w:pPr>
              <w:adjustRightInd w:val="0"/>
              <w:snapToGrid w:val="0"/>
              <w:spacing w:line="360" w:lineRule="exact"/>
              <w:jc w:val="right"/>
              <w:rPr>
                <w:kern w:val="0"/>
                <w:sz w:val="24"/>
                <w:szCs w:val="24"/>
              </w:rPr>
            </w:pPr>
            <w:r w:rsidRPr="00B227EA">
              <w:rPr>
                <w:kern w:val="0"/>
                <w:sz w:val="24"/>
                <w:szCs w:val="24"/>
              </w:rPr>
              <w:t>-</w:t>
            </w:r>
          </w:p>
        </w:tc>
      </w:tr>
    </w:tbl>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10</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10.1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6006B1">
        <w:trPr>
          <w:jc w:val="center"/>
        </w:trPr>
        <w:tc>
          <w:tcPr>
            <w:tcW w:w="1798" w:type="dxa"/>
            <w:vMerge w:val="restart"/>
            <w:vAlign w:val="center"/>
          </w:tcPr>
          <w:p w:rsidR="006006B1" w:rsidRDefault="000329EB">
            <w:r>
              <w:rPr>
                <w:rFonts w:eastAsiaTheme="minorEastAsia"/>
                <w:bCs/>
                <w:color w:val="000000" w:themeColor="text1"/>
                <w:sz w:val="24"/>
                <w:szCs w:val="24"/>
              </w:rPr>
              <w:t>机构</w:t>
            </w:r>
          </w:p>
        </w:tc>
        <w:tc>
          <w:tcPr>
            <w:tcW w:w="709" w:type="dxa"/>
            <w:vAlign w:val="center"/>
          </w:tcPr>
          <w:p w:rsidR="006006B1" w:rsidRDefault="000329EB">
            <w:pPr>
              <w:jc w:val="center"/>
            </w:pPr>
            <w:r>
              <w:rPr>
                <w:sz w:val="24"/>
                <w:szCs w:val="24"/>
              </w:rPr>
              <w:t>1</w:t>
            </w:r>
          </w:p>
        </w:tc>
        <w:tc>
          <w:tcPr>
            <w:tcW w:w="1985" w:type="dxa"/>
            <w:vAlign w:val="center"/>
          </w:tcPr>
          <w:p w:rsidR="006006B1" w:rsidRDefault="000329EB">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6006B1" w:rsidRDefault="000329EB">
            <w:pPr>
              <w:jc w:val="center"/>
            </w:pPr>
            <w:r>
              <w:rPr>
                <w:sz w:val="24"/>
                <w:szCs w:val="24"/>
              </w:rPr>
              <w:t>10,000,000.00</w:t>
            </w:r>
          </w:p>
        </w:tc>
        <w:tc>
          <w:tcPr>
            <w:tcW w:w="992" w:type="dxa"/>
            <w:vAlign w:val="center"/>
          </w:tcPr>
          <w:p w:rsidR="006006B1" w:rsidRDefault="000329EB">
            <w:pPr>
              <w:jc w:val="center"/>
            </w:pPr>
            <w:r>
              <w:rPr>
                <w:sz w:val="24"/>
                <w:szCs w:val="24"/>
              </w:rPr>
              <w:t>-</w:t>
            </w:r>
          </w:p>
        </w:tc>
        <w:tc>
          <w:tcPr>
            <w:tcW w:w="1134" w:type="dxa"/>
            <w:vAlign w:val="center"/>
          </w:tcPr>
          <w:p w:rsidR="006006B1" w:rsidRDefault="000329EB">
            <w:pPr>
              <w:jc w:val="center"/>
            </w:pPr>
            <w:r>
              <w:rPr>
                <w:sz w:val="24"/>
                <w:szCs w:val="24"/>
              </w:rPr>
              <w:t>-</w:t>
            </w:r>
          </w:p>
        </w:tc>
        <w:tc>
          <w:tcPr>
            <w:tcW w:w="1037" w:type="dxa"/>
            <w:vAlign w:val="center"/>
          </w:tcPr>
          <w:p w:rsidR="006006B1" w:rsidRDefault="000329EB">
            <w:pPr>
              <w:jc w:val="center"/>
            </w:pPr>
            <w:r>
              <w:rPr>
                <w:sz w:val="24"/>
                <w:szCs w:val="24"/>
              </w:rPr>
              <w:t>10,000,000.00</w:t>
            </w:r>
          </w:p>
        </w:tc>
        <w:tc>
          <w:tcPr>
            <w:tcW w:w="851" w:type="dxa"/>
            <w:vAlign w:val="center"/>
          </w:tcPr>
          <w:p w:rsidR="006006B1" w:rsidRDefault="000329EB">
            <w:pPr>
              <w:jc w:val="center"/>
            </w:pPr>
            <w:r>
              <w:rPr>
                <w:sz w:val="24"/>
                <w:szCs w:val="24"/>
              </w:rPr>
              <w:t>96.52%</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10.2 影响投资者决策的其他重要信息</w:t>
      </w:r>
    </w:p>
    <w:p w:rsidR="006006B1" w:rsidRDefault="000329EB">
      <w:pPr>
        <w:spacing w:line="360" w:lineRule="auto"/>
        <w:ind w:firstLineChars="200" w:firstLine="480"/>
        <w:rPr>
          <w:color w:val="000000"/>
          <w:sz w:val="24"/>
          <w:szCs w:val="24"/>
        </w:rPr>
      </w:pPr>
      <w:r>
        <w:rPr>
          <w:rFonts w:eastAsiaTheme="minorEastAsia"/>
          <w:color w:val="000000" w:themeColor="text1"/>
          <w:sz w:val="24"/>
          <w:szCs w:val="24"/>
        </w:rPr>
        <w:t>本基金投资于其他基金的比例不低于本基金资产的</w:t>
      </w:r>
      <w:r>
        <w:rPr>
          <w:rFonts w:eastAsiaTheme="minorEastAsia"/>
          <w:color w:val="000000" w:themeColor="text1"/>
          <w:sz w:val="24"/>
          <w:szCs w:val="24"/>
        </w:rPr>
        <w:t>80%</w:t>
      </w:r>
      <w:r>
        <w:rPr>
          <w:rFonts w:eastAsiaTheme="minorEastAsia"/>
          <w:color w:val="000000" w:themeColor="text1"/>
          <w:sz w:val="24"/>
          <w:szCs w:val="24"/>
        </w:rPr>
        <w:t>，由此可能面临如下风险：</w:t>
      </w:r>
    </w:p>
    <w:p w:rsidR="006006B1" w:rsidRDefault="000329E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1</w:t>
      </w:r>
      <w:r>
        <w:rPr>
          <w:rFonts w:eastAsiaTheme="minorEastAsia"/>
          <w:color w:val="000000" w:themeColor="text1"/>
          <w:sz w:val="24"/>
          <w:szCs w:val="24"/>
        </w:rPr>
        <w:t>）被投资基金的业绩风险。本基金投资于其他基金的比例不低于基金资产的</w:t>
      </w:r>
      <w:r>
        <w:rPr>
          <w:rFonts w:eastAsiaTheme="minorEastAsia"/>
          <w:color w:val="000000" w:themeColor="text1"/>
          <w:sz w:val="24"/>
          <w:szCs w:val="24"/>
        </w:rPr>
        <w:t>80%</w:t>
      </w:r>
      <w:r>
        <w:rPr>
          <w:rFonts w:eastAsiaTheme="minorEastAsia"/>
          <w:color w:val="000000" w:themeColor="text1"/>
          <w:sz w:val="24"/>
          <w:szCs w:val="24"/>
        </w:rPr>
        <w:t>，因此本基金投资目标的实现建立在被投资基金本身投资目标实现的基础上。如果由于被投资基金未能实现投资目标，则本基金存在达不成投资目标的风险。</w:t>
      </w:r>
    </w:p>
    <w:p w:rsidR="006006B1" w:rsidRDefault="000329E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2</w:t>
      </w:r>
      <w:r>
        <w:rPr>
          <w:rFonts w:eastAsiaTheme="minorEastAsia"/>
          <w:color w:val="000000" w:themeColor="text1"/>
          <w:sz w:val="24"/>
          <w:szCs w:val="24"/>
        </w:rPr>
        <w:t>）赎回资金到账时间较晚的风险。基金赎回的资金交收效率慢于基础证券市场交易的证券，因此本基金赎回款实际到达投资者账户的时间可能晚于普通境内开放式基金，存在对投资者资金安排造成影响的风险。</w:t>
      </w:r>
    </w:p>
    <w:p w:rsidR="006006B1" w:rsidRDefault="000329EB">
      <w:pPr>
        <w:spacing w:line="360" w:lineRule="auto"/>
        <w:ind w:firstLineChars="200" w:firstLine="480"/>
        <w:rPr>
          <w:color w:val="000000"/>
          <w:sz w:val="24"/>
          <w:szCs w:val="24"/>
        </w:rPr>
      </w:pPr>
      <w:r>
        <w:rPr>
          <w:rFonts w:eastAsiaTheme="minorEastAsia"/>
          <w:color w:val="000000" w:themeColor="text1"/>
          <w:sz w:val="24"/>
          <w:szCs w:val="24"/>
        </w:rPr>
        <w:lastRenderedPageBreak/>
        <w:t>（</w:t>
      </w:r>
      <w:r>
        <w:rPr>
          <w:rFonts w:eastAsiaTheme="minorEastAsia"/>
          <w:color w:val="000000" w:themeColor="text1"/>
          <w:sz w:val="24"/>
          <w:szCs w:val="24"/>
        </w:rPr>
        <w:t>3</w:t>
      </w:r>
      <w:r>
        <w:rPr>
          <w:rFonts w:eastAsiaTheme="minorEastAsia"/>
          <w:color w:val="000000" w:themeColor="text1"/>
          <w:sz w:val="24"/>
          <w:szCs w:val="24"/>
        </w:rPr>
        <w:t>）双重收费风险。本基金的投资范围包含全市场基金，投资于非本基金管理人管理的其他基金时，存在本基金与被投资基金各类基金费用的双重收取情况，相较于其他基金产品存在额外增加投资者投资成本的风险。</w:t>
      </w:r>
    </w:p>
    <w:p w:rsidR="006006B1" w:rsidRDefault="000329E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4</w:t>
      </w:r>
      <w:r>
        <w:rPr>
          <w:rFonts w:eastAsiaTheme="minorEastAsia"/>
          <w:color w:val="000000" w:themeColor="text1"/>
          <w:sz w:val="24"/>
          <w:szCs w:val="24"/>
        </w:rPr>
        <w:t>）投资</w:t>
      </w:r>
      <w:r>
        <w:rPr>
          <w:rFonts w:eastAsiaTheme="minorEastAsia"/>
          <w:color w:val="000000" w:themeColor="text1"/>
          <w:sz w:val="24"/>
          <w:szCs w:val="24"/>
        </w:rPr>
        <w:t>QDII</w:t>
      </w:r>
      <w:r>
        <w:rPr>
          <w:rFonts w:eastAsiaTheme="minorEastAsia"/>
          <w:color w:val="000000" w:themeColor="text1"/>
          <w:sz w:val="24"/>
          <w:szCs w:val="24"/>
        </w:rPr>
        <w:t>基金的特有风险。本基金可投资于</w:t>
      </w:r>
      <w:r>
        <w:rPr>
          <w:rFonts w:eastAsiaTheme="minorEastAsia"/>
          <w:color w:val="000000" w:themeColor="text1"/>
          <w:sz w:val="24"/>
          <w:szCs w:val="24"/>
        </w:rPr>
        <w:t>QDII</w:t>
      </w:r>
      <w:r>
        <w:rPr>
          <w:rFonts w:eastAsiaTheme="minorEastAsia"/>
          <w:color w:val="000000" w:themeColor="text1"/>
          <w:sz w:val="24"/>
          <w:szCs w:val="24"/>
        </w:rPr>
        <w:t>基金，主要存在如下风险：</w:t>
      </w:r>
      <w:r>
        <w:rPr>
          <w:rFonts w:eastAsiaTheme="minorEastAsia"/>
          <w:color w:val="000000" w:themeColor="text1"/>
          <w:sz w:val="24"/>
          <w:szCs w:val="24"/>
        </w:rPr>
        <w:t>①QDII</w:t>
      </w:r>
      <w:r>
        <w:rPr>
          <w:rFonts w:eastAsiaTheme="minorEastAsia"/>
          <w:color w:val="000000" w:themeColor="text1"/>
          <w:sz w:val="24"/>
          <w:szCs w:val="24"/>
        </w:rPr>
        <w:t>基金主要投资境外市场，因此本基金投资</w:t>
      </w:r>
      <w:r>
        <w:rPr>
          <w:rFonts w:eastAsiaTheme="minorEastAsia"/>
          <w:color w:val="000000" w:themeColor="text1"/>
          <w:sz w:val="24"/>
          <w:szCs w:val="24"/>
        </w:rPr>
        <w:t>Q</w:t>
      </w:r>
      <w:r>
        <w:rPr>
          <w:rFonts w:eastAsiaTheme="minorEastAsia"/>
          <w:color w:val="000000" w:themeColor="text1"/>
          <w:sz w:val="24"/>
          <w:szCs w:val="24"/>
        </w:rPr>
        <w:t>DII</w:t>
      </w:r>
      <w:r>
        <w:rPr>
          <w:rFonts w:eastAsiaTheme="minorEastAsia"/>
          <w:color w:val="000000" w:themeColor="text1"/>
          <w:sz w:val="24"/>
          <w:szCs w:val="24"/>
        </w:rPr>
        <w:t>基金时，将间接承担境外市场波动以及汇率波动的风险；</w:t>
      </w:r>
      <w:r>
        <w:rPr>
          <w:rFonts w:eastAsiaTheme="minorEastAsia"/>
          <w:color w:val="000000" w:themeColor="text1"/>
          <w:sz w:val="24"/>
          <w:szCs w:val="24"/>
        </w:rPr>
        <w:t>②</w:t>
      </w:r>
      <w:r>
        <w:rPr>
          <w:rFonts w:eastAsiaTheme="minorEastAsia"/>
          <w:color w:val="000000" w:themeColor="text1"/>
          <w:sz w:val="24"/>
          <w:szCs w:val="24"/>
        </w:rPr>
        <w:t>按照目前的业务规则，</w:t>
      </w:r>
      <w:r>
        <w:rPr>
          <w:rFonts w:eastAsiaTheme="minorEastAsia"/>
          <w:color w:val="000000" w:themeColor="text1"/>
          <w:sz w:val="24"/>
          <w:szCs w:val="24"/>
        </w:rPr>
        <w:t>QDII</w:t>
      </w:r>
      <w:r>
        <w:rPr>
          <w:rFonts w:eastAsiaTheme="minorEastAsia"/>
          <w:color w:val="000000" w:themeColor="text1"/>
          <w:sz w:val="24"/>
          <w:szCs w:val="24"/>
        </w:rPr>
        <w:t>基金的赎回款项将在</w:t>
      </w:r>
      <w:r>
        <w:rPr>
          <w:rFonts w:eastAsiaTheme="minorEastAsia"/>
          <w:color w:val="000000" w:themeColor="text1"/>
          <w:sz w:val="24"/>
          <w:szCs w:val="24"/>
        </w:rPr>
        <w:t>T+10</w:t>
      </w:r>
      <w:r>
        <w:rPr>
          <w:rFonts w:eastAsiaTheme="minorEastAsia"/>
          <w:color w:val="000000" w:themeColor="text1"/>
          <w:sz w:val="24"/>
          <w:szCs w:val="24"/>
        </w:rPr>
        <w:t>内进行支付（</w:t>
      </w:r>
      <w:r>
        <w:rPr>
          <w:rFonts w:eastAsiaTheme="minorEastAsia"/>
          <w:color w:val="000000" w:themeColor="text1"/>
          <w:sz w:val="24"/>
          <w:szCs w:val="24"/>
        </w:rPr>
        <w:t>T</w:t>
      </w:r>
      <w:r>
        <w:rPr>
          <w:rFonts w:eastAsiaTheme="minorEastAsia"/>
          <w:color w:val="000000" w:themeColor="text1"/>
          <w:sz w:val="24"/>
          <w:szCs w:val="24"/>
        </w:rPr>
        <w:t>为赎回申请日），晚于普通境内基金的支付时间。因此，可能存在</w:t>
      </w:r>
      <w:r>
        <w:rPr>
          <w:rFonts w:eastAsiaTheme="minorEastAsia"/>
          <w:color w:val="000000" w:themeColor="text1"/>
          <w:sz w:val="24"/>
          <w:szCs w:val="24"/>
        </w:rPr>
        <w:t>QDII</w:t>
      </w:r>
      <w:r>
        <w:rPr>
          <w:rFonts w:eastAsiaTheme="minorEastAsia"/>
          <w:color w:val="000000" w:themeColor="text1"/>
          <w:sz w:val="24"/>
          <w:szCs w:val="24"/>
        </w:rPr>
        <w:t>基金赎回款到帐时间较晚，本基金无法及时支付投资者赎回款项的风险；</w:t>
      </w:r>
      <w:r>
        <w:rPr>
          <w:rFonts w:eastAsiaTheme="minorEastAsia"/>
          <w:color w:val="000000" w:themeColor="text1"/>
          <w:sz w:val="24"/>
          <w:szCs w:val="24"/>
        </w:rPr>
        <w:t>③</w:t>
      </w:r>
      <w:r>
        <w:rPr>
          <w:rFonts w:eastAsiaTheme="minorEastAsia"/>
          <w:color w:val="000000" w:themeColor="text1"/>
          <w:sz w:val="24"/>
          <w:szCs w:val="24"/>
        </w:rPr>
        <w:t>由于投资</w:t>
      </w:r>
      <w:r>
        <w:rPr>
          <w:rFonts w:eastAsiaTheme="minorEastAsia"/>
          <w:color w:val="000000" w:themeColor="text1"/>
          <w:sz w:val="24"/>
          <w:szCs w:val="24"/>
        </w:rPr>
        <w:t>QDII</w:t>
      </w:r>
      <w:r>
        <w:rPr>
          <w:rFonts w:eastAsiaTheme="minorEastAsia"/>
          <w:color w:val="000000" w:themeColor="text1"/>
          <w:sz w:val="24"/>
          <w:szCs w:val="24"/>
        </w:rPr>
        <w:t>基金，正常情况下，本基金将于</w:t>
      </w:r>
      <w:r>
        <w:rPr>
          <w:rFonts w:eastAsiaTheme="minorEastAsia"/>
          <w:color w:val="000000" w:themeColor="text1"/>
          <w:sz w:val="24"/>
          <w:szCs w:val="24"/>
        </w:rPr>
        <w:t>T+2</w:t>
      </w:r>
      <w:r>
        <w:rPr>
          <w:rFonts w:eastAsiaTheme="minorEastAsia"/>
          <w:color w:val="000000" w:themeColor="text1"/>
          <w:sz w:val="24"/>
          <w:szCs w:val="24"/>
        </w:rPr>
        <w:t>日（</w:t>
      </w:r>
      <w:r>
        <w:rPr>
          <w:rFonts w:eastAsiaTheme="minorEastAsia"/>
          <w:color w:val="000000" w:themeColor="text1"/>
          <w:sz w:val="24"/>
          <w:szCs w:val="24"/>
        </w:rPr>
        <w:t>T</w:t>
      </w:r>
      <w:r>
        <w:rPr>
          <w:rFonts w:eastAsiaTheme="minorEastAsia"/>
          <w:color w:val="000000" w:themeColor="text1"/>
          <w:sz w:val="24"/>
          <w:szCs w:val="24"/>
        </w:rPr>
        <w:t>日为开放日）对</w:t>
      </w:r>
      <w:r>
        <w:rPr>
          <w:rFonts w:eastAsiaTheme="minorEastAsia"/>
          <w:color w:val="000000" w:themeColor="text1"/>
          <w:sz w:val="24"/>
          <w:szCs w:val="24"/>
        </w:rPr>
        <w:t>T</w:t>
      </w:r>
      <w:r>
        <w:rPr>
          <w:rFonts w:eastAsiaTheme="minorEastAsia"/>
          <w:color w:val="000000" w:themeColor="text1"/>
          <w:sz w:val="24"/>
          <w:szCs w:val="24"/>
        </w:rPr>
        <w:t>日的基金资产净值进行估值，</w:t>
      </w:r>
      <w:r>
        <w:rPr>
          <w:rFonts w:eastAsiaTheme="minorEastAsia"/>
          <w:color w:val="000000" w:themeColor="text1"/>
          <w:sz w:val="24"/>
          <w:szCs w:val="24"/>
        </w:rPr>
        <w:t>T+3</w:t>
      </w:r>
      <w:r>
        <w:rPr>
          <w:rFonts w:eastAsiaTheme="minorEastAsia"/>
          <w:color w:val="000000" w:themeColor="text1"/>
          <w:sz w:val="24"/>
          <w:szCs w:val="24"/>
        </w:rPr>
        <w:t>日对投资人申购、赎回申请的有效性进行确认，投资人可于</w:t>
      </w:r>
      <w:r>
        <w:rPr>
          <w:rFonts w:eastAsiaTheme="minorEastAsia"/>
          <w:color w:val="000000" w:themeColor="text1"/>
          <w:sz w:val="24"/>
          <w:szCs w:val="24"/>
        </w:rPr>
        <w:t>T+4</w:t>
      </w:r>
      <w:r>
        <w:rPr>
          <w:rFonts w:eastAsiaTheme="minorEastAsia"/>
          <w:color w:val="000000" w:themeColor="text1"/>
          <w:sz w:val="24"/>
          <w:szCs w:val="24"/>
        </w:rPr>
        <w:t>日到销售网点柜台或以销售机构规定的其他方式查询申请的确认情况，这将导致投资者承担更长时间基金</w:t>
      </w:r>
      <w:r>
        <w:rPr>
          <w:rFonts w:eastAsiaTheme="minorEastAsia"/>
          <w:color w:val="000000" w:themeColor="text1"/>
          <w:sz w:val="24"/>
          <w:szCs w:val="24"/>
        </w:rPr>
        <w:t>净值波动的风险。</w:t>
      </w:r>
    </w:p>
    <w:p w:rsidR="006006B1" w:rsidRDefault="000329E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5</w:t>
      </w:r>
      <w:r>
        <w:rPr>
          <w:rFonts w:eastAsiaTheme="minorEastAsia"/>
          <w:color w:val="000000" w:themeColor="text1"/>
          <w:sz w:val="24"/>
          <w:szCs w:val="24"/>
        </w:rPr>
        <w:t>）可上市交易基金的二级市场投资风险本基金可通过二级市场进行</w:t>
      </w:r>
      <w:r>
        <w:rPr>
          <w:rFonts w:eastAsiaTheme="minorEastAsia"/>
          <w:color w:val="000000" w:themeColor="text1"/>
          <w:sz w:val="24"/>
          <w:szCs w:val="24"/>
        </w:rPr>
        <w:t>ETF</w:t>
      </w:r>
      <w:r>
        <w:rPr>
          <w:rFonts w:eastAsiaTheme="minorEastAsia"/>
          <w:color w:val="000000" w:themeColor="text1"/>
          <w:sz w:val="24"/>
          <w:szCs w:val="24"/>
        </w:rPr>
        <w:t>、</w:t>
      </w:r>
      <w:r>
        <w:rPr>
          <w:rFonts w:eastAsiaTheme="minorEastAsia"/>
          <w:color w:val="000000" w:themeColor="text1"/>
          <w:sz w:val="24"/>
          <w:szCs w:val="24"/>
        </w:rPr>
        <w:t>LOF</w:t>
      </w:r>
      <w:r>
        <w:rPr>
          <w:rFonts w:eastAsiaTheme="minorEastAsia"/>
          <w:color w:val="000000" w:themeColor="text1"/>
          <w:sz w:val="24"/>
          <w:szCs w:val="24"/>
        </w:rPr>
        <w:t>、封闭式基金的买卖交易，由此可能面临交易量不足所引起的流动性风险、交易价格与基金份额净值之间的折溢价风险以及被投资基金暂停交易或退市的风险等。</w:t>
      </w:r>
    </w:p>
    <w:p w:rsidR="006006B1" w:rsidRDefault="000329E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6</w:t>
      </w:r>
      <w:r>
        <w:rPr>
          <w:rFonts w:eastAsiaTheme="minorEastAsia"/>
          <w:color w:val="000000" w:themeColor="text1"/>
          <w:sz w:val="24"/>
          <w:szCs w:val="24"/>
        </w:rPr>
        <w:t>）被投资基金的运作风险具体包括基金投资风格漂移风险、基金经理变更风险、基金实际运作风险以及基金产品设计开发创新风险等。此外，封闭式基金到期转开放、基金清算、基金合并等事件也会带来风险。虽然本基金管理人将会从基金风格、投资能力、管理团队、实际运作情况等多方面精选基金投资品</w:t>
      </w:r>
      <w:r>
        <w:rPr>
          <w:rFonts w:eastAsiaTheme="minorEastAsia"/>
          <w:color w:val="000000" w:themeColor="text1"/>
          <w:sz w:val="24"/>
          <w:szCs w:val="24"/>
        </w:rPr>
        <w:t>种，但无法完全规避基金运作风险。</w:t>
      </w:r>
    </w:p>
    <w:p w:rsidR="006006B1" w:rsidRDefault="000329EB">
      <w:pPr>
        <w:spacing w:line="360" w:lineRule="auto"/>
        <w:ind w:firstLineChars="200" w:firstLine="480"/>
        <w:rPr>
          <w:color w:val="000000"/>
          <w:sz w:val="24"/>
          <w:szCs w:val="24"/>
        </w:rPr>
      </w:pPr>
      <w:r>
        <w:rPr>
          <w:rFonts w:eastAsiaTheme="minorEastAsia"/>
          <w:color w:val="000000" w:themeColor="text1"/>
          <w:sz w:val="24"/>
          <w:szCs w:val="24"/>
        </w:rPr>
        <w:t>（</w:t>
      </w:r>
      <w:r>
        <w:rPr>
          <w:rFonts w:eastAsiaTheme="minorEastAsia"/>
          <w:color w:val="000000" w:themeColor="text1"/>
          <w:sz w:val="24"/>
          <w:szCs w:val="24"/>
        </w:rPr>
        <w:t>7</w:t>
      </w:r>
      <w:r>
        <w:rPr>
          <w:rFonts w:eastAsiaTheme="minorEastAsia"/>
          <w:color w:val="000000" w:themeColor="text1"/>
          <w:sz w:val="24"/>
          <w:szCs w:val="24"/>
        </w:rPr>
        <w:t>）被投资基金的基金管理人经营风险基金的投资业绩会受到基金管理人的经营状况的影响。如基金管理人面临的管理能力、财务状况、市场前景、行业竞争、人员素质等因素的变化均会导致基金投资业绩的波动。虽然本基金可以通过投资多样化分散这种非系统风险，但不能完全规避。特别地，在本基金投资策略的实施过程中，可将基金资产部分或全部投资于本基金管理人管理的其他基金，在这种情况下，本基金将无法通过投资多样化来分散这种非系统性风险。</w:t>
      </w:r>
    </w:p>
    <w:p w:rsidR="00750D48" w:rsidRPr="004B7A92" w:rsidRDefault="001F5F5D" w:rsidP="001F5F5D">
      <w:pPr>
        <w:spacing w:line="360" w:lineRule="auto"/>
        <w:ind w:firstLineChars="200" w:firstLine="480"/>
        <w:rPr>
          <w:color w:val="000000"/>
          <w:sz w:val="24"/>
          <w:szCs w:val="24"/>
        </w:rPr>
      </w:pPr>
      <w:r w:rsidRPr="00FC0759">
        <w:rPr>
          <w:rFonts w:eastAsiaTheme="minorEastAsia"/>
          <w:color w:val="000000" w:themeColor="text1"/>
          <w:sz w:val="24"/>
          <w:szCs w:val="24"/>
        </w:rPr>
        <w:t>（</w:t>
      </w:r>
      <w:r w:rsidRPr="00FC0759">
        <w:rPr>
          <w:rFonts w:eastAsiaTheme="minorEastAsia"/>
          <w:color w:val="000000" w:themeColor="text1"/>
          <w:sz w:val="24"/>
          <w:szCs w:val="24"/>
        </w:rPr>
        <w:t>8</w:t>
      </w:r>
      <w:r w:rsidRPr="00FC0759">
        <w:rPr>
          <w:rFonts w:eastAsiaTheme="minorEastAsia"/>
          <w:color w:val="000000" w:themeColor="text1"/>
          <w:sz w:val="24"/>
          <w:szCs w:val="24"/>
        </w:rPr>
        <w:t>）被投资基金的相关政策风险本基金主要投资于各类其他基金，如遇国</w:t>
      </w:r>
      <w:r w:rsidRPr="00FC0759">
        <w:rPr>
          <w:rFonts w:eastAsiaTheme="minorEastAsia"/>
          <w:color w:val="000000" w:themeColor="text1"/>
          <w:sz w:val="24"/>
          <w:szCs w:val="24"/>
        </w:rPr>
        <w:lastRenderedPageBreak/>
        <w:t>家金融政策发生重大调整，导致被投资基金的基金管理人、基金投资操作、基金运作方式发生较大变化，可能影响本基金的收益水平。</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11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11.1 </w:t>
      </w:r>
      <w:r w:rsidRPr="00264E55">
        <w:rPr>
          <w:rFonts w:ascii="宋体" w:hAnsi="宋体" w:hint="eastAsia"/>
          <w:b/>
          <w:bCs/>
          <w:color w:val="000000"/>
          <w:kern w:val="0"/>
          <w:sz w:val="24"/>
          <w:szCs w:val="24"/>
        </w:rPr>
        <w:t>备查文件目录</w:t>
      </w:r>
    </w:p>
    <w:p w:rsidR="006006B1" w:rsidRDefault="000329EB">
      <w:pPr>
        <w:spacing w:line="360" w:lineRule="auto"/>
        <w:ind w:firstLineChars="200" w:firstLine="480"/>
        <w:rPr>
          <w:color w:val="000000"/>
          <w:sz w:val="24"/>
          <w:szCs w:val="24"/>
        </w:rPr>
      </w:pPr>
      <w:r>
        <w:rPr>
          <w:color w:val="000000"/>
          <w:sz w:val="24"/>
          <w:szCs w:val="24"/>
        </w:rPr>
        <w:t>1.</w:t>
      </w:r>
      <w:r>
        <w:rPr>
          <w:color w:val="000000"/>
          <w:sz w:val="24"/>
          <w:szCs w:val="24"/>
        </w:rPr>
        <w:t>中国证监会关于准予易方达汇诚养老目标日期</w:t>
      </w:r>
      <w:r>
        <w:rPr>
          <w:color w:val="000000"/>
          <w:sz w:val="24"/>
          <w:szCs w:val="24"/>
        </w:rPr>
        <w:t>2033</w:t>
      </w:r>
      <w:r>
        <w:rPr>
          <w:color w:val="000000"/>
          <w:sz w:val="24"/>
          <w:szCs w:val="24"/>
        </w:rPr>
        <w:t>三年持有期混合型基金中基金（</w:t>
      </w:r>
      <w:r>
        <w:rPr>
          <w:color w:val="000000"/>
          <w:sz w:val="24"/>
          <w:szCs w:val="24"/>
        </w:rPr>
        <w:t>FOF</w:t>
      </w:r>
      <w:r>
        <w:rPr>
          <w:color w:val="000000"/>
          <w:sz w:val="24"/>
          <w:szCs w:val="24"/>
        </w:rPr>
        <w:t>）变更注册的批复；</w:t>
      </w:r>
    </w:p>
    <w:p w:rsidR="006006B1" w:rsidRDefault="000329EB">
      <w:pPr>
        <w:spacing w:line="360" w:lineRule="auto"/>
        <w:ind w:firstLineChars="200" w:firstLine="480"/>
        <w:rPr>
          <w:color w:val="000000"/>
          <w:sz w:val="24"/>
          <w:szCs w:val="24"/>
        </w:rPr>
      </w:pPr>
      <w:r>
        <w:rPr>
          <w:color w:val="000000"/>
          <w:sz w:val="24"/>
          <w:szCs w:val="24"/>
        </w:rPr>
        <w:t>2.</w:t>
      </w:r>
      <w:r>
        <w:rPr>
          <w:color w:val="000000"/>
          <w:sz w:val="24"/>
          <w:szCs w:val="24"/>
        </w:rPr>
        <w:t>《易方达汇诚养老目标日期</w:t>
      </w:r>
      <w:r>
        <w:rPr>
          <w:color w:val="000000"/>
          <w:sz w:val="24"/>
          <w:szCs w:val="24"/>
        </w:rPr>
        <w:t>2033</w:t>
      </w:r>
      <w:r>
        <w:rPr>
          <w:color w:val="000000"/>
          <w:sz w:val="24"/>
          <w:szCs w:val="24"/>
        </w:rPr>
        <w:t>三年持有期混合型发起式基金中基金（</w:t>
      </w:r>
      <w:r>
        <w:rPr>
          <w:color w:val="000000"/>
          <w:sz w:val="24"/>
          <w:szCs w:val="24"/>
        </w:rPr>
        <w:t>FOF</w:t>
      </w:r>
      <w:r>
        <w:rPr>
          <w:color w:val="000000"/>
          <w:sz w:val="24"/>
          <w:szCs w:val="24"/>
        </w:rPr>
        <w:t>）基金合同》；</w:t>
      </w:r>
    </w:p>
    <w:p w:rsidR="006006B1" w:rsidRDefault="000329EB">
      <w:pPr>
        <w:spacing w:line="360" w:lineRule="auto"/>
        <w:ind w:firstLineChars="200" w:firstLine="480"/>
        <w:rPr>
          <w:color w:val="000000"/>
          <w:sz w:val="24"/>
          <w:szCs w:val="24"/>
        </w:rPr>
      </w:pPr>
      <w:r>
        <w:rPr>
          <w:color w:val="000000"/>
          <w:sz w:val="24"/>
          <w:szCs w:val="24"/>
        </w:rPr>
        <w:t>3.</w:t>
      </w:r>
      <w:r>
        <w:rPr>
          <w:color w:val="000000"/>
          <w:sz w:val="24"/>
          <w:szCs w:val="24"/>
        </w:rPr>
        <w:t>《易方达汇诚养老目标日期</w:t>
      </w:r>
      <w:r>
        <w:rPr>
          <w:color w:val="000000"/>
          <w:sz w:val="24"/>
          <w:szCs w:val="24"/>
        </w:rPr>
        <w:t>2033</w:t>
      </w:r>
      <w:r>
        <w:rPr>
          <w:color w:val="000000"/>
          <w:sz w:val="24"/>
          <w:szCs w:val="24"/>
        </w:rPr>
        <w:t>三年持有期混合型发起式基金中基金（</w:t>
      </w:r>
      <w:r>
        <w:rPr>
          <w:color w:val="000000"/>
          <w:sz w:val="24"/>
          <w:szCs w:val="24"/>
        </w:rPr>
        <w:t>FOF</w:t>
      </w:r>
      <w:r>
        <w:rPr>
          <w:color w:val="000000"/>
          <w:sz w:val="24"/>
          <w:szCs w:val="24"/>
        </w:rPr>
        <w:t>）托管协议》；</w:t>
      </w:r>
    </w:p>
    <w:p w:rsidR="006006B1" w:rsidRDefault="000329EB">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11.2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11.3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2E2237" w:rsidRDefault="00750D48" w:rsidP="002E223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2E223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19D" w:rsidRDefault="00AB519D" w:rsidP="00876D65">
      <w:r>
        <w:separator/>
      </w:r>
    </w:p>
  </w:endnote>
  <w:endnote w:type="continuationSeparator" w:id="0">
    <w:p w:rsidR="00AB519D" w:rsidRDefault="00AB519D"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0329EB">
      <w:rPr>
        <w:rStyle w:val="a7"/>
        <w:noProof/>
      </w:rPr>
      <w:t>1</w:t>
    </w:r>
    <w:r>
      <w:rPr>
        <w:rStyle w:val="a7"/>
      </w:rPr>
      <w:fldChar w:fldCharType="end"/>
    </w:r>
    <w:r>
      <w:rPr>
        <w:rStyle w:val="a7"/>
        <w:rFonts w:hint="eastAsia"/>
      </w:rPr>
      <w:t>页共</w:t>
    </w:r>
    <w:r w:rsidR="000329EB">
      <w:fldChar w:fldCharType="begin"/>
    </w:r>
    <w:r w:rsidR="000329EB">
      <w:instrText xml:space="preserve"> NUMPAGES  \* Arabic  \* MERGEFORMAT </w:instrText>
    </w:r>
    <w:r w:rsidR="000329EB">
      <w:fldChar w:fldCharType="separate"/>
    </w:r>
    <w:r w:rsidR="000329EB" w:rsidRPr="000329EB">
      <w:rPr>
        <w:rStyle w:val="a7"/>
        <w:noProof/>
      </w:rPr>
      <w:t>3</w:t>
    </w:r>
    <w:r w:rsidR="000329EB">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0329EB">
      <w:rPr>
        <w:rStyle w:val="a7"/>
        <w:noProof/>
      </w:rPr>
      <w:t>16</w:t>
    </w:r>
    <w:r>
      <w:rPr>
        <w:rStyle w:val="a7"/>
      </w:rPr>
      <w:fldChar w:fldCharType="end"/>
    </w:r>
    <w:r>
      <w:rPr>
        <w:rStyle w:val="a7"/>
        <w:rFonts w:hint="eastAsia"/>
      </w:rPr>
      <w:t>页共</w:t>
    </w:r>
    <w:r w:rsidR="000329EB">
      <w:fldChar w:fldCharType="begin"/>
    </w:r>
    <w:r w:rsidR="000329EB">
      <w:instrText xml:space="preserve"> NUMPAGES  \* Arabic  \* MERGEFORMAT </w:instrText>
    </w:r>
    <w:r w:rsidR="000329EB">
      <w:fldChar w:fldCharType="separate"/>
    </w:r>
    <w:r w:rsidR="000329EB" w:rsidRPr="000329EB">
      <w:rPr>
        <w:rStyle w:val="a7"/>
        <w:noProof/>
      </w:rPr>
      <w:t>16</w:t>
    </w:r>
    <w:r w:rsidR="000329EB">
      <w:rPr>
        <w:rStyle w:val="a7"/>
        <w:noProof/>
      </w:rPr>
      <w:fldChar w:fldCharType="end"/>
    </w:r>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19D" w:rsidRDefault="00AB519D" w:rsidP="00876D65">
      <w:r>
        <w:separator/>
      </w:r>
    </w:p>
  </w:footnote>
  <w:footnote w:type="continuationSeparator" w:id="0">
    <w:p w:rsidR="00AB519D" w:rsidRDefault="00AB519D"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易方达汇诚养老目标日期</w:t>
    </w:r>
    <w:r w:rsidRPr="00093704">
      <w:t>2033</w:t>
    </w:r>
    <w:r w:rsidRPr="00093704">
      <w:t>三年持有期混合型发起式基金中基金（</w:t>
    </w:r>
    <w:r w:rsidRPr="00093704">
      <w:t>FOF</w:t>
    </w:r>
    <w:r w:rsidRPr="00093704">
      <w:t>）</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31EBB"/>
    <w:rsid w:val="000329EB"/>
    <w:rsid w:val="00033B8D"/>
    <w:rsid w:val="00033E3E"/>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0A"/>
    <w:rsid w:val="00160EDC"/>
    <w:rsid w:val="0016180A"/>
    <w:rsid w:val="001675CD"/>
    <w:rsid w:val="00170435"/>
    <w:rsid w:val="00171EF0"/>
    <w:rsid w:val="001761D2"/>
    <w:rsid w:val="001830D7"/>
    <w:rsid w:val="00185A34"/>
    <w:rsid w:val="001878B0"/>
    <w:rsid w:val="0019049E"/>
    <w:rsid w:val="00191BDE"/>
    <w:rsid w:val="00196E6C"/>
    <w:rsid w:val="001A73E8"/>
    <w:rsid w:val="001B0A62"/>
    <w:rsid w:val="001B2F35"/>
    <w:rsid w:val="001B3C1C"/>
    <w:rsid w:val="001B6E7E"/>
    <w:rsid w:val="001C0993"/>
    <w:rsid w:val="001C5F9B"/>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80C9F"/>
    <w:rsid w:val="00286BEF"/>
    <w:rsid w:val="00286FA2"/>
    <w:rsid w:val="002918E3"/>
    <w:rsid w:val="002973A9"/>
    <w:rsid w:val="002B1D1A"/>
    <w:rsid w:val="002C28F2"/>
    <w:rsid w:val="002C5960"/>
    <w:rsid w:val="002D6FB6"/>
    <w:rsid w:val="002E2237"/>
    <w:rsid w:val="002E2255"/>
    <w:rsid w:val="002E3B09"/>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57DBA"/>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06B1"/>
    <w:rsid w:val="00604C26"/>
    <w:rsid w:val="006066D2"/>
    <w:rsid w:val="0061286A"/>
    <w:rsid w:val="00613D7A"/>
    <w:rsid w:val="00614CC4"/>
    <w:rsid w:val="0062025E"/>
    <w:rsid w:val="0062420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5FB3"/>
    <w:rsid w:val="006A67F8"/>
    <w:rsid w:val="006A7AF1"/>
    <w:rsid w:val="006B11BB"/>
    <w:rsid w:val="006B4C11"/>
    <w:rsid w:val="006C12B8"/>
    <w:rsid w:val="006C37FC"/>
    <w:rsid w:val="006C56AA"/>
    <w:rsid w:val="006C7EA3"/>
    <w:rsid w:val="006D07F3"/>
    <w:rsid w:val="006D39E9"/>
    <w:rsid w:val="006D3BE3"/>
    <w:rsid w:val="006D7004"/>
    <w:rsid w:val="006D75A5"/>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431FA"/>
    <w:rsid w:val="00945AF6"/>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42"/>
    <w:rsid w:val="00A727C1"/>
    <w:rsid w:val="00A76625"/>
    <w:rsid w:val="00A82CBA"/>
    <w:rsid w:val="00A83500"/>
    <w:rsid w:val="00A90049"/>
    <w:rsid w:val="00A917BF"/>
    <w:rsid w:val="00A96A94"/>
    <w:rsid w:val="00AA257D"/>
    <w:rsid w:val="00AA3A38"/>
    <w:rsid w:val="00AA4F94"/>
    <w:rsid w:val="00AB047E"/>
    <w:rsid w:val="00AB519D"/>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BF4727"/>
    <w:rsid w:val="00C11A5E"/>
    <w:rsid w:val="00C21520"/>
    <w:rsid w:val="00C222B2"/>
    <w:rsid w:val="00C225FB"/>
    <w:rsid w:val="00C26ADA"/>
    <w:rsid w:val="00C370E0"/>
    <w:rsid w:val="00C41870"/>
    <w:rsid w:val="00C46B88"/>
    <w:rsid w:val="00C5218C"/>
    <w:rsid w:val="00C52191"/>
    <w:rsid w:val="00C5642F"/>
    <w:rsid w:val="00C57A3E"/>
    <w:rsid w:val="00C63554"/>
    <w:rsid w:val="00C71497"/>
    <w:rsid w:val="00C72F5B"/>
    <w:rsid w:val="00C73BCD"/>
    <w:rsid w:val="00C77AEF"/>
    <w:rsid w:val="00C77E37"/>
    <w:rsid w:val="00C86EB7"/>
    <w:rsid w:val="00C87129"/>
    <w:rsid w:val="00C91E1B"/>
    <w:rsid w:val="00CA2BD3"/>
    <w:rsid w:val="00CA4677"/>
    <w:rsid w:val="00CA5FD5"/>
    <w:rsid w:val="00CA7703"/>
    <w:rsid w:val="00CB0F92"/>
    <w:rsid w:val="00CB1953"/>
    <w:rsid w:val="00CD4E6D"/>
    <w:rsid w:val="00CD5707"/>
    <w:rsid w:val="00CD7702"/>
    <w:rsid w:val="00CD7FC9"/>
    <w:rsid w:val="00CE075A"/>
    <w:rsid w:val="00CE29EA"/>
    <w:rsid w:val="00CF47EB"/>
    <w:rsid w:val="00CF6572"/>
    <w:rsid w:val="00CF7885"/>
    <w:rsid w:val="00D02347"/>
    <w:rsid w:val="00D04755"/>
    <w:rsid w:val="00D1193B"/>
    <w:rsid w:val="00D13737"/>
    <w:rsid w:val="00D15D27"/>
    <w:rsid w:val="00D1638E"/>
    <w:rsid w:val="00D21D10"/>
    <w:rsid w:val="00D21FFF"/>
    <w:rsid w:val="00D272A5"/>
    <w:rsid w:val="00D43AFB"/>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21AA62B-1CFA-4E0D-A964-23497897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 w:type="character" w:customStyle="1" w:styleId="2CharCharChar">
    <w:name w:val="标题 2 Char Char Char"/>
    <w:rsid w:val="006A5FB3"/>
    <w:rPr>
      <w:rFonts w:ascii="Arial" w:eastAsia="宋体" w:hAnsi="Arial"/>
      <w:b/>
      <w:kern w:val="2"/>
      <w:sz w:val="28"/>
      <w:szCs w:val="28"/>
      <w:lang w:val="en-US" w:eastAsia="zh-CN" w:bidi="ar-SA"/>
    </w:rPr>
  </w:style>
  <w:style w:type="paragraph" w:customStyle="1" w:styleId="11">
    <w:name w:val="正文_1"/>
    <w:qFormat/>
    <w:rsid w:val="006A5FB3"/>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53">
      <w:bodyDiv w:val="1"/>
      <w:marLeft w:val="0"/>
      <w:marRight w:val="0"/>
      <w:marTop w:val="0"/>
      <w:marBottom w:val="0"/>
      <w:divBdr>
        <w:top w:val="none" w:sz="0" w:space="0" w:color="auto"/>
        <w:left w:val="none" w:sz="0" w:space="0" w:color="auto"/>
        <w:bottom w:val="none" w:sz="0" w:space="0" w:color="auto"/>
        <w:right w:val="none" w:sz="0" w:space="0" w:color="auto"/>
      </w:divBdr>
    </w:div>
    <w:div w:id="1068840387">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2F14E-0FA1-47AC-A92C-8B6C7516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TotalTime>
  <Pages>3</Pages>
  <Words>1450</Words>
  <Characters>8270</Characters>
  <Application>Microsoft Office Word</Application>
  <DocSecurity>0</DocSecurity>
  <Lines>68</Lines>
  <Paragraphs>19</Paragraphs>
  <ScaleCrop>false</ScaleCrop>
  <Company/>
  <LinksUpToDate>false</LinksUpToDate>
  <CharactersWithSpaces>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338</cp:revision>
  <cp:lastPrinted>2019-10-16T13:56:00Z</cp:lastPrinted>
  <dcterms:created xsi:type="dcterms:W3CDTF">2012-10-16T06:07:00Z</dcterms:created>
  <dcterms:modified xsi:type="dcterms:W3CDTF">2019-10-16T13:56:00Z</dcterms:modified>
</cp:coreProperties>
</file>