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w:t>
      </w:r>
      <w:r w:rsidRPr="00D3639B">
        <w:rPr>
          <w:rFonts w:eastAsiaTheme="minorEastAsia"/>
          <w:b/>
          <w:color w:val="000000" w:themeColor="text1"/>
          <w:sz w:val="36"/>
          <w:szCs w:val="36"/>
        </w:rPr>
        <w:t>MSCI</w:t>
      </w:r>
      <w:r w:rsidRPr="00D3639B">
        <w:rPr>
          <w:rFonts w:eastAsiaTheme="minorEastAsia"/>
          <w:b/>
          <w:color w:val="000000" w:themeColor="text1"/>
          <w:sz w:val="36"/>
          <w:szCs w:val="36"/>
        </w:rPr>
        <w:t>中国</w:t>
      </w:r>
      <w:r w:rsidRPr="00D3639B">
        <w:rPr>
          <w:rFonts w:eastAsiaTheme="minorEastAsia"/>
          <w:b/>
          <w:color w:val="000000" w:themeColor="text1"/>
          <w:sz w:val="36"/>
          <w:szCs w:val="36"/>
        </w:rPr>
        <w:t>A</w:t>
      </w:r>
      <w:r w:rsidRPr="00D3639B">
        <w:rPr>
          <w:rFonts w:eastAsiaTheme="minorEastAsia"/>
          <w:b/>
          <w:color w:val="000000" w:themeColor="text1"/>
          <w:sz w:val="36"/>
          <w:szCs w:val="36"/>
        </w:rPr>
        <w:t>股国际通交易型开放式指数证券投资基金发起式联接基金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w:t>
            </w: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w:t>
            </w:r>
            <w:r w:rsidRPr="00B34368">
              <w:rPr>
                <w:rFonts w:eastAsiaTheme="minorEastAsia"/>
                <w:color w:val="000000" w:themeColor="text1"/>
                <w:kern w:val="0"/>
                <w:sz w:val="24"/>
              </w:rPr>
              <w:t>ETF</w:t>
            </w:r>
            <w:r w:rsidRPr="00B34368">
              <w:rPr>
                <w:rFonts w:eastAsiaTheme="minorEastAsia"/>
                <w:color w:val="000000" w:themeColor="text1"/>
                <w:kern w:val="0"/>
                <w:sz w:val="24"/>
              </w:rPr>
              <w:t>联接发起式</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006704</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2019</w:t>
            </w:r>
            <w:r w:rsidRPr="00B34368">
              <w:rPr>
                <w:rFonts w:eastAsiaTheme="minorEastAsia"/>
                <w:color w:val="000000" w:themeColor="text1"/>
                <w:kern w:val="0"/>
                <w:sz w:val="24"/>
              </w:rPr>
              <w:t>年</w:t>
            </w:r>
            <w:r w:rsidRPr="00B34368">
              <w:rPr>
                <w:rFonts w:eastAsiaTheme="minorEastAsia"/>
                <w:color w:val="000000" w:themeColor="text1"/>
                <w:kern w:val="0"/>
                <w:sz w:val="24"/>
              </w:rPr>
              <w:t>3</w:t>
            </w:r>
            <w:r w:rsidRPr="00B34368">
              <w:rPr>
                <w:rFonts w:eastAsiaTheme="minorEastAsia"/>
                <w:color w:val="000000" w:themeColor="text1"/>
                <w:kern w:val="0"/>
                <w:sz w:val="24"/>
              </w:rPr>
              <w:t>月</w:t>
            </w:r>
            <w:r w:rsidRPr="00B34368">
              <w:rPr>
                <w:rFonts w:eastAsiaTheme="minorEastAsia"/>
                <w:color w:val="000000" w:themeColor="text1"/>
                <w:kern w:val="0"/>
                <w:sz w:val="24"/>
              </w:rPr>
              <w:t>13</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165,414,204.14</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紧密跟踪业绩比较基准，追求跟踪偏离度和跟踪误差的最小化。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本基金为易方达</w:t>
            </w: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的联接基金，主要通过投资于易方达</w:t>
            </w: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实现对业绩比较基准的紧密跟踪，力争将日均跟踪偏离度控制在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w:t>
            </w:r>
            <w:r w:rsidRPr="00B34368">
              <w:rPr>
                <w:rFonts w:eastAsiaTheme="minorEastAsia"/>
                <w:color w:val="000000" w:themeColor="text1"/>
                <w:kern w:val="0"/>
                <w:sz w:val="24"/>
              </w:rPr>
              <w:t xml:space="preserve"> </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股国际通指数（</w:t>
            </w:r>
            <w:r w:rsidRPr="00B34368">
              <w:rPr>
                <w:rFonts w:eastAsiaTheme="minorEastAsia"/>
                <w:color w:val="000000" w:themeColor="text1"/>
                <w:kern w:val="0"/>
                <w:sz w:val="24"/>
              </w:rPr>
              <w:t>MSCI China A Inclusion RMB Index</w:t>
            </w:r>
            <w:r w:rsidRPr="00B34368">
              <w:rPr>
                <w:rFonts w:eastAsiaTheme="minorEastAsia"/>
                <w:color w:val="000000" w:themeColor="text1"/>
                <w:kern w:val="0"/>
                <w:sz w:val="24"/>
              </w:rPr>
              <w:t>）收益率</w:t>
            </w:r>
            <w:r w:rsidRPr="00B34368">
              <w:rPr>
                <w:rFonts w:eastAsiaTheme="minorEastAsia"/>
                <w:color w:val="000000" w:themeColor="text1"/>
                <w:kern w:val="0"/>
                <w:sz w:val="24"/>
              </w:rPr>
              <w:t>×95%+</w:t>
            </w:r>
            <w:r w:rsidRPr="00B34368">
              <w:rPr>
                <w:rFonts w:eastAsiaTheme="minorEastAsia"/>
                <w:color w:val="000000" w:themeColor="text1"/>
                <w:kern w:val="0"/>
                <w:sz w:val="24"/>
              </w:rPr>
              <w:t>活期存款利率（税后）</w:t>
            </w:r>
            <w:r w:rsidRPr="00B34368">
              <w:rPr>
                <w:rFonts w:eastAsiaTheme="minorEastAsia"/>
                <w:color w:val="000000" w:themeColor="text1"/>
                <w:kern w:val="0"/>
                <w:sz w:val="24"/>
              </w:rPr>
              <w:t xml:space="preserve">×5% </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w:t>
            </w:r>
            <w:r w:rsidRPr="00B34368">
              <w:rPr>
                <w:rFonts w:eastAsiaTheme="minorEastAsia"/>
                <w:color w:val="000000" w:themeColor="text1"/>
                <w:kern w:val="0"/>
                <w:sz w:val="24"/>
              </w:rPr>
              <w:t>ETF</w:t>
            </w:r>
            <w:r w:rsidRPr="00B34368">
              <w:rPr>
                <w:rFonts w:eastAsiaTheme="minorEastAsia"/>
                <w:color w:val="000000" w:themeColor="text1"/>
                <w:kern w:val="0"/>
                <w:sz w:val="24"/>
              </w:rPr>
              <w:t>联接基金，预期风险与预期收益水平高于混合型基金、债券型基金与货币市场基金。本基金主要通过投资于易方达</w:t>
            </w: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实现对业绩比较基准的紧密跟踪。因此，本基金的业绩表现与</w:t>
            </w:r>
            <w:r w:rsidRPr="00B34368">
              <w:rPr>
                <w:rFonts w:eastAsiaTheme="minorEastAsia"/>
                <w:color w:val="000000" w:themeColor="text1"/>
                <w:kern w:val="0"/>
                <w:sz w:val="24"/>
              </w:rPr>
              <w:t>MSCI</w:t>
            </w:r>
            <w:r w:rsidRPr="00B34368">
              <w:rPr>
                <w:rFonts w:eastAsiaTheme="minorEastAsia"/>
                <w:color w:val="000000" w:themeColor="text1"/>
                <w:kern w:val="0"/>
                <w:sz w:val="24"/>
              </w:rPr>
              <w:t>中国</w:t>
            </w:r>
            <w:r w:rsidRPr="00B34368">
              <w:rPr>
                <w:rFonts w:eastAsiaTheme="minorEastAsia"/>
                <w:color w:val="000000" w:themeColor="text1"/>
                <w:kern w:val="0"/>
                <w:sz w:val="24"/>
              </w:rPr>
              <w:t>A</w:t>
            </w:r>
            <w:r w:rsidRPr="00B34368">
              <w:rPr>
                <w:rFonts w:eastAsiaTheme="minorEastAsia"/>
                <w:color w:val="000000" w:themeColor="text1"/>
                <w:kern w:val="0"/>
                <w:sz w:val="24"/>
              </w:rPr>
              <w:t>股国际通指数的表现密切相关。</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006704</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006705</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49,725,025.68</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115,689,178.46</w:t>
            </w:r>
            <w:r w:rsidR="00D305C9" w:rsidRPr="00B34368">
              <w:rPr>
                <w:rFonts w:eastAsiaTheme="minorEastAsia" w:hAnsiTheme="minorEastAsia"/>
                <w:color w:val="000000" w:themeColor="text1"/>
                <w:kern w:val="0"/>
                <w:sz w:val="24"/>
              </w:rPr>
              <w:t>份</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股国际通交易型开放式指数证券投资基金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512090</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2018</w:t>
            </w:r>
            <w:r w:rsidRPr="00B34368">
              <w:rPr>
                <w:rFonts w:eastAsiaTheme="minorEastAsia"/>
                <w:color w:val="000000" w:themeColor="text1"/>
                <w:sz w:val="24"/>
              </w:rPr>
              <w:t>年</w:t>
            </w:r>
            <w:r w:rsidRPr="00B34368">
              <w:rPr>
                <w:rFonts w:eastAsiaTheme="minorEastAsia"/>
                <w:color w:val="000000" w:themeColor="text1"/>
                <w:sz w:val="24"/>
              </w:rPr>
              <w:t>5</w:t>
            </w:r>
            <w:r w:rsidRPr="00B34368">
              <w:rPr>
                <w:rFonts w:eastAsiaTheme="minorEastAsia"/>
                <w:color w:val="000000" w:themeColor="text1"/>
                <w:sz w:val="24"/>
              </w:rPr>
              <w:t>月</w:t>
            </w:r>
            <w:r w:rsidRPr="00B34368">
              <w:rPr>
                <w:rFonts w:eastAsiaTheme="minorEastAsia"/>
                <w:color w:val="000000" w:themeColor="text1"/>
                <w:sz w:val="24"/>
              </w:rPr>
              <w:t>17</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2018</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lastRenderedPageBreak/>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紧密跟踪标的指数，追求跟踪偏离度和跟踪误差的最小化。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包括成份股替代策略在内的其他指数投资技术适当调整基金投资组合，以达到紧密跟踪标的指数的目的。</w:t>
            </w:r>
            <w:r w:rsidRPr="00B34368">
              <w:rPr>
                <w:rFonts w:eastAsiaTheme="minorEastAsia"/>
                <w:color w:val="000000" w:themeColor="text1"/>
                <w:sz w:val="24"/>
              </w:rPr>
              <w:t xml:space="preserve"> </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股国际通指数（</w:t>
            </w:r>
            <w:r w:rsidRPr="00B34368">
              <w:rPr>
                <w:rFonts w:eastAsiaTheme="minorEastAsia"/>
                <w:color w:val="000000" w:themeColor="text1"/>
                <w:sz w:val="24"/>
              </w:rPr>
              <w:t>MSCI China A Inclusion RMB Index</w:t>
            </w:r>
            <w:r w:rsidRPr="00B34368">
              <w:rPr>
                <w:rFonts w:eastAsiaTheme="minorEastAsia"/>
                <w:color w:val="000000" w:themeColor="text1"/>
                <w:sz w:val="24"/>
              </w:rPr>
              <w:t>）收益率</w:t>
            </w:r>
            <w:r w:rsidRPr="00B34368">
              <w:rPr>
                <w:rFonts w:eastAsiaTheme="minorEastAsia"/>
                <w:color w:val="000000" w:themeColor="text1"/>
                <w:sz w:val="24"/>
              </w:rPr>
              <w:t xml:space="preserve"> </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本基金为股票型基金，预期风险与预期收益水平高于混合型基金、债券型基金与货币市场基金。本基金为指数型基金，主要采用完全复制法跟踪标的指数的表现，具有与标的指数相似的风险收益特征。</w:t>
            </w:r>
            <w:r w:rsidRPr="00B34368">
              <w:rPr>
                <w:rFonts w:eastAsiaTheme="minorEastAsia"/>
                <w:color w:val="000000" w:themeColor="text1"/>
                <w:sz w:val="24"/>
              </w:rPr>
              <w:t xml:space="preserve"> </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542,281.27</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1,120,432.49</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1,324,281.32</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2,723,933.31</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0.0215</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0.0192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50,279,273.79</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116,666,823.61</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1.0111</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1.0085</w:t>
            </w:r>
          </w:p>
        </w:tc>
      </w:tr>
    </w:tbl>
    <w:p w:rsidR="00A20233" w:rsidRDefault="00517A7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w:t>
      </w:r>
      <w:r w:rsidRPr="00B34368">
        <w:rPr>
          <w:rFonts w:eastAsiaTheme="minorEastAsia"/>
          <w:color w:val="000000" w:themeColor="text1"/>
          <w:sz w:val="24"/>
        </w:rPr>
        <w:t>(</w:t>
      </w:r>
      <w:r w:rsidRPr="00B34368">
        <w:rPr>
          <w:rFonts w:eastAsiaTheme="minorEastAsia"/>
          <w:color w:val="000000" w:themeColor="text1"/>
          <w:sz w:val="24"/>
        </w:rPr>
        <w:t>不含公允价值变动</w:t>
      </w:r>
      <w:r w:rsidRPr="00B34368">
        <w:rPr>
          <w:rFonts w:eastAsiaTheme="minorEastAsia"/>
          <w:color w:val="000000" w:themeColor="text1"/>
          <w:sz w:val="24"/>
        </w:rPr>
        <w:lastRenderedPageBreak/>
        <w:t>收益</w:t>
      </w:r>
      <w:r w:rsidRPr="00B34368">
        <w:rPr>
          <w:rFonts w:eastAsiaTheme="minorEastAsia"/>
          <w:color w:val="000000" w:themeColor="text1"/>
          <w:sz w:val="24"/>
        </w:rPr>
        <w:t>)</w:t>
      </w:r>
      <w:r w:rsidRPr="00B34368">
        <w:rPr>
          <w:rFonts w:eastAsiaTheme="minorEastAsia"/>
          <w:color w:val="000000" w:themeColor="text1"/>
          <w:sz w:val="24"/>
        </w:rPr>
        <w:t>扣除相关费用后的余额，本期利润为本期已实现收益加上本期公允价值变动收益。</w:t>
      </w:r>
      <w:r w:rsidRPr="00B34368">
        <w:rPr>
          <w:rFonts w:eastAsiaTheme="minorEastAsia"/>
          <w:color w:val="000000" w:themeColor="text1"/>
          <w:sz w:val="24"/>
        </w:rPr>
        <w:t xml:space="preserve"> </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w:t>
      </w:r>
      <w:r w:rsidRPr="00B34368">
        <w:rPr>
          <w:rFonts w:eastAsiaTheme="minorEastAsia"/>
          <w:b/>
          <w:color w:val="000000" w:themeColor="text1"/>
          <w:kern w:val="0"/>
          <w:sz w:val="24"/>
        </w:rPr>
        <w:t>MSCI</w:t>
      </w:r>
      <w:r w:rsidRPr="00B34368">
        <w:rPr>
          <w:rFonts w:eastAsiaTheme="minorEastAsia"/>
          <w:b/>
          <w:color w:val="000000" w:themeColor="text1"/>
          <w:kern w:val="0"/>
          <w:sz w:val="24"/>
        </w:rPr>
        <w:t>中国</w:t>
      </w:r>
      <w:r w:rsidRPr="00B34368">
        <w:rPr>
          <w:rFonts w:eastAsiaTheme="minorEastAsia"/>
          <w:b/>
          <w:color w:val="000000" w:themeColor="text1"/>
          <w:kern w:val="0"/>
          <w:sz w:val="24"/>
        </w:rPr>
        <w:t>A</w:t>
      </w:r>
      <w:r w:rsidRPr="00B34368">
        <w:rPr>
          <w:rFonts w:eastAsiaTheme="minorEastAsia"/>
          <w:b/>
          <w:color w:val="000000" w:themeColor="text1"/>
          <w:kern w:val="0"/>
          <w:sz w:val="24"/>
        </w:rPr>
        <w:t>股国际通</w:t>
      </w:r>
      <w:r w:rsidRPr="00B34368">
        <w:rPr>
          <w:rFonts w:eastAsiaTheme="minorEastAsia"/>
          <w:b/>
          <w:color w:val="000000" w:themeColor="text1"/>
          <w:kern w:val="0"/>
          <w:sz w:val="24"/>
        </w:rPr>
        <w:t>ETF</w:t>
      </w:r>
      <w:r w:rsidRPr="00B34368">
        <w:rPr>
          <w:rFonts w:eastAsiaTheme="minorEastAsia"/>
          <w:b/>
          <w:color w:val="000000" w:themeColor="text1"/>
          <w:kern w:val="0"/>
          <w:sz w:val="24"/>
        </w:rPr>
        <w:t>联接发起式</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A20233">
        <w:tc>
          <w:tcPr>
            <w:tcW w:w="1290" w:type="dxa"/>
            <w:vAlign w:val="center"/>
          </w:tcPr>
          <w:p w:rsidR="00A20233" w:rsidRDefault="00517A7B">
            <w:pPr>
              <w:jc w:val="left"/>
            </w:pPr>
            <w:r>
              <w:rPr>
                <w:rFonts w:eastAsiaTheme="minorEastAsia"/>
                <w:color w:val="000000" w:themeColor="text1"/>
                <w:sz w:val="24"/>
              </w:rPr>
              <w:t>过去三个月</w:t>
            </w:r>
          </w:p>
        </w:tc>
        <w:tc>
          <w:tcPr>
            <w:tcW w:w="1291" w:type="dxa"/>
            <w:vAlign w:val="center"/>
          </w:tcPr>
          <w:p w:rsidR="00A20233" w:rsidRDefault="00517A7B">
            <w:pPr>
              <w:jc w:val="right"/>
            </w:pPr>
            <w:r>
              <w:rPr>
                <w:rFonts w:eastAsiaTheme="minorEastAsia"/>
                <w:color w:val="000000" w:themeColor="text1"/>
                <w:sz w:val="24"/>
              </w:rPr>
              <w:t>1.55%</w:t>
            </w:r>
          </w:p>
        </w:tc>
        <w:tc>
          <w:tcPr>
            <w:tcW w:w="1291" w:type="dxa"/>
            <w:vAlign w:val="center"/>
          </w:tcPr>
          <w:p w:rsidR="00A20233" w:rsidRDefault="00517A7B">
            <w:pPr>
              <w:jc w:val="right"/>
            </w:pPr>
            <w:r>
              <w:rPr>
                <w:rFonts w:eastAsiaTheme="minorEastAsia"/>
                <w:color w:val="000000" w:themeColor="text1"/>
                <w:sz w:val="24"/>
              </w:rPr>
              <w:t>0.87%</w:t>
            </w:r>
          </w:p>
        </w:tc>
        <w:tc>
          <w:tcPr>
            <w:tcW w:w="1291" w:type="dxa"/>
            <w:vAlign w:val="center"/>
          </w:tcPr>
          <w:p w:rsidR="00A20233" w:rsidRDefault="00517A7B">
            <w:pPr>
              <w:jc w:val="right"/>
            </w:pPr>
            <w:r>
              <w:rPr>
                <w:rFonts w:eastAsiaTheme="minorEastAsia"/>
                <w:color w:val="000000" w:themeColor="text1"/>
                <w:sz w:val="24"/>
              </w:rPr>
              <w:t>-0.04%</w:t>
            </w:r>
          </w:p>
        </w:tc>
        <w:tc>
          <w:tcPr>
            <w:tcW w:w="1291" w:type="dxa"/>
            <w:vAlign w:val="center"/>
          </w:tcPr>
          <w:p w:rsidR="00A20233" w:rsidRDefault="00517A7B">
            <w:pPr>
              <w:jc w:val="right"/>
            </w:pPr>
            <w:r>
              <w:rPr>
                <w:rFonts w:eastAsiaTheme="minorEastAsia"/>
                <w:color w:val="000000" w:themeColor="text1"/>
                <w:sz w:val="24"/>
              </w:rPr>
              <w:t>0.89%</w:t>
            </w:r>
          </w:p>
        </w:tc>
        <w:tc>
          <w:tcPr>
            <w:tcW w:w="1291" w:type="dxa"/>
            <w:vAlign w:val="center"/>
          </w:tcPr>
          <w:p w:rsidR="00A20233" w:rsidRDefault="00517A7B">
            <w:pPr>
              <w:jc w:val="right"/>
            </w:pPr>
            <w:r>
              <w:rPr>
                <w:rFonts w:eastAsiaTheme="minorEastAsia"/>
                <w:color w:val="000000" w:themeColor="text1"/>
                <w:sz w:val="24"/>
              </w:rPr>
              <w:t>1.59%</w:t>
            </w:r>
          </w:p>
        </w:tc>
        <w:tc>
          <w:tcPr>
            <w:tcW w:w="1291" w:type="dxa"/>
            <w:vAlign w:val="center"/>
          </w:tcPr>
          <w:p w:rsidR="00A20233" w:rsidRDefault="00517A7B">
            <w:pPr>
              <w:jc w:val="right"/>
            </w:pPr>
            <w:r>
              <w:rPr>
                <w:rFonts w:eastAsiaTheme="minorEastAsia"/>
                <w:color w:val="000000" w:themeColor="text1"/>
                <w:sz w:val="24"/>
              </w:rPr>
              <w:t>-0.02%</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w:t>
      </w:r>
      <w:r w:rsidRPr="00B34368">
        <w:rPr>
          <w:rFonts w:eastAsiaTheme="minorEastAsia"/>
          <w:b/>
          <w:color w:val="000000" w:themeColor="text1"/>
          <w:kern w:val="0"/>
          <w:sz w:val="24"/>
        </w:rPr>
        <w:t>MSCI</w:t>
      </w:r>
      <w:r w:rsidRPr="00B34368">
        <w:rPr>
          <w:rFonts w:eastAsiaTheme="minorEastAsia"/>
          <w:b/>
          <w:color w:val="000000" w:themeColor="text1"/>
          <w:kern w:val="0"/>
          <w:sz w:val="24"/>
        </w:rPr>
        <w:t>中国</w:t>
      </w:r>
      <w:r w:rsidRPr="00B34368">
        <w:rPr>
          <w:rFonts w:eastAsiaTheme="minorEastAsia"/>
          <w:b/>
          <w:color w:val="000000" w:themeColor="text1"/>
          <w:kern w:val="0"/>
          <w:sz w:val="24"/>
        </w:rPr>
        <w:t>A</w:t>
      </w:r>
      <w:r w:rsidRPr="00B34368">
        <w:rPr>
          <w:rFonts w:eastAsiaTheme="minorEastAsia"/>
          <w:b/>
          <w:color w:val="000000" w:themeColor="text1"/>
          <w:kern w:val="0"/>
          <w:sz w:val="24"/>
        </w:rPr>
        <w:t>股国际通</w:t>
      </w:r>
      <w:r w:rsidRPr="00B34368">
        <w:rPr>
          <w:rFonts w:eastAsiaTheme="minorEastAsia"/>
          <w:b/>
          <w:color w:val="000000" w:themeColor="text1"/>
          <w:kern w:val="0"/>
          <w:sz w:val="24"/>
        </w:rPr>
        <w:t>ETF</w:t>
      </w:r>
      <w:r w:rsidRPr="00B34368">
        <w:rPr>
          <w:rFonts w:eastAsiaTheme="minorEastAsia"/>
          <w:b/>
          <w:color w:val="000000" w:themeColor="text1"/>
          <w:kern w:val="0"/>
          <w:sz w:val="24"/>
        </w:rPr>
        <w:t>联接发起式</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A20233">
        <w:tc>
          <w:tcPr>
            <w:tcW w:w="1290" w:type="dxa"/>
            <w:vAlign w:val="center"/>
          </w:tcPr>
          <w:p w:rsidR="00A20233" w:rsidRDefault="00517A7B">
            <w:pPr>
              <w:jc w:val="left"/>
            </w:pPr>
            <w:r>
              <w:rPr>
                <w:rFonts w:eastAsiaTheme="minorEastAsia"/>
                <w:color w:val="000000" w:themeColor="text1"/>
                <w:sz w:val="24"/>
              </w:rPr>
              <w:t>过去三个月</w:t>
            </w:r>
          </w:p>
        </w:tc>
        <w:tc>
          <w:tcPr>
            <w:tcW w:w="1291" w:type="dxa"/>
            <w:vAlign w:val="center"/>
          </w:tcPr>
          <w:p w:rsidR="00A20233" w:rsidRDefault="00517A7B">
            <w:pPr>
              <w:jc w:val="right"/>
            </w:pPr>
            <w:r>
              <w:rPr>
                <w:rFonts w:eastAsiaTheme="minorEastAsia"/>
                <w:color w:val="000000" w:themeColor="text1"/>
                <w:sz w:val="24"/>
              </w:rPr>
              <w:t>1.45%</w:t>
            </w:r>
          </w:p>
        </w:tc>
        <w:tc>
          <w:tcPr>
            <w:tcW w:w="1291" w:type="dxa"/>
            <w:vAlign w:val="center"/>
          </w:tcPr>
          <w:p w:rsidR="00A20233" w:rsidRDefault="00517A7B">
            <w:pPr>
              <w:jc w:val="right"/>
            </w:pPr>
            <w:r>
              <w:rPr>
                <w:rFonts w:eastAsiaTheme="minorEastAsia"/>
                <w:color w:val="000000" w:themeColor="text1"/>
                <w:sz w:val="24"/>
              </w:rPr>
              <w:t>0.87%</w:t>
            </w:r>
          </w:p>
        </w:tc>
        <w:tc>
          <w:tcPr>
            <w:tcW w:w="1291" w:type="dxa"/>
            <w:vAlign w:val="center"/>
          </w:tcPr>
          <w:p w:rsidR="00A20233" w:rsidRDefault="00517A7B">
            <w:pPr>
              <w:jc w:val="right"/>
            </w:pPr>
            <w:r>
              <w:rPr>
                <w:rFonts w:eastAsiaTheme="minorEastAsia"/>
                <w:color w:val="000000" w:themeColor="text1"/>
                <w:sz w:val="24"/>
              </w:rPr>
              <w:t>-0.04%</w:t>
            </w:r>
          </w:p>
        </w:tc>
        <w:tc>
          <w:tcPr>
            <w:tcW w:w="1291" w:type="dxa"/>
            <w:vAlign w:val="center"/>
          </w:tcPr>
          <w:p w:rsidR="00A20233" w:rsidRDefault="00517A7B">
            <w:pPr>
              <w:jc w:val="right"/>
            </w:pPr>
            <w:r>
              <w:rPr>
                <w:rFonts w:eastAsiaTheme="minorEastAsia"/>
                <w:color w:val="000000" w:themeColor="text1"/>
                <w:sz w:val="24"/>
              </w:rPr>
              <w:t>0.89%</w:t>
            </w:r>
          </w:p>
        </w:tc>
        <w:tc>
          <w:tcPr>
            <w:tcW w:w="1291" w:type="dxa"/>
            <w:vAlign w:val="center"/>
          </w:tcPr>
          <w:p w:rsidR="00A20233" w:rsidRDefault="00517A7B">
            <w:pPr>
              <w:jc w:val="right"/>
            </w:pPr>
            <w:r>
              <w:rPr>
                <w:rFonts w:eastAsiaTheme="minorEastAsia"/>
                <w:color w:val="000000" w:themeColor="text1"/>
                <w:sz w:val="24"/>
              </w:rPr>
              <w:t>1.49%</w:t>
            </w:r>
          </w:p>
        </w:tc>
        <w:tc>
          <w:tcPr>
            <w:tcW w:w="1291" w:type="dxa"/>
            <w:vAlign w:val="center"/>
          </w:tcPr>
          <w:p w:rsidR="00A20233" w:rsidRDefault="00517A7B">
            <w:pPr>
              <w:jc w:val="right"/>
            </w:pPr>
            <w:r>
              <w:rPr>
                <w:rFonts w:eastAsiaTheme="minorEastAsia"/>
                <w:color w:val="000000" w:themeColor="text1"/>
                <w:sz w:val="24"/>
              </w:rPr>
              <w:t>-0.02%</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FE0C8B" w:rsidRPr="00B34368">
        <w:rPr>
          <w:rStyle w:val="af6"/>
          <w:rFonts w:eastAsiaTheme="minorEastAsia"/>
          <w:color w:val="000000" w:themeColor="text1"/>
          <w:sz w:val="24"/>
          <w:shd w:val="clear" w:color="auto" w:fill="FFFFFF"/>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股国际通交易型开放式指数证券投资基金发起式联接基金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9A045B" w:rsidRPr="00B34368" w:rsidRDefault="009A045B" w:rsidP="00FC13C8">
      <w:pPr>
        <w:pStyle w:val="a5"/>
        <w:snapToGrid w:val="0"/>
        <w:spacing w:line="360" w:lineRule="auto"/>
        <w:ind w:firstLine="480"/>
        <w:jc w:val="center"/>
        <w:rPr>
          <w:rFonts w:ascii="Times New Roman" w:eastAsiaTheme="minorEastAsia" w:hAnsi="Times New Roman"/>
          <w:color w:val="000000" w:themeColor="text1"/>
          <w:sz w:val="24"/>
          <w:szCs w:val="24"/>
        </w:rPr>
      </w:pPr>
      <w:r w:rsidRPr="00B34368">
        <w:rPr>
          <w:rFonts w:ascii="Times New Roman" w:eastAsiaTheme="minorEastAsia" w:hAnsi="Times New Roman"/>
          <w:color w:val="000000" w:themeColor="text1"/>
          <w:sz w:val="24"/>
          <w:szCs w:val="24"/>
        </w:rPr>
        <w:t>(</w:t>
      </w:r>
      <w:r w:rsidR="00D04410" w:rsidRPr="00B34368">
        <w:rPr>
          <w:rFonts w:ascii="Times New Roman" w:eastAsiaTheme="minorEastAsia" w:hAnsi="Times New Roman"/>
          <w:color w:val="000000" w:themeColor="text1"/>
          <w:sz w:val="24"/>
          <w:szCs w:val="24"/>
        </w:rPr>
        <w:t>2019</w:t>
      </w:r>
      <w:r w:rsidR="00D04410" w:rsidRPr="00B34368">
        <w:rPr>
          <w:rFonts w:ascii="Times New Roman" w:eastAsiaTheme="minorEastAsia" w:hAnsi="Times New Roman"/>
          <w:color w:val="000000" w:themeColor="text1"/>
          <w:sz w:val="24"/>
          <w:szCs w:val="24"/>
        </w:rPr>
        <w:t>年</w:t>
      </w:r>
      <w:r w:rsidR="00D04410" w:rsidRPr="00B34368">
        <w:rPr>
          <w:rFonts w:ascii="Times New Roman" w:eastAsiaTheme="minorEastAsia" w:hAnsi="Times New Roman"/>
          <w:color w:val="000000" w:themeColor="text1"/>
          <w:sz w:val="24"/>
          <w:szCs w:val="24"/>
        </w:rPr>
        <w:t>3</w:t>
      </w:r>
      <w:r w:rsidR="00D04410" w:rsidRPr="00B34368">
        <w:rPr>
          <w:rFonts w:ascii="Times New Roman" w:eastAsiaTheme="minorEastAsia" w:hAnsi="Times New Roman"/>
          <w:color w:val="000000" w:themeColor="text1"/>
          <w:sz w:val="24"/>
          <w:szCs w:val="24"/>
        </w:rPr>
        <w:t>月</w:t>
      </w:r>
      <w:r w:rsidR="00D04410" w:rsidRPr="00B34368">
        <w:rPr>
          <w:rFonts w:ascii="Times New Roman" w:eastAsiaTheme="minorEastAsia" w:hAnsi="Times New Roman"/>
          <w:color w:val="000000" w:themeColor="text1"/>
          <w:sz w:val="24"/>
          <w:szCs w:val="24"/>
        </w:rPr>
        <w:t>13</w:t>
      </w:r>
      <w:r w:rsidR="00D04410" w:rsidRPr="00B34368">
        <w:rPr>
          <w:rFonts w:ascii="Times New Roman" w:eastAsiaTheme="minorEastAsia" w:hAnsi="Times New Roman"/>
          <w:color w:val="000000" w:themeColor="text1"/>
          <w:sz w:val="24"/>
          <w:szCs w:val="24"/>
        </w:rPr>
        <w:t>日</w:t>
      </w:r>
      <w:r w:rsidRPr="00B34368">
        <w:rPr>
          <w:rFonts w:ascii="Times New Roman" w:eastAsiaTheme="minorEastAsia" w:hAnsiTheme="minorEastAsia"/>
          <w:color w:val="000000" w:themeColor="text1"/>
          <w:sz w:val="24"/>
          <w:szCs w:val="24"/>
        </w:rPr>
        <w:t>至</w:t>
      </w:r>
      <w:r w:rsidRPr="00B34368">
        <w:rPr>
          <w:rFonts w:ascii="Times New Roman" w:eastAsiaTheme="minorEastAsia" w:hAnsi="Times New Roman"/>
          <w:color w:val="000000" w:themeColor="text1"/>
          <w:sz w:val="24"/>
          <w:szCs w:val="24"/>
        </w:rPr>
        <w:t>2019</w:t>
      </w:r>
      <w:r w:rsidRPr="00B34368">
        <w:rPr>
          <w:rFonts w:ascii="Times New Roman" w:eastAsiaTheme="minorEastAsia" w:hAnsi="Times New Roman"/>
          <w:color w:val="000000" w:themeColor="text1"/>
          <w:sz w:val="24"/>
          <w:szCs w:val="24"/>
        </w:rPr>
        <w:t>年</w:t>
      </w:r>
      <w:r w:rsidRPr="00B34368">
        <w:rPr>
          <w:rFonts w:ascii="Times New Roman" w:eastAsiaTheme="minorEastAsia" w:hAnsi="Times New Roman"/>
          <w:color w:val="000000" w:themeColor="text1"/>
          <w:sz w:val="24"/>
          <w:szCs w:val="24"/>
        </w:rPr>
        <w:t>9</w:t>
      </w:r>
      <w:r w:rsidRPr="00B34368">
        <w:rPr>
          <w:rFonts w:ascii="Times New Roman" w:eastAsiaTheme="minorEastAsia" w:hAnsi="Times New Roman"/>
          <w:color w:val="000000" w:themeColor="text1"/>
          <w:sz w:val="24"/>
          <w:szCs w:val="24"/>
        </w:rPr>
        <w:t>月</w:t>
      </w:r>
      <w:r w:rsidRPr="00B34368">
        <w:rPr>
          <w:rFonts w:ascii="Times New Roman" w:eastAsiaTheme="minorEastAsia" w:hAnsi="Times New Roman"/>
          <w:color w:val="000000" w:themeColor="text1"/>
          <w:sz w:val="24"/>
          <w:szCs w:val="24"/>
        </w:rPr>
        <w:t>30</w:t>
      </w:r>
      <w:r w:rsidRPr="00B34368">
        <w:rPr>
          <w:rFonts w:ascii="Times New Roman" w:eastAsiaTheme="minorEastAsia" w:hAnsi="Times New Roman"/>
          <w:color w:val="000000" w:themeColor="text1"/>
          <w:sz w:val="24"/>
          <w:szCs w:val="24"/>
        </w:rPr>
        <w:t>日</w:t>
      </w:r>
      <w:r w:rsidRPr="00B34368">
        <w:rPr>
          <w:rFonts w:ascii="Times New Roman" w:eastAsiaTheme="minorEastAsia" w:hAnsi="Times New Roman"/>
          <w:color w:val="000000" w:themeColor="text1"/>
          <w:sz w:val="24"/>
          <w:szCs w:val="24"/>
        </w:rPr>
        <w:t>)</w:t>
      </w:r>
    </w:p>
    <w:p w:rsidR="009238DB" w:rsidRPr="00B34368" w:rsidRDefault="0042785F" w:rsidP="00FC13C8">
      <w:pPr>
        <w:snapToGrid w:val="0"/>
        <w:spacing w:line="360" w:lineRule="auto"/>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lastRenderedPageBreak/>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9238DB" w:rsidRPr="00B34368" w:rsidRDefault="00FE7FBD" w:rsidP="00C544B8">
      <w:pPr>
        <w:snapToGrid w:val="0"/>
        <w:spacing w:beforeLines="100" w:before="312" w:line="360" w:lineRule="auto"/>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本基金合同于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w:t>
      </w:r>
      <w:r>
        <w:rPr>
          <w:rFonts w:eastAsiaTheme="minorEastAsia"/>
          <w:color w:val="000000" w:themeColor="text1"/>
          <w:sz w:val="24"/>
        </w:rPr>
        <w:t>13</w:t>
      </w:r>
      <w:r>
        <w:rPr>
          <w:rFonts w:eastAsiaTheme="minorEastAsia"/>
          <w:color w:val="000000" w:themeColor="text1"/>
          <w:sz w:val="24"/>
        </w:rPr>
        <w:t>日生效，截至报告期末本基金合同生效未满一年。</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按基金合同和招募说明书的约定，本基金的建仓期为六个月，建仓期结束时各项资产配置比例符合基金合同（第十二部分二、投资范围，三、投资策略和四、投资限制）的有关约定。</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lastRenderedPageBreak/>
        <w:t>3.</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1.11%</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0.85%</w:t>
      </w:r>
      <w:r w:rsidRPr="00B34368">
        <w:rPr>
          <w:rFonts w:eastAsiaTheme="minorEastAsia"/>
          <w:color w:val="000000" w:themeColor="text1"/>
          <w:sz w:val="24"/>
        </w:rPr>
        <w:t>，同期业绩比较基准收益率为</w:t>
      </w:r>
      <w:r w:rsidRPr="00B34368">
        <w:rPr>
          <w:rFonts w:eastAsiaTheme="minorEastAsia"/>
          <w:color w:val="000000" w:themeColor="text1"/>
          <w:sz w:val="24"/>
        </w:rPr>
        <w:t>1.81%</w:t>
      </w:r>
      <w:r w:rsidRPr="00B34368">
        <w:rPr>
          <w:rFonts w:eastAsiaTheme="minorEastAsia"/>
          <w:color w:val="000000" w:themeColor="text1"/>
          <w:sz w:val="24"/>
        </w:rPr>
        <w:t>。</w:t>
      </w:r>
      <w:r w:rsidRPr="00B34368">
        <w:rPr>
          <w:rFonts w:eastAsiaTheme="minorEastAsia"/>
          <w:color w:val="000000" w:themeColor="text1"/>
          <w:sz w:val="24"/>
        </w:rPr>
        <w:t xml:space="preserve"> </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A20233">
        <w:tc>
          <w:tcPr>
            <w:tcW w:w="566" w:type="dxa"/>
            <w:vAlign w:val="center"/>
          </w:tcPr>
          <w:p w:rsidR="00A20233" w:rsidRDefault="00517A7B">
            <w:pPr>
              <w:jc w:val="center"/>
            </w:pPr>
            <w:r>
              <w:rPr>
                <w:color w:val="000000"/>
                <w:sz w:val="24"/>
              </w:rPr>
              <w:t>FAN BING(</w:t>
            </w:r>
            <w:r>
              <w:rPr>
                <w:color w:val="000000"/>
                <w:sz w:val="24"/>
              </w:rPr>
              <w:t>范冰</w:t>
            </w:r>
            <w:r>
              <w:rPr>
                <w:color w:val="000000"/>
                <w:sz w:val="24"/>
              </w:rPr>
              <w:t>)</w:t>
            </w:r>
          </w:p>
        </w:tc>
        <w:tc>
          <w:tcPr>
            <w:tcW w:w="2832" w:type="dxa"/>
            <w:vAlign w:val="center"/>
          </w:tcPr>
          <w:p w:rsidR="00A20233" w:rsidRDefault="00517A7B">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w:t>
            </w:r>
            <w:r>
              <w:rPr>
                <w:color w:val="000000"/>
                <w:sz w:val="24"/>
              </w:rPr>
              <w:t>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w:t>
            </w:r>
            <w:r>
              <w:rPr>
                <w:color w:val="000000"/>
                <w:sz w:val="24"/>
              </w:rPr>
              <w:lastRenderedPageBreak/>
              <w:t>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A20233" w:rsidRDefault="00517A7B">
            <w:pPr>
              <w:jc w:val="center"/>
            </w:pPr>
            <w:r>
              <w:rPr>
                <w:color w:val="000000"/>
                <w:sz w:val="24"/>
              </w:rPr>
              <w:lastRenderedPageBreak/>
              <w:t>2019-03-13</w:t>
            </w:r>
          </w:p>
        </w:tc>
        <w:tc>
          <w:tcPr>
            <w:tcW w:w="850" w:type="dxa"/>
            <w:vAlign w:val="center"/>
          </w:tcPr>
          <w:p w:rsidR="00A20233" w:rsidRDefault="00517A7B">
            <w:pPr>
              <w:jc w:val="center"/>
            </w:pPr>
            <w:r>
              <w:rPr>
                <w:color w:val="000000"/>
                <w:sz w:val="24"/>
              </w:rPr>
              <w:t>-</w:t>
            </w:r>
          </w:p>
        </w:tc>
        <w:tc>
          <w:tcPr>
            <w:tcW w:w="851" w:type="dxa"/>
            <w:vAlign w:val="center"/>
          </w:tcPr>
          <w:p w:rsidR="00A20233" w:rsidRDefault="00517A7B">
            <w:pPr>
              <w:jc w:val="center"/>
            </w:pPr>
            <w:r>
              <w:rPr>
                <w:color w:val="000000"/>
                <w:sz w:val="24"/>
              </w:rPr>
              <w:t>14</w:t>
            </w:r>
            <w:r>
              <w:rPr>
                <w:color w:val="000000"/>
                <w:sz w:val="24"/>
              </w:rPr>
              <w:t>年</w:t>
            </w:r>
          </w:p>
        </w:tc>
        <w:tc>
          <w:tcPr>
            <w:tcW w:w="2975" w:type="dxa"/>
            <w:vAlign w:val="center"/>
          </w:tcPr>
          <w:p w:rsidR="00A20233" w:rsidRDefault="00517A7B">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中台交易支持专员，巴克莱资产管理公司悉尼金融数据部高级金融数据分析员、悉尼金融数据部主管、新加坡金融数据部</w:t>
            </w:r>
            <w:r>
              <w:rPr>
                <w:color w:val="000000"/>
                <w:sz w:val="24"/>
              </w:rPr>
              <w:t>主管，贝莱德集团金融数据运营部部门经理、风险控制与咨询部客户经理、亚太股票指数基金部基金经理。</w:t>
            </w:r>
          </w:p>
        </w:tc>
      </w:tr>
      <w:tr w:rsidR="00A20233">
        <w:tc>
          <w:tcPr>
            <w:tcW w:w="566" w:type="dxa"/>
            <w:vAlign w:val="center"/>
          </w:tcPr>
          <w:p w:rsidR="00A20233" w:rsidRDefault="00517A7B">
            <w:pPr>
              <w:jc w:val="center"/>
            </w:pPr>
            <w:r>
              <w:rPr>
                <w:color w:val="000000"/>
                <w:sz w:val="24"/>
              </w:rPr>
              <w:t>成曦</w:t>
            </w:r>
          </w:p>
        </w:tc>
        <w:tc>
          <w:tcPr>
            <w:tcW w:w="2832" w:type="dxa"/>
            <w:vAlign w:val="center"/>
          </w:tcPr>
          <w:p w:rsidR="00A20233" w:rsidRDefault="00517A7B">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w:t>
            </w:r>
            <w:r>
              <w:rPr>
                <w:color w:val="000000"/>
                <w:sz w:val="24"/>
              </w:rPr>
              <w:lastRenderedPageBreak/>
              <w:t>易型开放式指数证券投资基金的基金经理、易方达创业板交易型开放式指数证券投资基金联接基金的基金经理、易方达创业板交易型开放式指数证券投资基金的基金经理、易方达并购重组指数分级证券投资基金的</w:t>
            </w:r>
            <w:r>
              <w:rPr>
                <w:color w:val="000000"/>
                <w:sz w:val="24"/>
              </w:rPr>
              <w:t>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A20233" w:rsidRDefault="00517A7B">
            <w:pPr>
              <w:jc w:val="center"/>
            </w:pPr>
            <w:r>
              <w:rPr>
                <w:color w:val="000000"/>
                <w:sz w:val="24"/>
              </w:rPr>
              <w:lastRenderedPageBreak/>
              <w:t>2019-03-13</w:t>
            </w:r>
          </w:p>
        </w:tc>
        <w:tc>
          <w:tcPr>
            <w:tcW w:w="850" w:type="dxa"/>
            <w:vAlign w:val="center"/>
          </w:tcPr>
          <w:p w:rsidR="00A20233" w:rsidRDefault="00517A7B">
            <w:pPr>
              <w:jc w:val="center"/>
            </w:pPr>
            <w:r>
              <w:rPr>
                <w:color w:val="000000"/>
                <w:sz w:val="24"/>
              </w:rPr>
              <w:t>-</w:t>
            </w:r>
          </w:p>
        </w:tc>
        <w:tc>
          <w:tcPr>
            <w:tcW w:w="851" w:type="dxa"/>
            <w:vAlign w:val="center"/>
          </w:tcPr>
          <w:p w:rsidR="00A20233" w:rsidRDefault="00517A7B">
            <w:pPr>
              <w:jc w:val="center"/>
            </w:pPr>
            <w:r>
              <w:rPr>
                <w:color w:val="000000"/>
                <w:sz w:val="24"/>
              </w:rPr>
              <w:t>11</w:t>
            </w:r>
            <w:r>
              <w:rPr>
                <w:color w:val="000000"/>
                <w:sz w:val="24"/>
              </w:rPr>
              <w:t>年</w:t>
            </w:r>
          </w:p>
        </w:tc>
        <w:tc>
          <w:tcPr>
            <w:tcW w:w="2975" w:type="dxa"/>
            <w:vAlign w:val="center"/>
          </w:tcPr>
          <w:p w:rsidR="00A20233" w:rsidRDefault="00517A7B">
            <w:r>
              <w:rPr>
                <w:color w:val="000000"/>
                <w:sz w:val="24"/>
              </w:rPr>
              <w:t>硕士研究生，曾任华泰联合证券资产管理部研究员，易方达基金管理有限公司集中交易室交易员、指数与量化投资部指数基金运作专员、基金经理助理。</w:t>
            </w:r>
          </w:p>
        </w:tc>
      </w:tr>
    </w:tbl>
    <w:p w:rsidR="00A20233" w:rsidRDefault="00517A7B">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本报告期内，公司旗下所有投资组合参与的交易所公开竞价交易中，同日反向交易成交较少的单边交易量超过该证券当日成交量的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本基金跟踪的标的指数为</w:t>
      </w:r>
      <w:r>
        <w:rPr>
          <w:rFonts w:eastAsiaTheme="minorEastAsia"/>
          <w:color w:val="000000" w:themeColor="text1"/>
          <w:sz w:val="24"/>
        </w:rPr>
        <w:t>MSCI</w:t>
      </w:r>
      <w:r>
        <w:rPr>
          <w:rFonts w:eastAsiaTheme="minorEastAsia"/>
          <w:color w:val="000000" w:themeColor="text1"/>
          <w:sz w:val="24"/>
        </w:rPr>
        <w:t>中国</w:t>
      </w:r>
      <w:r>
        <w:rPr>
          <w:rFonts w:eastAsiaTheme="minorEastAsia"/>
          <w:color w:val="000000" w:themeColor="text1"/>
          <w:sz w:val="24"/>
        </w:rPr>
        <w:t>A</w:t>
      </w:r>
      <w:r>
        <w:rPr>
          <w:rFonts w:eastAsiaTheme="minorEastAsia"/>
          <w:color w:val="000000" w:themeColor="text1"/>
          <w:sz w:val="24"/>
        </w:rPr>
        <w:t>股国际通指数，该指数代表被纳入</w:t>
      </w:r>
      <w:r>
        <w:rPr>
          <w:rFonts w:eastAsiaTheme="minorEastAsia"/>
          <w:color w:val="000000" w:themeColor="text1"/>
          <w:sz w:val="24"/>
        </w:rPr>
        <w:t>MSCI</w:t>
      </w:r>
      <w:r>
        <w:rPr>
          <w:rFonts w:eastAsiaTheme="minorEastAsia"/>
          <w:color w:val="000000" w:themeColor="text1"/>
          <w:sz w:val="24"/>
        </w:rPr>
        <w:t>全球指数体系的</w:t>
      </w:r>
      <w:r>
        <w:rPr>
          <w:rFonts w:eastAsiaTheme="minorEastAsia"/>
          <w:color w:val="000000" w:themeColor="text1"/>
          <w:sz w:val="24"/>
        </w:rPr>
        <w:t>A</w:t>
      </w:r>
      <w:r>
        <w:rPr>
          <w:rFonts w:eastAsiaTheme="minorEastAsia"/>
          <w:color w:val="000000" w:themeColor="text1"/>
          <w:sz w:val="24"/>
        </w:rPr>
        <w:t>股。一旦个股进入该指数，全球跟踪</w:t>
      </w:r>
      <w:r>
        <w:rPr>
          <w:rFonts w:eastAsiaTheme="minorEastAsia"/>
          <w:color w:val="000000" w:themeColor="text1"/>
          <w:sz w:val="24"/>
        </w:rPr>
        <w:t>MSCI</w:t>
      </w:r>
      <w:r>
        <w:rPr>
          <w:rFonts w:eastAsiaTheme="minorEastAsia"/>
          <w:color w:val="000000" w:themeColor="text1"/>
          <w:sz w:val="24"/>
        </w:rPr>
        <w:t>全球指数体系的资金都将对其进行</w:t>
      </w:r>
      <w:r>
        <w:rPr>
          <w:rFonts w:eastAsiaTheme="minorEastAsia"/>
          <w:color w:val="000000" w:themeColor="text1"/>
          <w:sz w:val="24"/>
        </w:rPr>
        <w:t>配置。该指数现阶段主要组成为纳入互联互通范围的大盘股。本基金主要采取完全复制法，即完全按照标的指数的成份股组成及其权重构建基金股票投资组合，并根据标的指数成份股及其权重的变动而进行相应调整。</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年第三季度，科创板推出提升了市场对高新技术产业的风险偏好，虽然中美贸易摩擦多有反复，但资金对此已有充分预期。受益于以</w:t>
      </w:r>
      <w:r>
        <w:rPr>
          <w:rFonts w:eastAsiaTheme="minorEastAsia"/>
          <w:color w:val="000000" w:themeColor="text1"/>
          <w:sz w:val="24"/>
        </w:rPr>
        <w:t>5G</w:t>
      </w:r>
      <w:r>
        <w:rPr>
          <w:rFonts w:eastAsiaTheme="minorEastAsia"/>
          <w:color w:val="000000" w:themeColor="text1"/>
          <w:sz w:val="24"/>
        </w:rPr>
        <w:t>为代表的科技产业的发展，科技行业成为市场热点。尽管在</w:t>
      </w:r>
      <w:r>
        <w:rPr>
          <w:rFonts w:eastAsiaTheme="minorEastAsia"/>
          <w:color w:val="000000" w:themeColor="text1"/>
          <w:sz w:val="24"/>
        </w:rPr>
        <w:t>9</w:t>
      </w:r>
      <w:r>
        <w:rPr>
          <w:rFonts w:eastAsiaTheme="minorEastAsia"/>
          <w:color w:val="000000" w:themeColor="text1"/>
          <w:sz w:val="24"/>
        </w:rPr>
        <w:t>月后半月，出现了资金获利了结的现象，但市场整体依然在国庆节前表现平稳。</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报告期内，国内经济数据表现一般，以汽车为代表的消费类产业走低。在资</w:t>
      </w:r>
      <w:r>
        <w:rPr>
          <w:rFonts w:eastAsiaTheme="minorEastAsia"/>
          <w:color w:val="000000" w:themeColor="text1"/>
          <w:sz w:val="24"/>
        </w:rPr>
        <w:t>金面上，央行启动了利率</w:t>
      </w:r>
      <w:r>
        <w:rPr>
          <w:rFonts w:eastAsiaTheme="minorEastAsia"/>
          <w:color w:val="000000" w:themeColor="text1"/>
          <w:sz w:val="24"/>
        </w:rPr>
        <w:t>LPR</w:t>
      </w:r>
      <w:r>
        <w:rPr>
          <w:rFonts w:eastAsiaTheme="minorEastAsia"/>
          <w:color w:val="000000" w:themeColor="text1"/>
          <w:sz w:val="24"/>
        </w:rPr>
        <w:t>改革，推进利率市场化，降低实体经济利率水平，资金在政策引导下，逐渐向实体转移。</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在经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此外，</w:t>
      </w:r>
      <w:r>
        <w:rPr>
          <w:rFonts w:eastAsiaTheme="minorEastAsia"/>
          <w:color w:val="000000" w:themeColor="text1"/>
          <w:sz w:val="24"/>
        </w:rPr>
        <w:t>MSCI</w:t>
      </w:r>
      <w:r>
        <w:rPr>
          <w:rFonts w:eastAsiaTheme="minorEastAsia"/>
          <w:color w:val="000000" w:themeColor="text1"/>
          <w:sz w:val="24"/>
        </w:rPr>
        <w:t>指数公司在</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2</w:t>
      </w:r>
      <w:r>
        <w:rPr>
          <w:rFonts w:eastAsiaTheme="minorEastAsia"/>
          <w:color w:val="000000" w:themeColor="text1"/>
          <w:sz w:val="24"/>
        </w:rPr>
        <w:t>月底宣布：将</w:t>
      </w:r>
      <w:r>
        <w:rPr>
          <w:rFonts w:eastAsiaTheme="minorEastAsia"/>
          <w:color w:val="000000" w:themeColor="text1"/>
          <w:sz w:val="24"/>
        </w:rPr>
        <w:t>A</w:t>
      </w:r>
      <w:r>
        <w:rPr>
          <w:rFonts w:eastAsiaTheme="minorEastAsia"/>
          <w:color w:val="000000" w:themeColor="text1"/>
          <w:sz w:val="24"/>
        </w:rPr>
        <w:t>股在</w:t>
      </w:r>
      <w:r>
        <w:rPr>
          <w:rFonts w:eastAsiaTheme="minorEastAsia"/>
          <w:color w:val="000000" w:themeColor="text1"/>
          <w:sz w:val="24"/>
        </w:rPr>
        <w:t>MSCI</w:t>
      </w:r>
      <w:r>
        <w:rPr>
          <w:rFonts w:eastAsiaTheme="minorEastAsia"/>
          <w:color w:val="000000" w:themeColor="text1"/>
          <w:sz w:val="24"/>
        </w:rPr>
        <w:t>指数中的权重因子从</w:t>
      </w:r>
      <w:r>
        <w:rPr>
          <w:rFonts w:eastAsiaTheme="minorEastAsia"/>
          <w:color w:val="000000" w:themeColor="text1"/>
          <w:sz w:val="24"/>
        </w:rPr>
        <w:t>5%</w:t>
      </w:r>
      <w:r>
        <w:rPr>
          <w:rFonts w:eastAsiaTheme="minorEastAsia"/>
          <w:color w:val="000000" w:themeColor="text1"/>
          <w:sz w:val="24"/>
        </w:rPr>
        <w:t>提升至</w:t>
      </w:r>
      <w:r>
        <w:rPr>
          <w:rFonts w:eastAsiaTheme="minorEastAsia"/>
          <w:color w:val="000000" w:themeColor="text1"/>
          <w:sz w:val="24"/>
        </w:rPr>
        <w:t>20%</w:t>
      </w:r>
      <w:r>
        <w:rPr>
          <w:rFonts w:eastAsiaTheme="minorEastAsia"/>
          <w:color w:val="000000" w:themeColor="text1"/>
          <w:sz w:val="24"/>
        </w:rPr>
        <w:t>。计划分三阶段进行：</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11</w:t>
      </w:r>
      <w:r>
        <w:rPr>
          <w:rFonts w:eastAsiaTheme="minorEastAsia"/>
          <w:color w:val="000000" w:themeColor="text1"/>
          <w:sz w:val="24"/>
        </w:rPr>
        <w:t>月进行调整。在</w:t>
      </w:r>
      <w:r>
        <w:rPr>
          <w:rFonts w:eastAsiaTheme="minorEastAsia"/>
          <w:color w:val="000000" w:themeColor="text1"/>
          <w:sz w:val="24"/>
        </w:rPr>
        <w:t>8</w:t>
      </w:r>
      <w:r>
        <w:rPr>
          <w:rFonts w:eastAsiaTheme="minorEastAsia"/>
          <w:color w:val="000000" w:themeColor="text1"/>
          <w:sz w:val="24"/>
        </w:rPr>
        <w:t>月底，权重因子已经提升到</w:t>
      </w:r>
      <w:r>
        <w:rPr>
          <w:rFonts w:eastAsiaTheme="minorEastAsia"/>
          <w:color w:val="000000" w:themeColor="text1"/>
          <w:sz w:val="24"/>
        </w:rPr>
        <w:t>15%</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基金运作层面，报告期内，本基金严守基金合同认真对待投资者申购、赎回以及成分股调整事项，保障基金的正常运作。</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1.0111</w:t>
      </w:r>
      <w:r>
        <w:rPr>
          <w:rFonts w:eastAsiaTheme="minorEastAsia"/>
          <w:color w:val="000000" w:themeColor="text1"/>
          <w:sz w:val="24"/>
        </w:rPr>
        <w:t>元，本报告期份额净值增长率为</w:t>
      </w:r>
      <w:r>
        <w:rPr>
          <w:rFonts w:eastAsiaTheme="minorEastAsia"/>
          <w:color w:val="000000" w:themeColor="text1"/>
          <w:sz w:val="24"/>
        </w:rPr>
        <w:t>1.55%</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1.0085</w:t>
      </w:r>
      <w:r>
        <w:rPr>
          <w:rFonts w:eastAsiaTheme="minorEastAsia"/>
          <w:color w:val="000000" w:themeColor="text1"/>
          <w:sz w:val="24"/>
        </w:rPr>
        <w:t>元，本报告期份额净值增长率为</w:t>
      </w:r>
      <w:r>
        <w:rPr>
          <w:rFonts w:eastAsiaTheme="minorEastAsia"/>
          <w:color w:val="000000" w:themeColor="text1"/>
          <w:sz w:val="24"/>
        </w:rPr>
        <w:t>1.45%</w:t>
      </w:r>
      <w:r>
        <w:rPr>
          <w:rFonts w:eastAsiaTheme="minorEastAsia"/>
          <w:color w:val="000000" w:themeColor="text1"/>
          <w:sz w:val="24"/>
        </w:rPr>
        <w:t>；同</w:t>
      </w:r>
      <w:r>
        <w:rPr>
          <w:rFonts w:eastAsiaTheme="minorEastAsia"/>
          <w:color w:val="000000" w:themeColor="text1"/>
          <w:sz w:val="24"/>
        </w:rPr>
        <w:lastRenderedPageBreak/>
        <w:t>期业绩比较基准收益率为</w:t>
      </w:r>
      <w:r>
        <w:rPr>
          <w:rFonts w:eastAsiaTheme="minorEastAsia"/>
          <w:color w:val="000000" w:themeColor="text1"/>
          <w:sz w:val="24"/>
        </w:rPr>
        <w:t>-0.04%</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本报告期，本基金日跟踪偏离度的均值为</w:t>
      </w:r>
      <w:r w:rsidRPr="00B34368">
        <w:rPr>
          <w:rFonts w:eastAsiaTheme="minorEastAsia"/>
          <w:color w:val="000000" w:themeColor="text1"/>
          <w:sz w:val="24"/>
        </w:rPr>
        <w:t>0.03%</w:t>
      </w:r>
      <w:r w:rsidRPr="00B34368">
        <w:rPr>
          <w:rFonts w:eastAsiaTheme="minorEastAsia"/>
          <w:color w:val="000000" w:themeColor="text1"/>
          <w:sz w:val="24"/>
        </w:rPr>
        <w:t>，年化跟踪误差</w:t>
      </w:r>
      <w:r w:rsidRPr="00B34368">
        <w:rPr>
          <w:rFonts w:eastAsiaTheme="minorEastAsia"/>
          <w:color w:val="000000" w:themeColor="text1"/>
          <w:sz w:val="24"/>
        </w:rPr>
        <w:t>0.68%</w:t>
      </w:r>
      <w:r w:rsidRPr="00B34368">
        <w:rPr>
          <w:rFonts w:eastAsiaTheme="minorEastAsia"/>
          <w:color w:val="000000" w:themeColor="text1"/>
          <w:sz w:val="24"/>
        </w:rPr>
        <w:t>，在合同规定的控制范围之内。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3,348,218.52</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2.00</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3,348,218.52</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2.00</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154,781,090.03</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92.45</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8,739,263.01</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5.22</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558,219.24</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0.33</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167,426,790.80</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709"/>
        <w:gridCol w:w="2701"/>
        <w:gridCol w:w="709"/>
        <w:gridCol w:w="850"/>
        <w:gridCol w:w="1234"/>
        <w:gridCol w:w="1716"/>
        <w:gridCol w:w="1009"/>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A20233">
        <w:tc>
          <w:tcPr>
            <w:tcW w:w="0" w:type="auto"/>
            <w:vAlign w:val="center"/>
          </w:tcPr>
          <w:p w:rsidR="00A20233" w:rsidRDefault="00517A7B">
            <w:pPr>
              <w:jc w:val="center"/>
            </w:pPr>
            <w:r>
              <w:rPr>
                <w:rFonts w:eastAsiaTheme="minorEastAsia"/>
                <w:color w:val="000000" w:themeColor="text1"/>
                <w:sz w:val="24"/>
              </w:rPr>
              <w:lastRenderedPageBreak/>
              <w:t>1</w:t>
            </w:r>
          </w:p>
        </w:tc>
        <w:tc>
          <w:tcPr>
            <w:tcW w:w="0" w:type="auto"/>
            <w:vAlign w:val="center"/>
          </w:tcPr>
          <w:p w:rsidR="00A20233" w:rsidRDefault="00517A7B">
            <w:pPr>
              <w:jc w:val="center"/>
            </w:pPr>
            <w:r>
              <w:rPr>
                <w:rFonts w:eastAsiaTheme="minorEastAsia"/>
                <w:color w:val="000000" w:themeColor="text1"/>
                <w:sz w:val="24"/>
              </w:rPr>
              <w:t>易方达</w:t>
            </w:r>
            <w:r>
              <w:rPr>
                <w:rFonts w:eastAsiaTheme="minorEastAsia"/>
                <w:color w:val="000000" w:themeColor="text1"/>
                <w:sz w:val="24"/>
              </w:rPr>
              <w:t>MSCI</w:t>
            </w:r>
            <w:r>
              <w:rPr>
                <w:rFonts w:eastAsiaTheme="minorEastAsia"/>
                <w:color w:val="000000" w:themeColor="text1"/>
                <w:sz w:val="24"/>
              </w:rPr>
              <w:t>中国</w:t>
            </w:r>
            <w:r>
              <w:rPr>
                <w:rFonts w:eastAsiaTheme="minorEastAsia"/>
                <w:color w:val="000000" w:themeColor="text1"/>
                <w:sz w:val="24"/>
              </w:rPr>
              <w:t>A</w:t>
            </w:r>
            <w:r>
              <w:rPr>
                <w:rFonts w:eastAsiaTheme="minorEastAsia"/>
                <w:color w:val="000000" w:themeColor="text1"/>
                <w:sz w:val="24"/>
              </w:rPr>
              <w:t>股国际通交易型开放式指数证券投资基金</w:t>
            </w:r>
          </w:p>
        </w:tc>
        <w:tc>
          <w:tcPr>
            <w:tcW w:w="0" w:type="auto"/>
            <w:vAlign w:val="center"/>
          </w:tcPr>
          <w:p w:rsidR="00A20233" w:rsidRDefault="00517A7B">
            <w:pPr>
              <w:jc w:val="center"/>
            </w:pPr>
            <w:r>
              <w:rPr>
                <w:rFonts w:eastAsiaTheme="minorEastAsia"/>
                <w:color w:val="000000" w:themeColor="text1"/>
                <w:sz w:val="24"/>
              </w:rPr>
              <w:t>股票型</w:t>
            </w:r>
          </w:p>
        </w:tc>
        <w:tc>
          <w:tcPr>
            <w:tcW w:w="0" w:type="auto"/>
            <w:vAlign w:val="center"/>
          </w:tcPr>
          <w:p w:rsidR="00A20233" w:rsidRDefault="00517A7B">
            <w:pPr>
              <w:jc w:val="center"/>
            </w:pPr>
            <w:r>
              <w:rPr>
                <w:rFonts w:eastAsiaTheme="minorEastAsia"/>
                <w:color w:val="000000" w:themeColor="text1"/>
                <w:sz w:val="24"/>
              </w:rPr>
              <w:t>交易型开放式</w:t>
            </w:r>
          </w:p>
        </w:tc>
        <w:tc>
          <w:tcPr>
            <w:tcW w:w="0" w:type="auto"/>
            <w:vAlign w:val="center"/>
          </w:tcPr>
          <w:p w:rsidR="00A20233" w:rsidRDefault="00517A7B">
            <w:pPr>
              <w:jc w:val="center"/>
            </w:pPr>
            <w:r>
              <w:rPr>
                <w:rFonts w:eastAsiaTheme="minorEastAsia"/>
                <w:color w:val="000000" w:themeColor="text1"/>
                <w:sz w:val="24"/>
              </w:rPr>
              <w:t>易方达基金管理有限公司</w:t>
            </w:r>
          </w:p>
        </w:tc>
        <w:tc>
          <w:tcPr>
            <w:tcW w:w="0" w:type="auto"/>
            <w:vAlign w:val="center"/>
          </w:tcPr>
          <w:p w:rsidR="00A20233" w:rsidRDefault="00517A7B">
            <w:pPr>
              <w:jc w:val="right"/>
            </w:pPr>
            <w:r>
              <w:rPr>
                <w:rFonts w:eastAsiaTheme="minorEastAsia"/>
                <w:color w:val="000000" w:themeColor="text1"/>
                <w:sz w:val="24"/>
              </w:rPr>
              <w:t>154,781,090.03</w:t>
            </w:r>
          </w:p>
        </w:tc>
        <w:tc>
          <w:tcPr>
            <w:tcW w:w="0" w:type="auto"/>
            <w:vAlign w:val="center"/>
          </w:tcPr>
          <w:p w:rsidR="00A20233" w:rsidRDefault="00517A7B">
            <w:pPr>
              <w:jc w:val="right"/>
            </w:pPr>
            <w:r>
              <w:rPr>
                <w:rFonts w:eastAsiaTheme="minorEastAsia"/>
                <w:color w:val="000000" w:themeColor="text1"/>
                <w:sz w:val="24"/>
              </w:rPr>
              <w:t>92.71</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167,016.80</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0.10</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1,413,320.22</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0.85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117,888.00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0.07</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93,936.00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67,488.00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156,181.00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0.09</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191,304.70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939,437.80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0.56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92,988.00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80,118.00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24,556.00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3,984.00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3,348,218.52</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2.01</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w:t>
            </w:r>
            <w:r w:rsidRPr="00B34368">
              <w:rPr>
                <w:rFonts w:eastAsiaTheme="minorEastAsia" w:hAnsiTheme="minorEastAsia"/>
                <w:color w:val="000000" w:themeColor="text1"/>
                <w:sz w:val="24"/>
              </w:rPr>
              <w:lastRenderedPageBreak/>
              <w:t>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A20233">
        <w:tc>
          <w:tcPr>
            <w:tcW w:w="817" w:type="dxa"/>
            <w:vAlign w:val="center"/>
          </w:tcPr>
          <w:p w:rsidR="00A20233" w:rsidRDefault="00517A7B">
            <w:pPr>
              <w:jc w:val="center"/>
            </w:pPr>
            <w:r>
              <w:rPr>
                <w:rFonts w:eastAsiaTheme="minorEastAsia"/>
                <w:color w:val="000000" w:themeColor="text1"/>
                <w:sz w:val="24"/>
              </w:rPr>
              <w:lastRenderedPageBreak/>
              <w:t>1</w:t>
            </w:r>
          </w:p>
        </w:tc>
        <w:tc>
          <w:tcPr>
            <w:tcW w:w="1276" w:type="dxa"/>
            <w:vAlign w:val="center"/>
          </w:tcPr>
          <w:p w:rsidR="00A20233" w:rsidRDefault="00517A7B">
            <w:pPr>
              <w:jc w:val="center"/>
            </w:pPr>
            <w:r>
              <w:rPr>
                <w:rFonts w:eastAsiaTheme="minorEastAsia"/>
                <w:color w:val="000000" w:themeColor="text1"/>
                <w:sz w:val="24"/>
              </w:rPr>
              <w:t>601012</w:t>
            </w:r>
          </w:p>
        </w:tc>
        <w:tc>
          <w:tcPr>
            <w:tcW w:w="1701" w:type="dxa"/>
            <w:vAlign w:val="center"/>
          </w:tcPr>
          <w:p w:rsidR="00A20233" w:rsidRDefault="00517A7B">
            <w:pPr>
              <w:jc w:val="center"/>
            </w:pPr>
            <w:r>
              <w:rPr>
                <w:rFonts w:eastAsiaTheme="minorEastAsia"/>
                <w:color w:val="000000" w:themeColor="text1"/>
                <w:sz w:val="24"/>
              </w:rPr>
              <w:t>隆基股份</w:t>
            </w:r>
          </w:p>
        </w:tc>
        <w:tc>
          <w:tcPr>
            <w:tcW w:w="1276" w:type="dxa"/>
            <w:vAlign w:val="center"/>
          </w:tcPr>
          <w:p w:rsidR="00A20233" w:rsidRDefault="00517A7B">
            <w:pPr>
              <w:jc w:val="right"/>
            </w:pPr>
            <w:r>
              <w:rPr>
                <w:rFonts w:eastAsiaTheme="minorEastAsia"/>
                <w:color w:val="000000" w:themeColor="text1"/>
                <w:sz w:val="24"/>
              </w:rPr>
              <w:t>9,090</w:t>
            </w:r>
          </w:p>
        </w:tc>
        <w:tc>
          <w:tcPr>
            <w:tcW w:w="1842" w:type="dxa"/>
            <w:vAlign w:val="center"/>
          </w:tcPr>
          <w:p w:rsidR="00A20233" w:rsidRDefault="00517A7B">
            <w:pPr>
              <w:jc w:val="right"/>
            </w:pPr>
            <w:r>
              <w:rPr>
                <w:rFonts w:eastAsiaTheme="minorEastAsia"/>
                <w:color w:val="000000" w:themeColor="text1"/>
                <w:sz w:val="24"/>
              </w:rPr>
              <w:t>238,430.70</w:t>
            </w:r>
          </w:p>
        </w:tc>
        <w:tc>
          <w:tcPr>
            <w:tcW w:w="1616" w:type="dxa"/>
            <w:vAlign w:val="center"/>
          </w:tcPr>
          <w:p w:rsidR="00A20233" w:rsidRDefault="00517A7B">
            <w:pPr>
              <w:jc w:val="right"/>
            </w:pPr>
            <w:r>
              <w:rPr>
                <w:rFonts w:eastAsiaTheme="minorEastAsia"/>
                <w:color w:val="000000" w:themeColor="text1"/>
                <w:sz w:val="24"/>
              </w:rPr>
              <w:t>0.14</w:t>
            </w:r>
          </w:p>
        </w:tc>
      </w:tr>
      <w:tr w:rsidR="00A20233">
        <w:tc>
          <w:tcPr>
            <w:tcW w:w="817" w:type="dxa"/>
            <w:vAlign w:val="center"/>
          </w:tcPr>
          <w:p w:rsidR="00A20233" w:rsidRDefault="00517A7B">
            <w:pPr>
              <w:jc w:val="center"/>
            </w:pPr>
            <w:r>
              <w:rPr>
                <w:rFonts w:eastAsiaTheme="minorEastAsia"/>
                <w:color w:val="000000" w:themeColor="text1"/>
                <w:sz w:val="24"/>
              </w:rPr>
              <w:t>2</w:t>
            </w:r>
          </w:p>
        </w:tc>
        <w:tc>
          <w:tcPr>
            <w:tcW w:w="1276" w:type="dxa"/>
            <w:vAlign w:val="center"/>
          </w:tcPr>
          <w:p w:rsidR="00A20233" w:rsidRDefault="00517A7B">
            <w:pPr>
              <w:jc w:val="center"/>
            </w:pPr>
            <w:r>
              <w:rPr>
                <w:rFonts w:eastAsiaTheme="minorEastAsia"/>
                <w:color w:val="000000" w:themeColor="text1"/>
                <w:sz w:val="24"/>
              </w:rPr>
              <w:t>603833</w:t>
            </w:r>
          </w:p>
        </w:tc>
        <w:tc>
          <w:tcPr>
            <w:tcW w:w="1701" w:type="dxa"/>
            <w:vAlign w:val="center"/>
          </w:tcPr>
          <w:p w:rsidR="00A20233" w:rsidRDefault="00517A7B">
            <w:pPr>
              <w:jc w:val="center"/>
            </w:pPr>
            <w:r>
              <w:rPr>
                <w:rFonts w:eastAsiaTheme="minorEastAsia"/>
                <w:color w:val="000000" w:themeColor="text1"/>
                <w:sz w:val="24"/>
              </w:rPr>
              <w:t>欧派家居</w:t>
            </w:r>
          </w:p>
        </w:tc>
        <w:tc>
          <w:tcPr>
            <w:tcW w:w="1276" w:type="dxa"/>
            <w:vAlign w:val="center"/>
          </w:tcPr>
          <w:p w:rsidR="00A20233" w:rsidRDefault="00517A7B">
            <w:pPr>
              <w:jc w:val="right"/>
            </w:pPr>
            <w:r>
              <w:rPr>
                <w:rFonts w:eastAsiaTheme="minorEastAsia"/>
                <w:color w:val="000000" w:themeColor="text1"/>
                <w:sz w:val="24"/>
              </w:rPr>
              <w:t>1,300</w:t>
            </w:r>
          </w:p>
        </w:tc>
        <w:tc>
          <w:tcPr>
            <w:tcW w:w="1842" w:type="dxa"/>
            <w:vAlign w:val="center"/>
          </w:tcPr>
          <w:p w:rsidR="00A20233" w:rsidRDefault="00517A7B">
            <w:pPr>
              <w:jc w:val="right"/>
            </w:pPr>
            <w:r>
              <w:rPr>
                <w:rFonts w:eastAsiaTheme="minorEastAsia"/>
                <w:color w:val="000000" w:themeColor="text1"/>
                <w:sz w:val="24"/>
              </w:rPr>
              <w:t>144,898.00</w:t>
            </w:r>
          </w:p>
        </w:tc>
        <w:tc>
          <w:tcPr>
            <w:tcW w:w="1616" w:type="dxa"/>
            <w:vAlign w:val="center"/>
          </w:tcPr>
          <w:p w:rsidR="00A20233" w:rsidRDefault="00517A7B">
            <w:pPr>
              <w:jc w:val="right"/>
            </w:pPr>
            <w:r>
              <w:rPr>
                <w:rFonts w:eastAsiaTheme="minorEastAsia"/>
                <w:color w:val="000000" w:themeColor="text1"/>
                <w:sz w:val="24"/>
              </w:rPr>
              <w:t>0.09</w:t>
            </w:r>
          </w:p>
        </w:tc>
      </w:tr>
      <w:tr w:rsidR="00A20233">
        <w:tc>
          <w:tcPr>
            <w:tcW w:w="817" w:type="dxa"/>
            <w:vAlign w:val="center"/>
          </w:tcPr>
          <w:p w:rsidR="00A20233" w:rsidRDefault="00517A7B">
            <w:pPr>
              <w:jc w:val="center"/>
            </w:pPr>
            <w:r>
              <w:rPr>
                <w:rFonts w:eastAsiaTheme="minorEastAsia"/>
                <w:color w:val="000000" w:themeColor="text1"/>
                <w:sz w:val="24"/>
              </w:rPr>
              <w:t>3</w:t>
            </w:r>
          </w:p>
        </w:tc>
        <w:tc>
          <w:tcPr>
            <w:tcW w:w="1276" w:type="dxa"/>
            <w:vAlign w:val="center"/>
          </w:tcPr>
          <w:p w:rsidR="00A20233" w:rsidRDefault="00517A7B">
            <w:pPr>
              <w:jc w:val="center"/>
            </w:pPr>
            <w:r>
              <w:rPr>
                <w:rFonts w:eastAsiaTheme="minorEastAsia"/>
                <w:color w:val="000000" w:themeColor="text1"/>
                <w:sz w:val="24"/>
              </w:rPr>
              <w:t>600036</w:t>
            </w:r>
          </w:p>
        </w:tc>
        <w:tc>
          <w:tcPr>
            <w:tcW w:w="1701" w:type="dxa"/>
            <w:vAlign w:val="center"/>
          </w:tcPr>
          <w:p w:rsidR="00A20233" w:rsidRDefault="00517A7B">
            <w:pPr>
              <w:jc w:val="center"/>
            </w:pPr>
            <w:r>
              <w:rPr>
                <w:rFonts w:eastAsiaTheme="minorEastAsia"/>
                <w:color w:val="000000" w:themeColor="text1"/>
                <w:sz w:val="24"/>
              </w:rPr>
              <w:t>招商银行</w:t>
            </w:r>
          </w:p>
        </w:tc>
        <w:tc>
          <w:tcPr>
            <w:tcW w:w="1276" w:type="dxa"/>
            <w:vAlign w:val="center"/>
          </w:tcPr>
          <w:p w:rsidR="00A20233" w:rsidRDefault="00517A7B">
            <w:pPr>
              <w:jc w:val="right"/>
            </w:pPr>
            <w:r>
              <w:rPr>
                <w:rFonts w:eastAsiaTheme="minorEastAsia"/>
                <w:color w:val="000000" w:themeColor="text1"/>
                <w:sz w:val="24"/>
              </w:rPr>
              <w:t>3,700</w:t>
            </w:r>
          </w:p>
        </w:tc>
        <w:tc>
          <w:tcPr>
            <w:tcW w:w="1842" w:type="dxa"/>
            <w:vAlign w:val="center"/>
          </w:tcPr>
          <w:p w:rsidR="00A20233" w:rsidRDefault="00517A7B">
            <w:pPr>
              <w:jc w:val="right"/>
            </w:pPr>
            <w:r>
              <w:rPr>
                <w:rFonts w:eastAsiaTheme="minorEastAsia"/>
                <w:color w:val="000000" w:themeColor="text1"/>
                <w:sz w:val="24"/>
              </w:rPr>
              <w:t>128,575.00</w:t>
            </w:r>
          </w:p>
        </w:tc>
        <w:tc>
          <w:tcPr>
            <w:tcW w:w="1616" w:type="dxa"/>
            <w:vAlign w:val="center"/>
          </w:tcPr>
          <w:p w:rsidR="00A20233" w:rsidRDefault="00517A7B">
            <w:pPr>
              <w:jc w:val="right"/>
            </w:pPr>
            <w:r>
              <w:rPr>
                <w:rFonts w:eastAsiaTheme="minorEastAsia"/>
                <w:color w:val="000000" w:themeColor="text1"/>
                <w:sz w:val="24"/>
              </w:rPr>
              <w:t>0.08</w:t>
            </w:r>
          </w:p>
        </w:tc>
      </w:tr>
      <w:tr w:rsidR="00A20233">
        <w:tc>
          <w:tcPr>
            <w:tcW w:w="817" w:type="dxa"/>
            <w:vAlign w:val="center"/>
          </w:tcPr>
          <w:p w:rsidR="00A20233" w:rsidRDefault="00517A7B">
            <w:pPr>
              <w:jc w:val="center"/>
            </w:pPr>
            <w:r>
              <w:rPr>
                <w:rFonts w:eastAsiaTheme="minorEastAsia"/>
                <w:color w:val="000000" w:themeColor="text1"/>
                <w:sz w:val="24"/>
              </w:rPr>
              <w:t>4</w:t>
            </w:r>
          </w:p>
        </w:tc>
        <w:tc>
          <w:tcPr>
            <w:tcW w:w="1276" w:type="dxa"/>
            <w:vAlign w:val="center"/>
          </w:tcPr>
          <w:p w:rsidR="00A20233" w:rsidRDefault="00517A7B">
            <w:pPr>
              <w:jc w:val="center"/>
            </w:pPr>
            <w:r>
              <w:rPr>
                <w:rFonts w:eastAsiaTheme="minorEastAsia"/>
                <w:color w:val="000000" w:themeColor="text1"/>
                <w:sz w:val="24"/>
              </w:rPr>
              <w:t>601318</w:t>
            </w:r>
          </w:p>
        </w:tc>
        <w:tc>
          <w:tcPr>
            <w:tcW w:w="1701" w:type="dxa"/>
            <w:vAlign w:val="center"/>
          </w:tcPr>
          <w:p w:rsidR="00A20233" w:rsidRDefault="00517A7B">
            <w:pPr>
              <w:jc w:val="center"/>
            </w:pPr>
            <w:r>
              <w:rPr>
                <w:rFonts w:eastAsiaTheme="minorEastAsia"/>
                <w:color w:val="000000" w:themeColor="text1"/>
                <w:sz w:val="24"/>
              </w:rPr>
              <w:t>中国平安</w:t>
            </w:r>
          </w:p>
        </w:tc>
        <w:tc>
          <w:tcPr>
            <w:tcW w:w="1276" w:type="dxa"/>
            <w:vAlign w:val="center"/>
          </w:tcPr>
          <w:p w:rsidR="00A20233" w:rsidRDefault="00517A7B">
            <w:pPr>
              <w:jc w:val="right"/>
            </w:pPr>
            <w:r>
              <w:rPr>
                <w:rFonts w:eastAsiaTheme="minorEastAsia"/>
                <w:color w:val="000000" w:themeColor="text1"/>
                <w:sz w:val="24"/>
              </w:rPr>
              <w:t>1,400</w:t>
            </w:r>
          </w:p>
        </w:tc>
        <w:tc>
          <w:tcPr>
            <w:tcW w:w="1842" w:type="dxa"/>
            <w:vAlign w:val="center"/>
          </w:tcPr>
          <w:p w:rsidR="00A20233" w:rsidRDefault="00517A7B">
            <w:pPr>
              <w:jc w:val="right"/>
            </w:pPr>
            <w:r>
              <w:rPr>
                <w:rFonts w:eastAsiaTheme="minorEastAsia"/>
                <w:color w:val="000000" w:themeColor="text1"/>
                <w:sz w:val="24"/>
              </w:rPr>
              <w:t>121,856.00</w:t>
            </w:r>
          </w:p>
        </w:tc>
        <w:tc>
          <w:tcPr>
            <w:tcW w:w="1616" w:type="dxa"/>
            <w:vAlign w:val="center"/>
          </w:tcPr>
          <w:p w:rsidR="00A20233" w:rsidRDefault="00517A7B">
            <w:pPr>
              <w:jc w:val="right"/>
            </w:pPr>
            <w:r>
              <w:rPr>
                <w:rFonts w:eastAsiaTheme="minorEastAsia"/>
                <w:color w:val="000000" w:themeColor="text1"/>
                <w:sz w:val="24"/>
              </w:rPr>
              <w:t>0.07</w:t>
            </w:r>
          </w:p>
        </w:tc>
      </w:tr>
      <w:tr w:rsidR="00A20233">
        <w:tc>
          <w:tcPr>
            <w:tcW w:w="817" w:type="dxa"/>
            <w:vAlign w:val="center"/>
          </w:tcPr>
          <w:p w:rsidR="00A20233" w:rsidRDefault="00517A7B">
            <w:pPr>
              <w:jc w:val="center"/>
            </w:pPr>
            <w:r>
              <w:rPr>
                <w:rFonts w:eastAsiaTheme="minorEastAsia"/>
                <w:color w:val="000000" w:themeColor="text1"/>
                <w:sz w:val="24"/>
              </w:rPr>
              <w:t>5</w:t>
            </w:r>
          </w:p>
        </w:tc>
        <w:tc>
          <w:tcPr>
            <w:tcW w:w="1276" w:type="dxa"/>
            <w:vAlign w:val="center"/>
          </w:tcPr>
          <w:p w:rsidR="00A20233" w:rsidRDefault="00517A7B">
            <w:pPr>
              <w:jc w:val="center"/>
            </w:pPr>
            <w:r>
              <w:rPr>
                <w:rFonts w:eastAsiaTheme="minorEastAsia"/>
                <w:color w:val="000000" w:themeColor="text1"/>
                <w:sz w:val="24"/>
              </w:rPr>
              <w:t>600519</w:t>
            </w:r>
          </w:p>
        </w:tc>
        <w:tc>
          <w:tcPr>
            <w:tcW w:w="1701" w:type="dxa"/>
            <w:vAlign w:val="center"/>
          </w:tcPr>
          <w:p w:rsidR="00A20233" w:rsidRDefault="00517A7B">
            <w:pPr>
              <w:jc w:val="center"/>
            </w:pPr>
            <w:r>
              <w:rPr>
                <w:rFonts w:eastAsiaTheme="minorEastAsia"/>
                <w:color w:val="000000" w:themeColor="text1"/>
                <w:sz w:val="24"/>
              </w:rPr>
              <w:t>贵州茅台</w:t>
            </w:r>
          </w:p>
        </w:tc>
        <w:tc>
          <w:tcPr>
            <w:tcW w:w="1276" w:type="dxa"/>
            <w:vAlign w:val="center"/>
          </w:tcPr>
          <w:p w:rsidR="00A20233" w:rsidRDefault="00517A7B">
            <w:pPr>
              <w:jc w:val="right"/>
            </w:pPr>
            <w:r>
              <w:rPr>
                <w:rFonts w:eastAsiaTheme="minorEastAsia"/>
                <w:color w:val="000000" w:themeColor="text1"/>
                <w:sz w:val="24"/>
              </w:rPr>
              <w:t>100</w:t>
            </w:r>
          </w:p>
        </w:tc>
        <w:tc>
          <w:tcPr>
            <w:tcW w:w="1842" w:type="dxa"/>
            <w:vAlign w:val="center"/>
          </w:tcPr>
          <w:p w:rsidR="00A20233" w:rsidRDefault="00517A7B">
            <w:pPr>
              <w:jc w:val="right"/>
            </w:pPr>
            <w:r>
              <w:rPr>
                <w:rFonts w:eastAsiaTheme="minorEastAsia"/>
                <w:color w:val="000000" w:themeColor="text1"/>
                <w:sz w:val="24"/>
              </w:rPr>
              <w:t>115,000.00</w:t>
            </w:r>
          </w:p>
        </w:tc>
        <w:tc>
          <w:tcPr>
            <w:tcW w:w="1616" w:type="dxa"/>
            <w:vAlign w:val="center"/>
          </w:tcPr>
          <w:p w:rsidR="00A20233" w:rsidRDefault="00517A7B">
            <w:pPr>
              <w:jc w:val="right"/>
            </w:pPr>
            <w:r>
              <w:rPr>
                <w:rFonts w:eastAsiaTheme="minorEastAsia"/>
                <w:color w:val="000000" w:themeColor="text1"/>
                <w:sz w:val="24"/>
              </w:rPr>
              <w:t>0.07</w:t>
            </w:r>
          </w:p>
        </w:tc>
      </w:tr>
      <w:tr w:rsidR="00A20233">
        <w:tc>
          <w:tcPr>
            <w:tcW w:w="817" w:type="dxa"/>
            <w:vAlign w:val="center"/>
          </w:tcPr>
          <w:p w:rsidR="00A20233" w:rsidRDefault="00517A7B">
            <w:pPr>
              <w:jc w:val="center"/>
            </w:pPr>
            <w:r>
              <w:rPr>
                <w:rFonts w:eastAsiaTheme="minorEastAsia"/>
                <w:color w:val="000000" w:themeColor="text1"/>
                <w:sz w:val="24"/>
              </w:rPr>
              <w:t>6</w:t>
            </w:r>
          </w:p>
        </w:tc>
        <w:tc>
          <w:tcPr>
            <w:tcW w:w="1276" w:type="dxa"/>
            <w:vAlign w:val="center"/>
          </w:tcPr>
          <w:p w:rsidR="00A20233" w:rsidRDefault="00517A7B">
            <w:pPr>
              <w:jc w:val="center"/>
            </w:pPr>
            <w:r>
              <w:rPr>
                <w:rFonts w:eastAsiaTheme="minorEastAsia"/>
                <w:color w:val="000000" w:themeColor="text1"/>
                <w:sz w:val="24"/>
              </w:rPr>
              <w:t>600276</w:t>
            </w:r>
          </w:p>
        </w:tc>
        <w:tc>
          <w:tcPr>
            <w:tcW w:w="1701" w:type="dxa"/>
            <w:vAlign w:val="center"/>
          </w:tcPr>
          <w:p w:rsidR="00A20233" w:rsidRDefault="00517A7B">
            <w:pPr>
              <w:jc w:val="center"/>
            </w:pPr>
            <w:r>
              <w:rPr>
                <w:rFonts w:eastAsiaTheme="minorEastAsia"/>
                <w:color w:val="000000" w:themeColor="text1"/>
                <w:sz w:val="24"/>
              </w:rPr>
              <w:t>恒瑞医药</w:t>
            </w:r>
          </w:p>
        </w:tc>
        <w:tc>
          <w:tcPr>
            <w:tcW w:w="1276" w:type="dxa"/>
            <w:vAlign w:val="center"/>
          </w:tcPr>
          <w:p w:rsidR="00A20233" w:rsidRDefault="00517A7B">
            <w:pPr>
              <w:jc w:val="right"/>
            </w:pPr>
            <w:r>
              <w:rPr>
                <w:rFonts w:eastAsiaTheme="minorEastAsia"/>
                <w:color w:val="000000" w:themeColor="text1"/>
                <w:sz w:val="24"/>
              </w:rPr>
              <w:t>1,394</w:t>
            </w:r>
          </w:p>
        </w:tc>
        <w:tc>
          <w:tcPr>
            <w:tcW w:w="1842" w:type="dxa"/>
            <w:vAlign w:val="center"/>
          </w:tcPr>
          <w:p w:rsidR="00A20233" w:rsidRDefault="00517A7B">
            <w:pPr>
              <w:jc w:val="right"/>
            </w:pPr>
            <w:r>
              <w:rPr>
                <w:rFonts w:eastAsiaTheme="minorEastAsia"/>
                <w:color w:val="000000" w:themeColor="text1"/>
                <w:sz w:val="24"/>
              </w:rPr>
              <w:t>112,467.92</w:t>
            </w:r>
          </w:p>
        </w:tc>
        <w:tc>
          <w:tcPr>
            <w:tcW w:w="1616" w:type="dxa"/>
            <w:vAlign w:val="center"/>
          </w:tcPr>
          <w:p w:rsidR="00A20233" w:rsidRDefault="00517A7B">
            <w:pPr>
              <w:jc w:val="right"/>
            </w:pPr>
            <w:r>
              <w:rPr>
                <w:rFonts w:eastAsiaTheme="minorEastAsia"/>
                <w:color w:val="000000" w:themeColor="text1"/>
                <w:sz w:val="24"/>
              </w:rPr>
              <w:t>0.07</w:t>
            </w:r>
          </w:p>
        </w:tc>
      </w:tr>
      <w:tr w:rsidR="00A20233">
        <w:tc>
          <w:tcPr>
            <w:tcW w:w="817" w:type="dxa"/>
            <w:vAlign w:val="center"/>
          </w:tcPr>
          <w:p w:rsidR="00A20233" w:rsidRDefault="00517A7B">
            <w:pPr>
              <w:jc w:val="center"/>
            </w:pPr>
            <w:r>
              <w:rPr>
                <w:rFonts w:eastAsiaTheme="minorEastAsia"/>
                <w:color w:val="000000" w:themeColor="text1"/>
                <w:sz w:val="24"/>
              </w:rPr>
              <w:t>7</w:t>
            </w:r>
          </w:p>
        </w:tc>
        <w:tc>
          <w:tcPr>
            <w:tcW w:w="1276" w:type="dxa"/>
            <w:vAlign w:val="center"/>
          </w:tcPr>
          <w:p w:rsidR="00A20233" w:rsidRDefault="00517A7B">
            <w:pPr>
              <w:jc w:val="center"/>
            </w:pPr>
            <w:r>
              <w:rPr>
                <w:rFonts w:eastAsiaTheme="minorEastAsia"/>
                <w:color w:val="000000" w:themeColor="text1"/>
                <w:sz w:val="24"/>
              </w:rPr>
              <w:t>600436</w:t>
            </w:r>
          </w:p>
        </w:tc>
        <w:tc>
          <w:tcPr>
            <w:tcW w:w="1701" w:type="dxa"/>
            <w:vAlign w:val="center"/>
          </w:tcPr>
          <w:p w:rsidR="00A20233" w:rsidRDefault="00517A7B">
            <w:pPr>
              <w:jc w:val="center"/>
            </w:pPr>
            <w:r>
              <w:rPr>
                <w:rFonts w:eastAsiaTheme="minorEastAsia"/>
                <w:color w:val="000000" w:themeColor="text1"/>
                <w:sz w:val="24"/>
              </w:rPr>
              <w:t>片仔癀</w:t>
            </w:r>
          </w:p>
        </w:tc>
        <w:tc>
          <w:tcPr>
            <w:tcW w:w="1276" w:type="dxa"/>
            <w:vAlign w:val="center"/>
          </w:tcPr>
          <w:p w:rsidR="00A20233" w:rsidRDefault="00517A7B">
            <w:pPr>
              <w:jc w:val="right"/>
            </w:pPr>
            <w:r>
              <w:rPr>
                <w:rFonts w:eastAsiaTheme="minorEastAsia"/>
                <w:color w:val="000000" w:themeColor="text1"/>
                <w:sz w:val="24"/>
              </w:rPr>
              <w:t>900</w:t>
            </w:r>
          </w:p>
        </w:tc>
        <w:tc>
          <w:tcPr>
            <w:tcW w:w="1842" w:type="dxa"/>
            <w:vAlign w:val="center"/>
          </w:tcPr>
          <w:p w:rsidR="00A20233" w:rsidRDefault="00517A7B">
            <w:pPr>
              <w:jc w:val="right"/>
            </w:pPr>
            <w:r>
              <w:rPr>
                <w:rFonts w:eastAsiaTheme="minorEastAsia"/>
                <w:color w:val="000000" w:themeColor="text1"/>
                <w:sz w:val="24"/>
              </w:rPr>
              <w:t>91,692.00</w:t>
            </w:r>
          </w:p>
        </w:tc>
        <w:tc>
          <w:tcPr>
            <w:tcW w:w="1616" w:type="dxa"/>
            <w:vAlign w:val="center"/>
          </w:tcPr>
          <w:p w:rsidR="00A20233" w:rsidRDefault="00517A7B">
            <w:pPr>
              <w:jc w:val="right"/>
            </w:pPr>
            <w:r>
              <w:rPr>
                <w:rFonts w:eastAsiaTheme="minorEastAsia"/>
                <w:color w:val="000000" w:themeColor="text1"/>
                <w:sz w:val="24"/>
              </w:rPr>
              <w:t>0.05</w:t>
            </w:r>
          </w:p>
        </w:tc>
      </w:tr>
      <w:tr w:rsidR="00A20233">
        <w:tc>
          <w:tcPr>
            <w:tcW w:w="817" w:type="dxa"/>
            <w:vAlign w:val="center"/>
          </w:tcPr>
          <w:p w:rsidR="00A20233" w:rsidRDefault="00517A7B">
            <w:pPr>
              <w:jc w:val="center"/>
            </w:pPr>
            <w:r>
              <w:rPr>
                <w:rFonts w:eastAsiaTheme="minorEastAsia"/>
                <w:color w:val="000000" w:themeColor="text1"/>
                <w:sz w:val="24"/>
              </w:rPr>
              <w:t>8</w:t>
            </w:r>
          </w:p>
        </w:tc>
        <w:tc>
          <w:tcPr>
            <w:tcW w:w="1276" w:type="dxa"/>
            <w:vAlign w:val="center"/>
          </w:tcPr>
          <w:p w:rsidR="00A20233" w:rsidRDefault="00517A7B">
            <w:pPr>
              <w:jc w:val="center"/>
            </w:pPr>
            <w:r>
              <w:rPr>
                <w:rFonts w:eastAsiaTheme="minorEastAsia"/>
                <w:color w:val="000000" w:themeColor="text1"/>
                <w:sz w:val="24"/>
              </w:rPr>
              <w:t>603799</w:t>
            </w:r>
          </w:p>
        </w:tc>
        <w:tc>
          <w:tcPr>
            <w:tcW w:w="1701" w:type="dxa"/>
            <w:vAlign w:val="center"/>
          </w:tcPr>
          <w:p w:rsidR="00A20233" w:rsidRDefault="00517A7B">
            <w:pPr>
              <w:jc w:val="center"/>
            </w:pPr>
            <w:r>
              <w:rPr>
                <w:rFonts w:eastAsiaTheme="minorEastAsia"/>
                <w:color w:val="000000" w:themeColor="text1"/>
                <w:sz w:val="24"/>
              </w:rPr>
              <w:t>华友钴业</w:t>
            </w:r>
          </w:p>
        </w:tc>
        <w:tc>
          <w:tcPr>
            <w:tcW w:w="1276" w:type="dxa"/>
            <w:vAlign w:val="center"/>
          </w:tcPr>
          <w:p w:rsidR="00A20233" w:rsidRDefault="00517A7B">
            <w:pPr>
              <w:jc w:val="right"/>
            </w:pPr>
            <w:r>
              <w:rPr>
                <w:rFonts w:eastAsiaTheme="minorEastAsia"/>
                <w:color w:val="000000" w:themeColor="text1"/>
                <w:sz w:val="24"/>
              </w:rPr>
              <w:t>3,250</w:t>
            </w:r>
          </w:p>
        </w:tc>
        <w:tc>
          <w:tcPr>
            <w:tcW w:w="1842" w:type="dxa"/>
            <w:vAlign w:val="center"/>
          </w:tcPr>
          <w:p w:rsidR="00A20233" w:rsidRDefault="00517A7B">
            <w:pPr>
              <w:jc w:val="right"/>
            </w:pPr>
            <w:r>
              <w:rPr>
                <w:rFonts w:eastAsiaTheme="minorEastAsia"/>
                <w:color w:val="000000" w:themeColor="text1"/>
                <w:sz w:val="24"/>
              </w:rPr>
              <w:t>87,457.50</w:t>
            </w:r>
          </w:p>
        </w:tc>
        <w:tc>
          <w:tcPr>
            <w:tcW w:w="1616" w:type="dxa"/>
            <w:vAlign w:val="center"/>
          </w:tcPr>
          <w:p w:rsidR="00A20233" w:rsidRDefault="00517A7B">
            <w:pPr>
              <w:jc w:val="right"/>
            </w:pPr>
            <w:r>
              <w:rPr>
                <w:rFonts w:eastAsiaTheme="minorEastAsia"/>
                <w:color w:val="000000" w:themeColor="text1"/>
                <w:sz w:val="24"/>
              </w:rPr>
              <w:t>0.05</w:t>
            </w:r>
          </w:p>
        </w:tc>
      </w:tr>
      <w:tr w:rsidR="00A20233">
        <w:tc>
          <w:tcPr>
            <w:tcW w:w="817" w:type="dxa"/>
            <w:vAlign w:val="center"/>
          </w:tcPr>
          <w:p w:rsidR="00A20233" w:rsidRDefault="00517A7B">
            <w:pPr>
              <w:jc w:val="center"/>
            </w:pPr>
            <w:r>
              <w:rPr>
                <w:rFonts w:eastAsiaTheme="minorEastAsia"/>
                <w:color w:val="000000" w:themeColor="text1"/>
                <w:sz w:val="24"/>
              </w:rPr>
              <w:t>9</w:t>
            </w:r>
          </w:p>
        </w:tc>
        <w:tc>
          <w:tcPr>
            <w:tcW w:w="1276" w:type="dxa"/>
            <w:vAlign w:val="center"/>
          </w:tcPr>
          <w:p w:rsidR="00A20233" w:rsidRDefault="00517A7B">
            <w:pPr>
              <w:jc w:val="center"/>
            </w:pPr>
            <w:r>
              <w:rPr>
                <w:rFonts w:eastAsiaTheme="minorEastAsia"/>
                <w:color w:val="000000" w:themeColor="text1"/>
                <w:sz w:val="24"/>
              </w:rPr>
              <w:t>600570</w:t>
            </w:r>
          </w:p>
        </w:tc>
        <w:tc>
          <w:tcPr>
            <w:tcW w:w="1701" w:type="dxa"/>
            <w:vAlign w:val="center"/>
          </w:tcPr>
          <w:p w:rsidR="00A20233" w:rsidRDefault="00517A7B">
            <w:pPr>
              <w:jc w:val="center"/>
            </w:pPr>
            <w:r>
              <w:rPr>
                <w:rFonts w:eastAsiaTheme="minorEastAsia"/>
                <w:color w:val="000000" w:themeColor="text1"/>
                <w:sz w:val="24"/>
              </w:rPr>
              <w:t>恒生电子</w:t>
            </w:r>
          </w:p>
        </w:tc>
        <w:tc>
          <w:tcPr>
            <w:tcW w:w="1276" w:type="dxa"/>
            <w:vAlign w:val="center"/>
          </w:tcPr>
          <w:p w:rsidR="00A20233" w:rsidRDefault="00517A7B">
            <w:pPr>
              <w:jc w:val="right"/>
            </w:pPr>
            <w:r>
              <w:rPr>
                <w:rFonts w:eastAsiaTheme="minorEastAsia"/>
                <w:color w:val="000000" w:themeColor="text1"/>
                <w:sz w:val="24"/>
              </w:rPr>
              <w:t>1,170</w:t>
            </w:r>
          </w:p>
        </w:tc>
        <w:tc>
          <w:tcPr>
            <w:tcW w:w="1842" w:type="dxa"/>
            <w:vAlign w:val="center"/>
          </w:tcPr>
          <w:p w:rsidR="00A20233" w:rsidRDefault="00517A7B">
            <w:pPr>
              <w:jc w:val="right"/>
            </w:pPr>
            <w:r>
              <w:rPr>
                <w:rFonts w:eastAsiaTheme="minorEastAsia"/>
                <w:color w:val="000000" w:themeColor="text1"/>
                <w:sz w:val="24"/>
              </w:rPr>
              <w:t>86,498.10</w:t>
            </w:r>
          </w:p>
        </w:tc>
        <w:tc>
          <w:tcPr>
            <w:tcW w:w="1616" w:type="dxa"/>
            <w:vAlign w:val="center"/>
          </w:tcPr>
          <w:p w:rsidR="00A20233" w:rsidRDefault="00517A7B">
            <w:pPr>
              <w:jc w:val="right"/>
            </w:pPr>
            <w:r>
              <w:rPr>
                <w:rFonts w:eastAsiaTheme="minorEastAsia"/>
                <w:color w:val="000000" w:themeColor="text1"/>
                <w:sz w:val="24"/>
              </w:rPr>
              <w:t>0.05</w:t>
            </w:r>
          </w:p>
        </w:tc>
      </w:tr>
      <w:tr w:rsidR="00A20233">
        <w:tc>
          <w:tcPr>
            <w:tcW w:w="817" w:type="dxa"/>
            <w:vAlign w:val="center"/>
          </w:tcPr>
          <w:p w:rsidR="00A20233" w:rsidRDefault="00517A7B">
            <w:pPr>
              <w:jc w:val="center"/>
            </w:pPr>
            <w:r>
              <w:rPr>
                <w:rFonts w:eastAsiaTheme="minorEastAsia"/>
                <w:color w:val="000000" w:themeColor="text1"/>
                <w:sz w:val="24"/>
              </w:rPr>
              <w:t>10</w:t>
            </w:r>
          </w:p>
        </w:tc>
        <w:tc>
          <w:tcPr>
            <w:tcW w:w="1276" w:type="dxa"/>
            <w:vAlign w:val="center"/>
          </w:tcPr>
          <w:p w:rsidR="00A20233" w:rsidRDefault="00517A7B">
            <w:pPr>
              <w:jc w:val="center"/>
            </w:pPr>
            <w:r>
              <w:rPr>
                <w:rFonts w:eastAsiaTheme="minorEastAsia"/>
                <w:color w:val="000000" w:themeColor="text1"/>
                <w:sz w:val="24"/>
              </w:rPr>
              <w:t>601888</w:t>
            </w:r>
          </w:p>
        </w:tc>
        <w:tc>
          <w:tcPr>
            <w:tcW w:w="1701" w:type="dxa"/>
            <w:vAlign w:val="center"/>
          </w:tcPr>
          <w:p w:rsidR="00A20233" w:rsidRDefault="00517A7B">
            <w:pPr>
              <w:jc w:val="center"/>
            </w:pPr>
            <w:r>
              <w:rPr>
                <w:rFonts w:eastAsiaTheme="minorEastAsia"/>
                <w:color w:val="000000" w:themeColor="text1"/>
                <w:sz w:val="24"/>
              </w:rPr>
              <w:t>中国国旅</w:t>
            </w:r>
          </w:p>
        </w:tc>
        <w:tc>
          <w:tcPr>
            <w:tcW w:w="1276" w:type="dxa"/>
            <w:vAlign w:val="center"/>
          </w:tcPr>
          <w:p w:rsidR="00A20233" w:rsidRDefault="00517A7B">
            <w:pPr>
              <w:jc w:val="right"/>
            </w:pPr>
            <w:r>
              <w:rPr>
                <w:rFonts w:eastAsiaTheme="minorEastAsia"/>
                <w:color w:val="000000" w:themeColor="text1"/>
                <w:sz w:val="24"/>
              </w:rPr>
              <w:t>800</w:t>
            </w:r>
          </w:p>
        </w:tc>
        <w:tc>
          <w:tcPr>
            <w:tcW w:w="1842" w:type="dxa"/>
            <w:vAlign w:val="center"/>
          </w:tcPr>
          <w:p w:rsidR="00A20233" w:rsidRDefault="00517A7B">
            <w:pPr>
              <w:jc w:val="right"/>
            </w:pPr>
            <w:r>
              <w:rPr>
                <w:rFonts w:eastAsiaTheme="minorEastAsia"/>
                <w:color w:val="000000" w:themeColor="text1"/>
                <w:sz w:val="24"/>
              </w:rPr>
              <w:t>74,448.00</w:t>
            </w:r>
          </w:p>
        </w:tc>
        <w:tc>
          <w:tcPr>
            <w:tcW w:w="1616" w:type="dxa"/>
            <w:vAlign w:val="center"/>
          </w:tcPr>
          <w:p w:rsidR="00A20233" w:rsidRDefault="00517A7B">
            <w:pPr>
              <w:jc w:val="right"/>
            </w:pPr>
            <w:r>
              <w:rPr>
                <w:rFonts w:eastAsiaTheme="minorEastAsia"/>
                <w:color w:val="000000" w:themeColor="text1"/>
                <w:sz w:val="24"/>
              </w:rPr>
              <w:t>0.04</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1D5CD0" w:rsidRPr="00B34368" w:rsidRDefault="00D27EA0" w:rsidP="00D27EA0">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985F0E" w:rsidRDefault="00985F0E" w:rsidP="00985F0E">
      <w:pPr>
        <w:spacing w:line="360" w:lineRule="auto"/>
        <w:ind w:firstLineChars="200" w:firstLine="480"/>
      </w:pPr>
      <w:r w:rsidRPr="00DF18FE">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lastRenderedPageBreak/>
        <w:t>5.12.12018</w:t>
      </w:r>
      <w:r w:rsidRPr="00B34368">
        <w:rPr>
          <w:rFonts w:eastAsiaTheme="minorEastAsia"/>
          <w:color w:val="000000" w:themeColor="text1"/>
          <w:sz w:val="24"/>
        </w:rPr>
        <w:t>年</w:t>
      </w:r>
      <w:r w:rsidRPr="00B34368">
        <w:rPr>
          <w:rFonts w:eastAsiaTheme="minorEastAsia"/>
          <w:color w:val="000000" w:themeColor="text1"/>
          <w:sz w:val="24"/>
        </w:rPr>
        <w:t>10</w:t>
      </w:r>
      <w:r w:rsidRPr="00B34368">
        <w:rPr>
          <w:rFonts w:eastAsiaTheme="minorEastAsia"/>
          <w:color w:val="000000" w:themeColor="text1"/>
          <w:sz w:val="24"/>
        </w:rPr>
        <w:t>月</w:t>
      </w:r>
      <w:r w:rsidRPr="00B34368">
        <w:rPr>
          <w:rFonts w:eastAsiaTheme="minorEastAsia"/>
          <w:color w:val="000000" w:themeColor="text1"/>
          <w:sz w:val="24"/>
        </w:rPr>
        <w:t>16</w:t>
      </w:r>
      <w:r w:rsidRPr="00B34368">
        <w:rPr>
          <w:rFonts w:eastAsiaTheme="minorEastAsia"/>
          <w:color w:val="000000" w:themeColor="text1"/>
          <w:sz w:val="24"/>
        </w:rPr>
        <w:t>日，上海保监局针对兴业银行股份有限公司信用卡中心电话销售欺骗投保人、电话销售向投保人隐瞒与合同有关的重要情况的违法违规行为，责令改正并处</w:t>
      </w:r>
      <w:r w:rsidRPr="00B34368">
        <w:rPr>
          <w:rFonts w:eastAsiaTheme="minorEastAsia"/>
          <w:color w:val="000000" w:themeColor="text1"/>
          <w:sz w:val="24"/>
        </w:rPr>
        <w:t>35</w:t>
      </w:r>
      <w:r w:rsidRPr="00B34368">
        <w:rPr>
          <w:rFonts w:eastAsiaTheme="minorEastAsia"/>
          <w:color w:val="000000" w:themeColor="text1"/>
          <w:sz w:val="24"/>
        </w:rPr>
        <w:t>万元罚款。</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日，中国银行保险监督管理委员会上海监管局针对兴业银行股份有限公司信用卡中心</w:t>
      </w:r>
      <w:r>
        <w:rPr>
          <w:rFonts w:eastAsiaTheme="minorEastAsia"/>
          <w:color w:val="000000" w:themeColor="text1"/>
          <w:sz w:val="24"/>
        </w:rPr>
        <w:t>1</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月在为部分客户办理信用卡业务时未遵守总授信额度管理制度；</w:t>
      </w:r>
      <w:r>
        <w:rPr>
          <w:rFonts w:eastAsiaTheme="minorEastAsia"/>
          <w:color w:val="000000" w:themeColor="text1"/>
          <w:sz w:val="24"/>
        </w:rPr>
        <w:t>2</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月对部分信用卡申请人资信水平调查严重不尽职的违法违规行为，责令改正，并处罚款</w:t>
      </w:r>
      <w:r>
        <w:rPr>
          <w:rFonts w:eastAsiaTheme="minorEastAsia"/>
          <w:color w:val="000000" w:themeColor="text1"/>
          <w:sz w:val="24"/>
        </w:rPr>
        <w:t>40</w:t>
      </w:r>
      <w:r>
        <w:rPr>
          <w:rFonts w:eastAsiaTheme="minorEastAsia"/>
          <w:color w:val="000000" w:themeColor="text1"/>
          <w:sz w:val="24"/>
        </w:rPr>
        <w:t>万元。</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日，中国保险监督管理委员会北京监管局针对中国工商银行股份有限公司存在电话销售保险过程中欺骗投保人的行为，对中国工商银行股份有限公司处以人民币</w:t>
      </w:r>
      <w:r>
        <w:rPr>
          <w:rFonts w:eastAsiaTheme="minorEastAsia"/>
          <w:color w:val="000000" w:themeColor="text1"/>
          <w:sz w:val="24"/>
        </w:rPr>
        <w:t>30</w:t>
      </w:r>
      <w:r>
        <w:rPr>
          <w:rFonts w:eastAsiaTheme="minorEastAsia"/>
          <w:color w:val="000000" w:themeColor="text1"/>
          <w:sz w:val="24"/>
        </w:rPr>
        <w:t>万元行政罚款。</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24</w:t>
      </w:r>
      <w:r>
        <w:rPr>
          <w:rFonts w:eastAsiaTheme="minorEastAsia"/>
          <w:color w:val="000000" w:themeColor="text1"/>
          <w:sz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Pr>
          <w:rFonts w:eastAsiaTheme="minorEastAsia"/>
          <w:color w:val="000000" w:themeColor="text1"/>
          <w:sz w:val="24"/>
        </w:rPr>
        <w:t>130</w:t>
      </w:r>
      <w:r>
        <w:rPr>
          <w:rFonts w:eastAsiaTheme="minorEastAsia"/>
          <w:color w:val="000000" w:themeColor="text1"/>
          <w:sz w:val="24"/>
        </w:rPr>
        <w:t>万元人民币。</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日，中国银行保险监督管理委员会上海监管局对上海浦东发展银行股份有限公司信用卡中心</w:t>
      </w:r>
      <w:r>
        <w:rPr>
          <w:rFonts w:eastAsiaTheme="minorEastAsia"/>
          <w:color w:val="000000" w:themeColor="text1"/>
          <w:sz w:val="24"/>
        </w:rPr>
        <w:t>20</w:t>
      </w:r>
      <w:r>
        <w:rPr>
          <w:rFonts w:eastAsiaTheme="minorEastAsia"/>
          <w:color w:val="000000" w:themeColor="text1"/>
          <w:sz w:val="24"/>
        </w:rPr>
        <w:t>15</w:t>
      </w:r>
      <w:r>
        <w:rPr>
          <w:rFonts w:eastAsiaTheme="minorEastAsia"/>
          <w:color w:val="000000" w:themeColor="text1"/>
          <w:sz w:val="24"/>
        </w:rPr>
        <w:t>年至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月在为部分客户办理信用卡业务时，对申请人收入核定严重不审慎的违法违规事实，责令改正，并处罚款</w:t>
      </w:r>
      <w:r>
        <w:rPr>
          <w:rFonts w:eastAsiaTheme="minorEastAsia"/>
          <w:color w:val="000000" w:themeColor="text1"/>
          <w:sz w:val="24"/>
        </w:rPr>
        <w:t>30</w:t>
      </w:r>
      <w:r>
        <w:rPr>
          <w:rFonts w:eastAsiaTheme="minorEastAsia"/>
          <w:color w:val="000000" w:themeColor="text1"/>
          <w:sz w:val="24"/>
        </w:rPr>
        <w:t>万元。</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日，中国银行保险监督管理委员会上海监管局对招商银行股份有限公司信用卡中心</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月在为部分客户办理信用卡业务时，未遵守总授信额度管理制度的违法违规事实，责令改正，并处罚款</w:t>
      </w:r>
      <w:r>
        <w:rPr>
          <w:rFonts w:eastAsiaTheme="minorEastAsia"/>
          <w:color w:val="000000" w:themeColor="text1"/>
          <w:sz w:val="24"/>
        </w:rPr>
        <w:t>20</w:t>
      </w:r>
      <w:r>
        <w:rPr>
          <w:rFonts w:eastAsiaTheme="minorEastAsia"/>
          <w:color w:val="000000" w:themeColor="text1"/>
          <w:sz w:val="24"/>
        </w:rPr>
        <w:t>万元。</w:t>
      </w:r>
    </w:p>
    <w:p w:rsidR="00A20233" w:rsidRDefault="00517A7B">
      <w:pPr>
        <w:widowControl/>
        <w:spacing w:line="360" w:lineRule="auto"/>
        <w:rPr>
          <w:rFonts w:eastAsiaTheme="minorEastAsia"/>
          <w:color w:val="000000" w:themeColor="text1"/>
          <w:sz w:val="24"/>
        </w:rPr>
      </w:pPr>
      <w:r>
        <w:rPr>
          <w:rFonts w:eastAsiaTheme="minorEastAsia"/>
          <w:color w:val="000000" w:themeColor="text1"/>
          <w:sz w:val="24"/>
        </w:rPr>
        <w:t>本基金为目标</w:t>
      </w:r>
      <w:r>
        <w:rPr>
          <w:rFonts w:eastAsiaTheme="minorEastAsia"/>
          <w:color w:val="000000" w:themeColor="text1"/>
          <w:sz w:val="24"/>
        </w:rPr>
        <w:t>ETF</w:t>
      </w:r>
      <w:r>
        <w:rPr>
          <w:rFonts w:eastAsiaTheme="minorEastAsia"/>
          <w:color w:val="000000" w:themeColor="text1"/>
          <w:sz w:val="24"/>
        </w:rPr>
        <w:t>的联接基金，上述股票系标的指数成份股，上述股票的投资决策程序符合公司投资制度的规定。除兴业银行、工商银行、浦发银行、招商银行外，本基金目标</w:t>
      </w:r>
      <w:r>
        <w:rPr>
          <w:rFonts w:eastAsiaTheme="minorEastAsia"/>
          <w:color w:val="000000" w:themeColor="text1"/>
          <w:sz w:val="24"/>
        </w:rPr>
        <w:t>ETF</w:t>
      </w:r>
      <w:r>
        <w:rPr>
          <w:rFonts w:eastAsiaTheme="minorEastAsia"/>
          <w:color w:val="000000" w:themeColor="text1"/>
          <w:sz w:val="24"/>
        </w:rPr>
        <w:t>投资的前</w:t>
      </w:r>
      <w:r>
        <w:rPr>
          <w:rFonts w:eastAsiaTheme="minorEastAsia"/>
          <w:color w:val="000000" w:themeColor="text1"/>
          <w:sz w:val="24"/>
        </w:rPr>
        <w:t>十名证券的发行主体本期没有出现被监管部门立案调查，或在报告编制日前一年内受到公开谴责、处罚的情形。除招商银行外，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124,863.47</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lastRenderedPageBreak/>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1,696.95</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431,658.82</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558,219.24</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本基金本报告期末前十名股票中不存在流通受限情况。</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w:t>
            </w:r>
            <w:r w:rsidRPr="00B34368">
              <w:rPr>
                <w:rFonts w:eastAsiaTheme="minorEastAsia"/>
                <w:color w:val="000000" w:themeColor="text1"/>
                <w:sz w:val="24"/>
              </w:rPr>
              <w:t>MSCI</w:t>
            </w:r>
            <w:r w:rsidRPr="00B34368">
              <w:rPr>
                <w:rFonts w:eastAsiaTheme="minorEastAsia"/>
                <w:color w:val="000000" w:themeColor="text1"/>
                <w:sz w:val="24"/>
              </w:rPr>
              <w:t>中国</w:t>
            </w:r>
            <w:r w:rsidRPr="00B34368">
              <w:rPr>
                <w:rFonts w:eastAsiaTheme="minorEastAsia"/>
                <w:color w:val="000000" w:themeColor="text1"/>
                <w:sz w:val="24"/>
              </w:rPr>
              <w:t>A</w:t>
            </w:r>
            <w:r w:rsidRPr="00B34368">
              <w:rPr>
                <w:rFonts w:eastAsiaTheme="minorEastAsia"/>
                <w:color w:val="000000" w:themeColor="text1"/>
                <w:sz w:val="24"/>
              </w:rPr>
              <w:t>股国际通</w:t>
            </w:r>
            <w:r w:rsidRPr="00B34368">
              <w:rPr>
                <w:rFonts w:eastAsiaTheme="minorEastAsia"/>
                <w:color w:val="000000" w:themeColor="text1"/>
                <w:sz w:val="24"/>
              </w:rPr>
              <w:t>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70,529,254.52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166,852,057.44</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13,701,379.08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12,326,385.04</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34,505,607.92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63,489,264.02</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49,725,025.68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115,689,178.46</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A01C74" w:rsidRPr="00266D4B" w:rsidRDefault="00A01C74" w:rsidP="00A01C74">
      <w:pPr>
        <w:autoSpaceDE w:val="0"/>
        <w:autoSpaceDN w:val="0"/>
        <w:adjustRightInd w:val="0"/>
        <w:spacing w:before="29" w:line="288" w:lineRule="auto"/>
        <w:ind w:left="15" w:right="480"/>
        <w:jc w:val="right"/>
        <w:rPr>
          <w:color w:val="000000"/>
          <w:kern w:val="0"/>
          <w:sz w:val="24"/>
        </w:rPr>
      </w:pPr>
      <w:r w:rsidRPr="00266D4B">
        <w:rPr>
          <w:color w:val="000000"/>
          <w:kern w:val="0"/>
          <w:sz w:val="24"/>
        </w:rPr>
        <w:lastRenderedPageBreak/>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A01C74" w:rsidRPr="00E90B39" w:rsidTr="00202439">
        <w:trPr>
          <w:trHeight w:val="248"/>
        </w:trPr>
        <w:tc>
          <w:tcPr>
            <w:tcW w:w="3167" w:type="dxa"/>
            <w:vAlign w:val="center"/>
          </w:tcPr>
          <w:p w:rsidR="00A01C74" w:rsidRPr="00FA472B" w:rsidRDefault="00A01C74" w:rsidP="00202439">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A01C74" w:rsidRPr="00FA472B" w:rsidRDefault="00A01C74" w:rsidP="00202439">
            <w:pPr>
              <w:jc w:val="center"/>
              <w:rPr>
                <w:sz w:val="24"/>
              </w:rPr>
            </w:pPr>
            <w:r w:rsidRPr="00FA472B">
              <w:rPr>
                <w:sz w:val="24"/>
              </w:rPr>
              <w:t>易方达</w:t>
            </w:r>
            <w:r w:rsidRPr="00FA472B">
              <w:rPr>
                <w:sz w:val="24"/>
              </w:rPr>
              <w:t>MSCI</w:t>
            </w:r>
            <w:r w:rsidRPr="00FA472B">
              <w:rPr>
                <w:sz w:val="24"/>
              </w:rPr>
              <w:t>中国</w:t>
            </w:r>
            <w:r w:rsidRPr="00FA472B">
              <w:rPr>
                <w:sz w:val="24"/>
              </w:rPr>
              <w:t>A</w:t>
            </w:r>
            <w:r w:rsidRPr="00FA472B">
              <w:rPr>
                <w:sz w:val="24"/>
              </w:rPr>
              <w:t>股国际通</w:t>
            </w:r>
            <w:r w:rsidRPr="00FA472B">
              <w:rPr>
                <w:sz w:val="24"/>
              </w:rPr>
              <w:t>ETF</w:t>
            </w:r>
            <w:r w:rsidRPr="00FA472B">
              <w:rPr>
                <w:sz w:val="24"/>
              </w:rPr>
              <w:t>联接发起式</w:t>
            </w:r>
            <w:r w:rsidRPr="00FA472B">
              <w:rPr>
                <w:sz w:val="24"/>
              </w:rPr>
              <w:t>A</w:t>
            </w:r>
          </w:p>
        </w:tc>
        <w:tc>
          <w:tcPr>
            <w:tcW w:w="2631" w:type="dxa"/>
            <w:vAlign w:val="bottom"/>
          </w:tcPr>
          <w:p w:rsidR="00A01C74" w:rsidRPr="00FA472B" w:rsidRDefault="00A01C74" w:rsidP="00202439">
            <w:pPr>
              <w:jc w:val="center"/>
              <w:rPr>
                <w:sz w:val="24"/>
              </w:rPr>
            </w:pPr>
            <w:r w:rsidRPr="00FA472B">
              <w:rPr>
                <w:sz w:val="24"/>
              </w:rPr>
              <w:t>易方达</w:t>
            </w:r>
            <w:r w:rsidRPr="00FA472B">
              <w:rPr>
                <w:sz w:val="24"/>
              </w:rPr>
              <w:t>MSCI</w:t>
            </w:r>
            <w:r w:rsidRPr="00FA472B">
              <w:rPr>
                <w:sz w:val="24"/>
              </w:rPr>
              <w:t>中国</w:t>
            </w:r>
            <w:r w:rsidRPr="00FA472B">
              <w:rPr>
                <w:sz w:val="24"/>
              </w:rPr>
              <w:t>A</w:t>
            </w:r>
            <w:r w:rsidRPr="00FA472B">
              <w:rPr>
                <w:sz w:val="24"/>
              </w:rPr>
              <w:t>股国际通</w:t>
            </w:r>
            <w:r w:rsidRPr="00FA472B">
              <w:rPr>
                <w:sz w:val="24"/>
              </w:rPr>
              <w:t>ETF</w:t>
            </w:r>
            <w:r w:rsidRPr="00FA472B">
              <w:rPr>
                <w:sz w:val="24"/>
              </w:rPr>
              <w:t>联接发起式</w:t>
            </w:r>
            <w:r w:rsidRPr="00FA472B">
              <w:rPr>
                <w:sz w:val="24"/>
              </w:rPr>
              <w:t>C</w:t>
            </w:r>
          </w:p>
        </w:tc>
      </w:tr>
      <w:tr w:rsidR="00A01C74" w:rsidRPr="00E90B39" w:rsidTr="00202439">
        <w:trPr>
          <w:trHeight w:val="247"/>
        </w:trPr>
        <w:tc>
          <w:tcPr>
            <w:tcW w:w="3167" w:type="dxa"/>
            <w:vAlign w:val="center"/>
          </w:tcPr>
          <w:p w:rsidR="00A01C74" w:rsidRPr="00FA472B" w:rsidRDefault="00A01C74" w:rsidP="00202439">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A01C74" w:rsidRPr="00FA472B" w:rsidRDefault="00A01C74" w:rsidP="00202439">
            <w:pPr>
              <w:jc w:val="right"/>
              <w:rPr>
                <w:sz w:val="24"/>
              </w:rPr>
            </w:pPr>
            <w:r w:rsidRPr="00FA472B">
              <w:rPr>
                <w:color w:val="000000"/>
                <w:sz w:val="24"/>
              </w:rPr>
              <w:t>10,000,000.00</w:t>
            </w:r>
          </w:p>
        </w:tc>
        <w:tc>
          <w:tcPr>
            <w:tcW w:w="2631" w:type="dxa"/>
            <w:vAlign w:val="center"/>
          </w:tcPr>
          <w:p w:rsidR="00A01C74" w:rsidRPr="00FA472B" w:rsidRDefault="00A01C74" w:rsidP="00202439">
            <w:pPr>
              <w:jc w:val="right"/>
              <w:rPr>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A01C74" w:rsidRPr="00FA472B" w:rsidRDefault="00A01C74" w:rsidP="00202439">
            <w:pPr>
              <w:jc w:val="right"/>
              <w:rPr>
                <w:color w:val="000000"/>
                <w:kern w:val="0"/>
                <w:sz w:val="24"/>
              </w:rPr>
            </w:pPr>
            <w:r w:rsidRPr="00FA472B">
              <w:rPr>
                <w:color w:val="000000"/>
                <w:sz w:val="24"/>
              </w:rPr>
              <w:t>-</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A01C74" w:rsidRPr="00FA472B" w:rsidRDefault="00A01C74" w:rsidP="00202439">
            <w:pPr>
              <w:jc w:val="right"/>
              <w:rPr>
                <w:color w:val="000000"/>
                <w:kern w:val="0"/>
                <w:sz w:val="24"/>
              </w:rPr>
            </w:pPr>
            <w:r w:rsidRPr="00FA472B">
              <w:rPr>
                <w:color w:val="000000"/>
                <w:sz w:val="24"/>
              </w:rPr>
              <w:t>-</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A01C74" w:rsidRPr="00FA472B" w:rsidRDefault="00A01C74" w:rsidP="00202439">
            <w:pPr>
              <w:jc w:val="right"/>
              <w:rPr>
                <w:sz w:val="24"/>
              </w:rPr>
            </w:pPr>
            <w:r w:rsidRPr="00FA472B">
              <w:rPr>
                <w:color w:val="000000"/>
                <w:sz w:val="24"/>
              </w:rPr>
              <w:t>10,000,000.00</w:t>
            </w:r>
          </w:p>
        </w:tc>
        <w:tc>
          <w:tcPr>
            <w:tcW w:w="2631" w:type="dxa"/>
            <w:vAlign w:val="center"/>
          </w:tcPr>
          <w:p w:rsidR="00A01C74" w:rsidRPr="00FA472B" w:rsidRDefault="00A01C74" w:rsidP="00202439">
            <w:pPr>
              <w:jc w:val="right"/>
              <w:rPr>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A01C74" w:rsidRPr="00FA472B" w:rsidRDefault="00A01C74" w:rsidP="00202439">
            <w:pPr>
              <w:jc w:val="right"/>
              <w:rPr>
                <w:color w:val="000000"/>
                <w:kern w:val="0"/>
                <w:sz w:val="24"/>
              </w:rPr>
            </w:pPr>
            <w:r w:rsidRPr="00FA472B">
              <w:rPr>
                <w:color w:val="000000"/>
                <w:sz w:val="24"/>
              </w:rPr>
              <w:t>20.11</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bl>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B47574" w:rsidRPr="00B34368" w:rsidRDefault="00B47574" w:rsidP="00C544B8">
      <w:pPr>
        <w:pStyle w:val="1"/>
        <w:spacing w:beforeLines="100" w:before="312" w:afterLines="100" w:after="312" w:line="360" w:lineRule="auto"/>
        <w:jc w:val="center"/>
        <w:rPr>
          <w:rFonts w:eastAsiaTheme="minorEastAsia"/>
          <w:b w:val="0"/>
          <w:color w:val="000000" w:themeColor="text1"/>
          <w:sz w:val="24"/>
          <w:szCs w:val="24"/>
        </w:rPr>
      </w:pPr>
      <w:r w:rsidRPr="00B34368">
        <w:rPr>
          <w:rFonts w:eastAsiaTheme="minorEastAsia"/>
          <w:color w:val="000000" w:themeColor="text1"/>
          <w:kern w:val="0"/>
          <w:sz w:val="24"/>
          <w:szCs w:val="24"/>
        </w:rPr>
        <w:t xml:space="preserve">§8  </w:t>
      </w:r>
      <w:r w:rsidR="00EA7533" w:rsidRPr="00B34368">
        <w:rPr>
          <w:rFonts w:eastAsiaTheme="minorEastAsia" w:hAnsiTheme="minorEastAsia"/>
          <w:color w:val="000000" w:themeColor="text1"/>
          <w:kern w:val="0"/>
          <w:sz w:val="24"/>
          <w:szCs w:val="24"/>
        </w:rPr>
        <w:t>报告期末</w:t>
      </w:r>
      <w:r w:rsidRPr="00B34368">
        <w:rPr>
          <w:rFonts w:eastAsiaTheme="minorEastAsia" w:hAnsiTheme="minorEastAsia"/>
          <w:color w:val="000000" w:themeColor="text1"/>
          <w:kern w:val="0"/>
          <w:sz w:val="24"/>
          <w:szCs w:val="24"/>
        </w:rPr>
        <w:t>发起式基金发起资金持有份额情况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1"/>
        <w:gridCol w:w="1157"/>
        <w:gridCol w:w="1314"/>
        <w:gridCol w:w="1065"/>
        <w:gridCol w:w="1458"/>
        <w:gridCol w:w="1495"/>
      </w:tblGrid>
      <w:tr w:rsidR="00D3639B" w:rsidRPr="00B34368" w:rsidTr="00975D18">
        <w:trPr>
          <w:trHeight w:val="543"/>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B34368" w:rsidRDefault="00B47574" w:rsidP="00973B57">
            <w:pPr>
              <w:widowControl/>
              <w:jc w:val="left"/>
              <w:rPr>
                <w:rFonts w:eastAsiaTheme="minorEastAsia"/>
                <w:color w:val="000000" w:themeColor="text1"/>
                <w:sz w:val="24"/>
              </w:rPr>
            </w:pPr>
            <w:r w:rsidRPr="00B34368">
              <w:rPr>
                <w:rFonts w:eastAsiaTheme="minorEastAsia" w:hAnsiTheme="minorEastAsia"/>
                <w:color w:val="000000" w:themeColor="text1"/>
                <w:sz w:val="24"/>
              </w:rPr>
              <w:t>项目</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持有份额总数</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持有份额占基金总份额比例</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发起份额总数</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发起份额占基金总份额比例</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widowControl/>
              <w:jc w:val="left"/>
              <w:rPr>
                <w:rFonts w:eastAsiaTheme="minorEastAsia"/>
                <w:color w:val="000000" w:themeColor="text1"/>
                <w:sz w:val="24"/>
              </w:rPr>
            </w:pPr>
            <w:r w:rsidRPr="00B34368">
              <w:rPr>
                <w:rFonts w:eastAsiaTheme="minorEastAsia" w:hAnsiTheme="minorEastAsia"/>
                <w:color w:val="000000" w:themeColor="text1"/>
                <w:sz w:val="24"/>
              </w:rPr>
              <w:t>发起份额承诺持有期限</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基金管理人固有资金</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10,000,000.00</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6.0454%</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10,000,000.00</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6.0454%</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不少于</w:t>
            </w:r>
            <w:r w:rsidRPr="00B34368">
              <w:rPr>
                <w:rFonts w:eastAsiaTheme="minorEastAsia"/>
                <w:color w:val="000000" w:themeColor="text1"/>
                <w:kern w:val="0"/>
                <w:sz w:val="24"/>
              </w:rPr>
              <w:t>3</w:t>
            </w:r>
            <w:r w:rsidRPr="00B34368">
              <w:rPr>
                <w:rFonts w:eastAsiaTheme="minorEastAsia"/>
                <w:color w:val="000000" w:themeColor="text1"/>
                <w:kern w:val="0"/>
                <w:sz w:val="24"/>
              </w:rPr>
              <w:t>年</w:t>
            </w:r>
          </w:p>
        </w:tc>
      </w:tr>
      <w:tr w:rsidR="00D3639B" w:rsidRPr="00B34368" w:rsidTr="00975D18">
        <w:trPr>
          <w:trHeight w:val="790"/>
        </w:trPr>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基金管理人高级管理人员</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基金经理等人员</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基金管理人股东</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其他</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10,000,000.00</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6.0454%</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10,000,000.00</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6.0454%</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9</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中国证监会准予易方达</w:t>
      </w:r>
      <w:r>
        <w:rPr>
          <w:rFonts w:eastAsiaTheme="minorEastAsia"/>
          <w:color w:val="000000" w:themeColor="text1"/>
          <w:sz w:val="24"/>
        </w:rPr>
        <w:t>MSCI</w:t>
      </w:r>
      <w:r>
        <w:rPr>
          <w:rFonts w:eastAsiaTheme="minorEastAsia"/>
          <w:color w:val="000000" w:themeColor="text1"/>
          <w:sz w:val="24"/>
        </w:rPr>
        <w:t>中国</w:t>
      </w:r>
      <w:r>
        <w:rPr>
          <w:rFonts w:eastAsiaTheme="minorEastAsia"/>
          <w:color w:val="000000" w:themeColor="text1"/>
          <w:sz w:val="24"/>
        </w:rPr>
        <w:t>A</w:t>
      </w:r>
      <w:r>
        <w:rPr>
          <w:rFonts w:eastAsiaTheme="minorEastAsia"/>
          <w:color w:val="000000" w:themeColor="text1"/>
          <w:sz w:val="24"/>
        </w:rPr>
        <w:t>股国际通交易型开放式指数证券投资基金发起式联接基金注册的文件；</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2.</w:t>
      </w:r>
      <w:r>
        <w:rPr>
          <w:rFonts w:eastAsiaTheme="minorEastAsia"/>
          <w:color w:val="000000" w:themeColor="text1"/>
          <w:sz w:val="24"/>
        </w:rPr>
        <w:t>《易方达</w:t>
      </w:r>
      <w:r>
        <w:rPr>
          <w:rFonts w:eastAsiaTheme="minorEastAsia"/>
          <w:color w:val="000000" w:themeColor="text1"/>
          <w:sz w:val="24"/>
        </w:rPr>
        <w:t>MSCI</w:t>
      </w:r>
      <w:r>
        <w:rPr>
          <w:rFonts w:eastAsiaTheme="minorEastAsia"/>
          <w:color w:val="000000" w:themeColor="text1"/>
          <w:sz w:val="24"/>
        </w:rPr>
        <w:t>中国</w:t>
      </w:r>
      <w:r>
        <w:rPr>
          <w:rFonts w:eastAsiaTheme="minorEastAsia"/>
          <w:color w:val="000000" w:themeColor="text1"/>
          <w:sz w:val="24"/>
        </w:rPr>
        <w:t>A</w:t>
      </w:r>
      <w:r>
        <w:rPr>
          <w:rFonts w:eastAsiaTheme="minorEastAsia"/>
          <w:color w:val="000000" w:themeColor="text1"/>
          <w:sz w:val="24"/>
        </w:rPr>
        <w:t>股国际通交易型开放式指数证券投资基金发起式联接基金基金合同》；</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w:t>
      </w:r>
      <w:r>
        <w:rPr>
          <w:rFonts w:eastAsiaTheme="minorEastAsia"/>
          <w:color w:val="000000" w:themeColor="text1"/>
          <w:sz w:val="24"/>
        </w:rPr>
        <w:t>MSCI</w:t>
      </w:r>
      <w:r>
        <w:rPr>
          <w:rFonts w:eastAsiaTheme="minorEastAsia"/>
          <w:color w:val="000000" w:themeColor="text1"/>
          <w:sz w:val="24"/>
        </w:rPr>
        <w:t>中国</w:t>
      </w:r>
      <w:r>
        <w:rPr>
          <w:rFonts w:eastAsiaTheme="minorEastAsia"/>
          <w:color w:val="000000" w:themeColor="text1"/>
          <w:sz w:val="24"/>
        </w:rPr>
        <w:t>A</w:t>
      </w:r>
      <w:r>
        <w:rPr>
          <w:rFonts w:eastAsiaTheme="minorEastAsia"/>
          <w:color w:val="000000" w:themeColor="text1"/>
          <w:sz w:val="24"/>
        </w:rPr>
        <w:t>股国际通交易型开放式指数证券投资基金发起式联接基金托管协议》；</w:t>
      </w:r>
    </w:p>
    <w:p w:rsidR="00A20233" w:rsidRDefault="00517A7B">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BB" w:rsidRDefault="00990ABB">
      <w:r>
        <w:separator/>
      </w:r>
    </w:p>
  </w:endnote>
  <w:endnote w:type="continuationSeparator" w:id="0">
    <w:p w:rsidR="00990ABB" w:rsidRDefault="0099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517A7B">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517A7B">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517A7B">
      <w:rPr>
        <w:rStyle w:val="a7"/>
        <w:noProof/>
      </w:rPr>
      <w:t>17</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BB" w:rsidRDefault="00990ABB">
      <w:r>
        <w:separator/>
      </w:r>
    </w:p>
  </w:footnote>
  <w:footnote w:type="continuationSeparator" w:id="0">
    <w:p w:rsidR="00990ABB" w:rsidRDefault="0099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w:t>
    </w:r>
    <w:r>
      <w:rPr>
        <w:sz w:val="21"/>
        <w:szCs w:val="21"/>
      </w:rPr>
      <w:t>MSCI</w:t>
    </w:r>
    <w:r>
      <w:rPr>
        <w:sz w:val="21"/>
        <w:szCs w:val="21"/>
      </w:rPr>
      <w:t>中国</w:t>
    </w:r>
    <w:r>
      <w:rPr>
        <w:sz w:val="21"/>
        <w:szCs w:val="21"/>
      </w:rPr>
      <w:t>A</w:t>
    </w:r>
    <w:r>
      <w:rPr>
        <w:sz w:val="21"/>
        <w:szCs w:val="21"/>
      </w:rPr>
      <w:t>股国际通交易型开放式指数证券投资基金发起式联接基金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1D"/>
    <w:rsid w:val="000C757F"/>
    <w:rsid w:val="000C7DD4"/>
    <w:rsid w:val="000D1164"/>
    <w:rsid w:val="000D1BBE"/>
    <w:rsid w:val="000D3773"/>
    <w:rsid w:val="000D4DE9"/>
    <w:rsid w:val="000D53FB"/>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0862"/>
    <w:rsid w:val="00121533"/>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358D6"/>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17A7B"/>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5F0E"/>
    <w:rsid w:val="00986963"/>
    <w:rsid w:val="00990ABB"/>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33"/>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A7532"/>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27EA0"/>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FFCEA5-FC52-4913-B56A-046261AD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E166-04D1-4A71-868F-A1768C20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37</TotalTime>
  <Pages>3</Pages>
  <Words>1437</Words>
  <Characters>8196</Characters>
  <Application>Microsoft Office Word</Application>
  <DocSecurity>0</DocSecurity>
  <Lines>68</Lines>
  <Paragraphs>19</Paragraphs>
  <ScaleCrop>false</ScaleCrop>
  <Company>TRT. Ltd. Co.</Company>
  <LinksUpToDate>false</LinksUpToDate>
  <CharactersWithSpaces>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46</cp:revision>
  <cp:lastPrinted>2019-10-16T13:55:00Z</cp:lastPrinted>
  <dcterms:created xsi:type="dcterms:W3CDTF">2014-12-16T08:49:00Z</dcterms:created>
  <dcterms:modified xsi:type="dcterms:W3CDTF">2019-10-16T13:56:00Z</dcterms:modified>
</cp:coreProperties>
</file>