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易方达科融混合型证券投资基金</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交通银行股份有限公司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1270DD" w:rsidRDefault="0059761C">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1270DD" w:rsidRDefault="0059761C">
      <w:pPr>
        <w:spacing w:line="360" w:lineRule="auto"/>
        <w:ind w:firstLineChars="200" w:firstLine="480"/>
        <w:rPr>
          <w:color w:val="000000"/>
          <w:sz w:val="24"/>
          <w:szCs w:val="24"/>
        </w:rPr>
      </w:pPr>
      <w:r>
        <w:rPr>
          <w:color w:val="000000"/>
          <w:sz w:val="24"/>
          <w:szCs w:val="24"/>
        </w:rPr>
        <w:t>基金托管人交通银行股份有限公司根据本基金合同规定，于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1270DD" w:rsidRDefault="0059761C">
      <w:pPr>
        <w:spacing w:line="360"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1270DD" w:rsidRDefault="0059761C">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1270DD" w:rsidRDefault="0059761C">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易方达科融混合</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006533</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006533</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契约型开放式</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2019</w:t>
            </w:r>
            <w:r w:rsidRPr="00232B03">
              <w:rPr>
                <w:color w:val="000000"/>
                <w:kern w:val="0"/>
                <w:sz w:val="24"/>
                <w:szCs w:val="24"/>
              </w:rPr>
              <w:t>年</w:t>
            </w:r>
            <w:r w:rsidRPr="00232B03">
              <w:rPr>
                <w:color w:val="000000"/>
                <w:kern w:val="0"/>
                <w:sz w:val="24"/>
                <w:szCs w:val="24"/>
              </w:rPr>
              <w:t>3</w:t>
            </w:r>
            <w:r w:rsidRPr="00232B03">
              <w:rPr>
                <w:color w:val="000000"/>
                <w:kern w:val="0"/>
                <w:sz w:val="24"/>
                <w:szCs w:val="24"/>
              </w:rPr>
              <w:t>月</w:t>
            </w:r>
            <w:r w:rsidRPr="00232B03">
              <w:rPr>
                <w:color w:val="000000"/>
                <w:kern w:val="0"/>
                <w:sz w:val="24"/>
                <w:szCs w:val="24"/>
              </w:rPr>
              <w:t>26</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883,887,431.86</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本基金在控制风险的前提下，力争实现基金资产的长期稳健增值。</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基于定量与定性相结合的宏观及市场分析，确定组合中股票、债券、货币市场工具及其他金融工具的比例。股票投资方面，本基金以地区配置策略（对内地和香港市场进行自上而下的研究，主要通过对财政金融政策、</w:t>
            </w:r>
            <w:r w:rsidRPr="00232B03">
              <w:rPr>
                <w:color w:val="000000"/>
                <w:kern w:val="0"/>
                <w:sz w:val="24"/>
                <w:szCs w:val="24"/>
              </w:rPr>
              <w:t xml:space="preserve">GDP </w:t>
            </w:r>
            <w:r w:rsidRPr="00232B03">
              <w:rPr>
                <w:color w:val="000000"/>
                <w:kern w:val="0"/>
                <w:sz w:val="24"/>
                <w:szCs w:val="24"/>
              </w:rPr>
              <w:t>增长率、物价水平、</w:t>
            </w:r>
            <w:r w:rsidRPr="00232B03">
              <w:rPr>
                <w:color w:val="000000"/>
                <w:kern w:val="0"/>
                <w:sz w:val="24"/>
                <w:szCs w:val="24"/>
              </w:rPr>
              <w:lastRenderedPageBreak/>
              <w:t>利率走势、汇率走势、证券市场相对估值水平等方面的分析，对内地和香港市场的投资价值进行综合评价）、行业配置策略（将通过分析行业景气度与竞争格局，对各行业的投资价值进行综合评估）及个股投资策略（选择经营稳健、财务状况运行良好、公司治理结构合理的公司），同时结合估值水平分析，进行股票组合的构建与调整。债券投资方面，本基金将主要通过类属配置与券种选择两个层次进行投资管理。</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60%×</w:t>
            </w:r>
            <w:r w:rsidRPr="00232B03">
              <w:rPr>
                <w:color w:val="000000"/>
                <w:kern w:val="0"/>
                <w:sz w:val="24"/>
                <w:szCs w:val="24"/>
              </w:rPr>
              <w:t>中证</w:t>
            </w:r>
            <w:r w:rsidRPr="00232B03">
              <w:rPr>
                <w:color w:val="000000"/>
                <w:kern w:val="0"/>
                <w:sz w:val="24"/>
                <w:szCs w:val="24"/>
              </w:rPr>
              <w:t>500</w:t>
            </w:r>
            <w:r w:rsidRPr="00232B03">
              <w:rPr>
                <w:color w:val="000000"/>
                <w:kern w:val="0"/>
                <w:sz w:val="24"/>
                <w:szCs w:val="24"/>
              </w:rPr>
              <w:t>指数收益率</w:t>
            </w:r>
            <w:r w:rsidRPr="00232B03">
              <w:rPr>
                <w:color w:val="000000"/>
                <w:kern w:val="0"/>
                <w:sz w:val="24"/>
                <w:szCs w:val="24"/>
              </w:rPr>
              <w:t>+20%×</w:t>
            </w:r>
            <w:r w:rsidRPr="00232B03">
              <w:rPr>
                <w:color w:val="000000"/>
                <w:kern w:val="0"/>
                <w:sz w:val="24"/>
                <w:szCs w:val="24"/>
              </w:rPr>
              <w:t>中证港股通综合指数收益率＋</w:t>
            </w:r>
            <w:r w:rsidRPr="00232B03">
              <w:rPr>
                <w:color w:val="000000"/>
                <w:kern w:val="0"/>
                <w:sz w:val="24"/>
                <w:szCs w:val="24"/>
              </w:rPr>
              <w:t>20%×</w:t>
            </w:r>
            <w:r w:rsidRPr="00232B03">
              <w:rPr>
                <w:color w:val="000000"/>
                <w:kern w:val="0"/>
                <w:sz w:val="24"/>
                <w:szCs w:val="24"/>
              </w:rPr>
              <w:t>中债总指数收益率</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风险收益特征</w:t>
            </w:r>
          </w:p>
        </w:tc>
        <w:tc>
          <w:tcPr>
            <w:tcW w:w="5479" w:type="dxa"/>
          </w:tcPr>
          <w:p w:rsidR="001270DD" w:rsidRDefault="0059761C">
            <w:pPr>
              <w:adjustRightInd w:val="0"/>
              <w:spacing w:before="29" w:line="360" w:lineRule="auto"/>
              <w:ind w:left="17"/>
              <w:jc w:val="left"/>
              <w:rPr>
                <w:color w:val="000000"/>
                <w:sz w:val="24"/>
                <w:szCs w:val="24"/>
              </w:rPr>
            </w:pPr>
            <w:r>
              <w:rPr>
                <w:color w:val="000000"/>
                <w:kern w:val="0"/>
                <w:sz w:val="24"/>
                <w:szCs w:val="24"/>
              </w:rPr>
              <w:t>本基金为混合基金，理论上其预期风险与预期收益水平低于股票基金，高于债券基金和货币市场基金。</w:t>
            </w:r>
          </w:p>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可通过内地与香港股票市场交易互联互通机制投资于香港证券市场，除了需要承担与境内证券投资基金类似的市场波动风险等一般投资风险之外，本基金还面临汇率风险、投资于香港证券市场的风险以及通过内地与香港股票市场交易互联互通机制投资的风险等特有风险。本基金通过内地与香港股票市场交易互联互通机制投资的风险详见招募说明书。</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交通银行股份有限公司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56,397,794.71</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158,512,884.38</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0.1108</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962,399,539.44</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1.0888</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1270DD" w:rsidRDefault="0059761C">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w:t>
      </w:r>
      <w:r>
        <w:rPr>
          <w:color w:val="000000"/>
          <w:sz w:val="24"/>
        </w:rPr>
        <w:t>,</w:t>
      </w:r>
      <w:r>
        <w:rPr>
          <w:color w:val="000000"/>
          <w:sz w:val="24"/>
        </w:rPr>
        <w:t>计入费用后实际收益水平要低于所列数字。</w:t>
      </w:r>
    </w:p>
    <w:p w:rsidR="00750D48" w:rsidRPr="00232B03" w:rsidRDefault="00392044" w:rsidP="00232B03">
      <w:pPr>
        <w:spacing w:line="360" w:lineRule="auto"/>
        <w:ind w:firstLineChars="200" w:firstLine="480"/>
        <w:rPr>
          <w:color w:val="000000"/>
          <w:sz w:val="24"/>
          <w:szCs w:val="24"/>
        </w:rPr>
      </w:pPr>
      <w:r w:rsidRPr="006506EF">
        <w:rPr>
          <w:color w:val="000000"/>
          <w:sz w:val="24"/>
        </w:rPr>
        <w:t>2.</w:t>
      </w:r>
      <w:r w:rsidRPr="006506EF">
        <w:rPr>
          <w:color w:val="000000"/>
          <w:sz w:val="24"/>
        </w:rPr>
        <w:t>本期已实现收益指基金本期利息收入、投资收益、其他收入</w:t>
      </w:r>
      <w:r w:rsidRPr="006506EF">
        <w:rPr>
          <w:color w:val="000000"/>
          <w:sz w:val="24"/>
        </w:rPr>
        <w:t>(</w:t>
      </w:r>
      <w:r w:rsidRPr="006506EF">
        <w:rPr>
          <w:color w:val="000000"/>
          <w:sz w:val="24"/>
        </w:rPr>
        <w:t>不含公允价值变动收益</w:t>
      </w:r>
      <w:r w:rsidRPr="006506EF">
        <w:rPr>
          <w:color w:val="000000"/>
          <w:sz w:val="24"/>
        </w:rPr>
        <w:t>)</w:t>
      </w:r>
      <w:r w:rsidRPr="006506EF">
        <w:rPr>
          <w:color w:val="000000"/>
          <w:sz w:val="24"/>
        </w:rPr>
        <w:t>扣除相关费用后的余额</w:t>
      </w:r>
      <w:r w:rsidRPr="006506EF">
        <w:rPr>
          <w:color w:val="000000"/>
          <w:sz w:val="24"/>
        </w:rPr>
        <w:t>,</w:t>
      </w:r>
      <w:r w:rsidRPr="006506EF">
        <w:rPr>
          <w:color w:val="000000"/>
          <w:sz w:val="24"/>
        </w:rPr>
        <w:t>本期利润为本期已实现收益加上本期公允价值变动收益。</w:t>
      </w:r>
      <w:r w:rsidRPr="006506EF">
        <w:rPr>
          <w:color w:val="000000"/>
          <w:sz w:val="24"/>
        </w:rPr>
        <w:t xml:space="preserve"> </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1270DD">
        <w:tc>
          <w:tcPr>
            <w:tcW w:w="1395" w:type="dxa"/>
            <w:vAlign w:val="center"/>
          </w:tcPr>
          <w:p w:rsidR="001270DD" w:rsidRDefault="0059761C">
            <w:pPr>
              <w:jc w:val="left"/>
            </w:pPr>
            <w:r>
              <w:rPr>
                <w:color w:val="000000"/>
                <w:kern w:val="0"/>
                <w:sz w:val="24"/>
                <w:szCs w:val="24"/>
              </w:rPr>
              <w:t>过去三个月</w:t>
            </w:r>
          </w:p>
        </w:tc>
        <w:tc>
          <w:tcPr>
            <w:tcW w:w="1092" w:type="dxa"/>
            <w:vAlign w:val="center"/>
          </w:tcPr>
          <w:p w:rsidR="001270DD" w:rsidRDefault="0059761C">
            <w:pPr>
              <w:jc w:val="center"/>
            </w:pPr>
            <w:r>
              <w:rPr>
                <w:color w:val="000000"/>
                <w:kern w:val="0"/>
                <w:sz w:val="24"/>
                <w:szCs w:val="24"/>
              </w:rPr>
              <w:t>9.49%</w:t>
            </w:r>
          </w:p>
        </w:tc>
        <w:tc>
          <w:tcPr>
            <w:tcW w:w="1161" w:type="dxa"/>
            <w:vAlign w:val="center"/>
          </w:tcPr>
          <w:p w:rsidR="001270DD" w:rsidRDefault="0059761C">
            <w:pPr>
              <w:jc w:val="center"/>
            </w:pPr>
            <w:r>
              <w:rPr>
                <w:color w:val="000000"/>
                <w:kern w:val="0"/>
                <w:sz w:val="24"/>
                <w:szCs w:val="24"/>
              </w:rPr>
              <w:t>1.00%</w:t>
            </w:r>
          </w:p>
        </w:tc>
        <w:tc>
          <w:tcPr>
            <w:tcW w:w="1181" w:type="dxa"/>
            <w:vAlign w:val="center"/>
          </w:tcPr>
          <w:p w:rsidR="001270DD" w:rsidRDefault="0059761C">
            <w:pPr>
              <w:jc w:val="center"/>
            </w:pPr>
            <w:r>
              <w:rPr>
                <w:color w:val="000000"/>
                <w:kern w:val="0"/>
                <w:sz w:val="24"/>
                <w:szCs w:val="24"/>
              </w:rPr>
              <w:t>-0.94%</w:t>
            </w:r>
          </w:p>
        </w:tc>
        <w:tc>
          <w:tcPr>
            <w:tcW w:w="1188" w:type="dxa"/>
            <w:vAlign w:val="center"/>
          </w:tcPr>
          <w:p w:rsidR="001270DD" w:rsidRDefault="0059761C">
            <w:pPr>
              <w:jc w:val="center"/>
            </w:pPr>
            <w:r>
              <w:rPr>
                <w:color w:val="000000"/>
                <w:kern w:val="0"/>
                <w:sz w:val="24"/>
                <w:szCs w:val="24"/>
              </w:rPr>
              <w:t>0.83%</w:t>
            </w:r>
          </w:p>
        </w:tc>
        <w:tc>
          <w:tcPr>
            <w:tcW w:w="1199" w:type="dxa"/>
            <w:vAlign w:val="center"/>
          </w:tcPr>
          <w:p w:rsidR="001270DD" w:rsidRDefault="0059761C">
            <w:pPr>
              <w:jc w:val="center"/>
            </w:pPr>
            <w:r>
              <w:rPr>
                <w:color w:val="000000"/>
                <w:kern w:val="0"/>
                <w:sz w:val="24"/>
                <w:szCs w:val="24"/>
              </w:rPr>
              <w:t>10.43%</w:t>
            </w:r>
          </w:p>
        </w:tc>
        <w:tc>
          <w:tcPr>
            <w:tcW w:w="1204" w:type="dxa"/>
            <w:vAlign w:val="center"/>
          </w:tcPr>
          <w:p w:rsidR="001270DD" w:rsidRDefault="0059761C">
            <w:pPr>
              <w:jc w:val="center"/>
            </w:pPr>
            <w:r>
              <w:rPr>
                <w:color w:val="000000"/>
                <w:kern w:val="0"/>
                <w:sz w:val="24"/>
                <w:szCs w:val="24"/>
              </w:rPr>
              <w:t>0.17%</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易方达科融混合型证券投资基金</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3</w:t>
      </w:r>
      <w:r w:rsidRPr="0074694E">
        <w:rPr>
          <w:rFonts w:ascii="Times New Roman" w:hAnsi="Times New Roman"/>
          <w:sz w:val="24"/>
          <w:szCs w:val="24"/>
        </w:rPr>
        <w:t>月</w:t>
      </w:r>
      <w:r w:rsidRPr="0074694E">
        <w:rPr>
          <w:rFonts w:ascii="Times New Roman" w:hAnsi="Times New Roman"/>
          <w:sz w:val="24"/>
          <w:szCs w:val="24"/>
        </w:rPr>
        <w:t>26</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59761C"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1270DD" w:rsidRDefault="0059761C">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本基金合同于</w:t>
      </w:r>
      <w:r>
        <w:rPr>
          <w:color w:val="000000"/>
          <w:sz w:val="24"/>
          <w:szCs w:val="24"/>
        </w:rPr>
        <w:t>2019</w:t>
      </w:r>
      <w:r>
        <w:rPr>
          <w:color w:val="000000"/>
          <w:sz w:val="24"/>
          <w:szCs w:val="24"/>
        </w:rPr>
        <w:t>年</w:t>
      </w:r>
      <w:r>
        <w:rPr>
          <w:color w:val="000000"/>
          <w:sz w:val="24"/>
          <w:szCs w:val="24"/>
        </w:rPr>
        <w:t>3</w:t>
      </w:r>
      <w:r>
        <w:rPr>
          <w:color w:val="000000"/>
          <w:sz w:val="24"/>
          <w:szCs w:val="24"/>
        </w:rPr>
        <w:t>月</w:t>
      </w:r>
      <w:r>
        <w:rPr>
          <w:color w:val="000000"/>
          <w:sz w:val="24"/>
          <w:szCs w:val="24"/>
        </w:rPr>
        <w:t>26</w:t>
      </w:r>
      <w:r>
        <w:rPr>
          <w:color w:val="000000"/>
          <w:sz w:val="24"/>
          <w:szCs w:val="24"/>
        </w:rPr>
        <w:t>日生效</w:t>
      </w:r>
      <w:r>
        <w:rPr>
          <w:color w:val="000000"/>
          <w:sz w:val="24"/>
          <w:szCs w:val="24"/>
        </w:rPr>
        <w:t>,</w:t>
      </w:r>
      <w:r>
        <w:rPr>
          <w:color w:val="000000"/>
          <w:sz w:val="24"/>
          <w:szCs w:val="24"/>
        </w:rPr>
        <w:t>截至报告期末本基金合同生效未满一年。</w:t>
      </w:r>
    </w:p>
    <w:p w:rsidR="001270DD" w:rsidRDefault="0059761C">
      <w:pPr>
        <w:spacing w:line="360" w:lineRule="auto"/>
        <w:ind w:firstLineChars="200" w:firstLine="480"/>
        <w:rPr>
          <w:color w:val="000000"/>
          <w:sz w:val="24"/>
          <w:szCs w:val="24"/>
        </w:rPr>
      </w:pPr>
      <w:r>
        <w:rPr>
          <w:color w:val="000000"/>
          <w:sz w:val="24"/>
          <w:szCs w:val="24"/>
        </w:rPr>
        <w:t>2.</w:t>
      </w:r>
      <w:r>
        <w:rPr>
          <w:color w:val="000000"/>
          <w:sz w:val="24"/>
          <w:szCs w:val="24"/>
        </w:rPr>
        <w:t>按基金合同和招募说明书的约定，本基金的建仓期为六个月，建仓期结束时股票资产占基金资产的比例超过</w:t>
      </w:r>
      <w:r>
        <w:rPr>
          <w:color w:val="000000"/>
          <w:sz w:val="24"/>
          <w:szCs w:val="24"/>
        </w:rPr>
        <w:t>95%</w:t>
      </w:r>
      <w:r>
        <w:rPr>
          <w:color w:val="000000"/>
          <w:sz w:val="24"/>
          <w:szCs w:val="24"/>
        </w:rPr>
        <w:t>，现金或者到期日在一年以内的政府债券比例低于</w:t>
      </w:r>
      <w:r>
        <w:rPr>
          <w:color w:val="000000"/>
          <w:sz w:val="24"/>
          <w:szCs w:val="24"/>
        </w:rPr>
        <w:t>5%</w:t>
      </w:r>
      <w:r>
        <w:rPr>
          <w:color w:val="000000"/>
          <w:sz w:val="24"/>
          <w:szCs w:val="24"/>
        </w:rPr>
        <w:t>，均为被动超标，已在规定的期限内调整完毕，其他各项资产配置比例符合基金合同（第十</w:t>
      </w:r>
      <w:r>
        <w:rPr>
          <w:color w:val="000000"/>
          <w:sz w:val="24"/>
          <w:szCs w:val="24"/>
        </w:rPr>
        <w:t>二部分二、投资范围，三、投资策略和四、投资限制）的有关约定。</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3.</w:t>
      </w:r>
      <w:r w:rsidRPr="006C56AA">
        <w:rPr>
          <w:color w:val="000000"/>
          <w:sz w:val="24"/>
          <w:szCs w:val="24"/>
        </w:rPr>
        <w:t>自基金合同生效至报告期末，基金份额净值增长率为</w:t>
      </w:r>
      <w:r w:rsidRPr="006C56AA">
        <w:rPr>
          <w:color w:val="000000"/>
          <w:sz w:val="24"/>
          <w:szCs w:val="24"/>
        </w:rPr>
        <w:t>8.88%</w:t>
      </w:r>
      <w:r w:rsidRPr="006C56AA">
        <w:rPr>
          <w:color w:val="000000"/>
          <w:sz w:val="24"/>
          <w:szCs w:val="24"/>
        </w:rPr>
        <w:t>，同期业绩比较基准收益率为</w:t>
      </w:r>
      <w:r w:rsidRPr="006C56AA">
        <w:rPr>
          <w:color w:val="000000"/>
          <w:sz w:val="24"/>
          <w:szCs w:val="24"/>
        </w:rPr>
        <w:t>-7.21%</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1270DD">
        <w:tc>
          <w:tcPr>
            <w:tcW w:w="567" w:type="dxa"/>
            <w:vAlign w:val="center"/>
          </w:tcPr>
          <w:p w:rsidR="001270DD" w:rsidRDefault="0059761C">
            <w:pPr>
              <w:jc w:val="center"/>
            </w:pPr>
            <w:r>
              <w:rPr>
                <w:color w:val="000000"/>
                <w:sz w:val="24"/>
              </w:rPr>
              <w:t>陈皓</w:t>
            </w:r>
          </w:p>
        </w:tc>
        <w:tc>
          <w:tcPr>
            <w:tcW w:w="2835" w:type="dxa"/>
            <w:vAlign w:val="center"/>
          </w:tcPr>
          <w:p w:rsidR="001270DD" w:rsidRDefault="0059761C">
            <w:pPr>
              <w:jc w:val="center"/>
            </w:pPr>
            <w:r>
              <w:rPr>
                <w:color w:val="000000"/>
                <w:sz w:val="24"/>
              </w:rPr>
              <w:t>本基金的基金经理、易方达新经济灵活配置混合型证券投资基金的基金经理、易方达平稳增长证券投资基金的基金经理、易方达科讯混合型证券投资基金的基金经理、易方达科翔混合型证券投资基金的基金经理、易方达国防军工混合型证券投资基金的基金经理、投资一部总经理、投资经理</w:t>
            </w:r>
          </w:p>
        </w:tc>
        <w:tc>
          <w:tcPr>
            <w:tcW w:w="851" w:type="dxa"/>
            <w:vAlign w:val="center"/>
          </w:tcPr>
          <w:p w:rsidR="001270DD" w:rsidRDefault="0059761C">
            <w:pPr>
              <w:jc w:val="center"/>
            </w:pPr>
            <w:r>
              <w:rPr>
                <w:color w:val="000000"/>
                <w:sz w:val="24"/>
              </w:rPr>
              <w:t>2019-03-26</w:t>
            </w:r>
          </w:p>
        </w:tc>
        <w:tc>
          <w:tcPr>
            <w:tcW w:w="850" w:type="dxa"/>
            <w:vAlign w:val="center"/>
          </w:tcPr>
          <w:p w:rsidR="001270DD" w:rsidRDefault="0059761C">
            <w:pPr>
              <w:jc w:val="center"/>
            </w:pPr>
            <w:r>
              <w:rPr>
                <w:color w:val="000000"/>
                <w:sz w:val="24"/>
              </w:rPr>
              <w:t>-</w:t>
            </w:r>
          </w:p>
        </w:tc>
        <w:tc>
          <w:tcPr>
            <w:tcW w:w="851" w:type="dxa"/>
            <w:vAlign w:val="center"/>
          </w:tcPr>
          <w:p w:rsidR="001270DD" w:rsidRDefault="0059761C">
            <w:pPr>
              <w:jc w:val="center"/>
            </w:pPr>
            <w:r>
              <w:rPr>
                <w:color w:val="000000"/>
                <w:sz w:val="24"/>
              </w:rPr>
              <w:t>12</w:t>
            </w:r>
            <w:r>
              <w:rPr>
                <w:color w:val="000000"/>
                <w:sz w:val="24"/>
              </w:rPr>
              <w:t>年</w:t>
            </w:r>
          </w:p>
        </w:tc>
        <w:tc>
          <w:tcPr>
            <w:tcW w:w="2977" w:type="dxa"/>
            <w:vAlign w:val="center"/>
          </w:tcPr>
          <w:p w:rsidR="001270DD" w:rsidRDefault="0059761C">
            <w:r>
              <w:rPr>
                <w:color w:val="000000"/>
                <w:sz w:val="24"/>
              </w:rPr>
              <w:t>硕士研究生，曾任易方达基金管理有限公司研究部行业研究员、基金经理助理兼行业研究员、基金投资部基金经理助理、投资一部总经理助理、投资一部副总经理、易方达价值精选混合型证券投资基金基金经理、易方达供给改革灵活配置混合型证券投资</w:t>
            </w:r>
            <w:r>
              <w:rPr>
                <w:color w:val="000000"/>
                <w:sz w:val="24"/>
              </w:rPr>
              <w:t>基金基金经理。</w:t>
            </w:r>
          </w:p>
        </w:tc>
      </w:tr>
    </w:tbl>
    <w:p w:rsidR="001270DD" w:rsidRDefault="0059761C">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1270DD" w:rsidRDefault="0059761C">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本报告期内，公司旗下所有投资组合参与的交易所公开竞价交易中，同日反向交易成交较少的单边交易量超过该证券当日成交量的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1270DD" w:rsidRDefault="0059761C">
      <w:pPr>
        <w:spacing w:line="360" w:lineRule="auto"/>
        <w:ind w:firstLineChars="200" w:firstLine="480"/>
        <w:rPr>
          <w:color w:val="000000"/>
          <w:sz w:val="24"/>
          <w:szCs w:val="24"/>
        </w:rPr>
      </w:pPr>
      <w:r>
        <w:rPr>
          <w:color w:val="000000"/>
          <w:sz w:val="24"/>
          <w:szCs w:val="24"/>
        </w:rPr>
        <w:t>2019</w:t>
      </w:r>
      <w:r>
        <w:rPr>
          <w:color w:val="000000"/>
          <w:sz w:val="24"/>
          <w:szCs w:val="24"/>
        </w:rPr>
        <w:t>年三季度上证综指下跌</w:t>
      </w:r>
      <w:r>
        <w:rPr>
          <w:color w:val="000000"/>
          <w:sz w:val="24"/>
          <w:szCs w:val="24"/>
        </w:rPr>
        <w:t>2.47%</w:t>
      </w:r>
      <w:r>
        <w:rPr>
          <w:color w:val="000000"/>
          <w:sz w:val="24"/>
          <w:szCs w:val="24"/>
        </w:rPr>
        <w:t>，上证</w:t>
      </w:r>
      <w:r>
        <w:rPr>
          <w:color w:val="000000"/>
          <w:sz w:val="24"/>
          <w:szCs w:val="24"/>
        </w:rPr>
        <w:t>50</w:t>
      </w:r>
      <w:r>
        <w:rPr>
          <w:color w:val="000000"/>
          <w:sz w:val="24"/>
          <w:szCs w:val="24"/>
        </w:rPr>
        <w:t>指数下跌</w:t>
      </w:r>
      <w:r>
        <w:rPr>
          <w:color w:val="000000"/>
          <w:sz w:val="24"/>
          <w:szCs w:val="24"/>
        </w:rPr>
        <w:t>1.12%</w:t>
      </w:r>
      <w:r>
        <w:rPr>
          <w:color w:val="000000"/>
          <w:sz w:val="24"/>
          <w:szCs w:val="24"/>
        </w:rPr>
        <w:t>，创业板指数上涨</w:t>
      </w:r>
      <w:r>
        <w:rPr>
          <w:color w:val="000000"/>
          <w:sz w:val="24"/>
          <w:szCs w:val="24"/>
        </w:rPr>
        <w:t>7.68%</w:t>
      </w:r>
      <w:r>
        <w:rPr>
          <w:color w:val="000000"/>
          <w:sz w:val="24"/>
          <w:szCs w:val="24"/>
        </w:rPr>
        <w:t>，大盘蓝筹板块表现较弱，创业板指数上涨幅度较大，新兴成长板块表现优于大盘蓝筹板块。经过二季度市场较大幅度的调整，部分成长股估值和预期处于低位，三季度以高新电子为代表的部分成长股在下游需求改善以及国产替代加速的催化下，整体股价取得了较大幅度的上涨。</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在建仓期结束后，本基金在三季度采取了相对积极的投资策略，提升了组合的整体仓位水平，也增加了对新兴成长特别是电子板块的配置，取得了一定超额收益。</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1.0888</w:t>
      </w:r>
      <w:r w:rsidRPr="006C56AA">
        <w:rPr>
          <w:color w:val="000000"/>
          <w:sz w:val="24"/>
          <w:szCs w:val="24"/>
        </w:rPr>
        <w:t>元，本报告期份额净值增长率为</w:t>
      </w:r>
      <w:r w:rsidRPr="006C56AA">
        <w:rPr>
          <w:color w:val="000000"/>
          <w:sz w:val="24"/>
          <w:szCs w:val="24"/>
        </w:rPr>
        <w:t>9.49%</w:t>
      </w:r>
      <w:r w:rsidRPr="006C56AA">
        <w:rPr>
          <w:color w:val="000000"/>
          <w:sz w:val="24"/>
          <w:szCs w:val="24"/>
        </w:rPr>
        <w:t>，同期业绩比较基准收益率为</w:t>
      </w:r>
      <w:r w:rsidRPr="006C56AA">
        <w:rPr>
          <w:color w:val="000000"/>
          <w:sz w:val="24"/>
          <w:szCs w:val="24"/>
        </w:rPr>
        <w:t>-0.94%</w:t>
      </w:r>
      <w:r w:rsidRPr="006C56AA">
        <w:rPr>
          <w:color w:val="000000"/>
          <w:sz w:val="24"/>
          <w:szCs w:val="24"/>
        </w:rPr>
        <w:t>。</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891,246,429.09</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91.36</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891,246,429.09</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91.36</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81,617,867.81</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8.37</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2,674,002.59</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0.27</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975,538,299.49</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注：本基金本报告期末通过港股通交易机制投资的港股市值为</w:t>
      </w:r>
      <w:r w:rsidRPr="006C56AA">
        <w:rPr>
          <w:color w:val="000000"/>
          <w:sz w:val="24"/>
          <w:szCs w:val="24"/>
        </w:rPr>
        <w:t>66,663,734.58</w:t>
      </w:r>
      <w:r w:rsidRPr="006C56AA">
        <w:rPr>
          <w:color w:val="000000"/>
          <w:sz w:val="24"/>
          <w:szCs w:val="24"/>
        </w:rPr>
        <w:t>元，占净值比例</w:t>
      </w:r>
      <w:r w:rsidRPr="006C56AA">
        <w:rPr>
          <w:color w:val="000000"/>
          <w:sz w:val="24"/>
          <w:szCs w:val="24"/>
        </w:rPr>
        <w:t>6.93%</w:t>
      </w:r>
      <w:r w:rsidRPr="006C56AA">
        <w:rPr>
          <w:color w:val="000000"/>
          <w:sz w:val="24"/>
          <w:szCs w:val="24"/>
        </w:rPr>
        <w:t>。</w:t>
      </w:r>
    </w:p>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9"/>
        <w:gridCol w:w="3544"/>
        <w:gridCol w:w="2977"/>
        <w:gridCol w:w="1559"/>
      </w:tblGrid>
      <w:tr w:rsidR="008C2A4F" w:rsidRPr="008C2A4F" w:rsidTr="00501495">
        <w:trPr>
          <w:trHeight w:val="390"/>
        </w:trPr>
        <w:tc>
          <w:tcPr>
            <w:tcW w:w="709" w:type="dxa"/>
            <w:tcBorders>
              <w:top w:val="single" w:sz="4" w:space="0" w:color="000000"/>
              <w:left w:val="single" w:sz="4" w:space="0" w:color="000000"/>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行业类别</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公允价值（元）</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占基金资产净值比例（％）</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农、林、牧、渔业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2,312,400.00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0.24</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采矿业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制造业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585,691,818.24</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60.86</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电力、热力、燃气及水生产和供应业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建筑业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批发和零售业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4,967,732.00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0.52</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交通运输、仓储和邮政业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49,785,568.88</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5.17</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住宿和餐饮业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信息传输、软件和信息技术服务业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113,039,432.68</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11.75</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金融业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36,532,786.20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3.80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房地产业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2,858,813.10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0.30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租赁和商务服务业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12,054,143.41</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1.25</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科学研究和技术服务业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17,340,000.00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1.80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水利、环境和公共设施管理业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居民服务、修理和其他服务业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教育</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卫生和社会工作</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文化、体育和娱乐业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综合</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合计</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824,582,694.51</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85.68</w:t>
            </w:r>
          </w:p>
        </w:tc>
      </w:tr>
    </w:tbl>
    <w:p w:rsidR="008C2A4F" w:rsidRPr="008C2A4F" w:rsidRDefault="008C2A4F" w:rsidP="008C2A4F">
      <w:pPr>
        <w:jc w:val="left"/>
        <w:rPr>
          <w:rFonts w:eastAsiaTheme="minorEastAsia"/>
          <w:b/>
          <w:bCs/>
          <w:color w:val="000000" w:themeColor="text1"/>
          <w:kern w:val="0"/>
          <w:sz w:val="24"/>
          <w:szCs w:val="24"/>
        </w:rPr>
      </w:pPr>
      <w:r w:rsidRPr="008C2A4F">
        <w:rPr>
          <w:rFonts w:eastAsiaTheme="minorEastAsia"/>
          <w:b/>
          <w:bCs/>
          <w:color w:val="000000" w:themeColor="text1"/>
          <w:kern w:val="0"/>
          <w:sz w:val="24"/>
          <w:szCs w:val="24"/>
        </w:rPr>
        <w:t xml:space="preserve"> 5.2.2</w:t>
      </w:r>
      <w:r w:rsidR="00B912D0">
        <w:rPr>
          <w:rFonts w:eastAsiaTheme="minorEastAsia"/>
          <w:b/>
          <w:bCs/>
          <w:color w:val="000000" w:themeColor="text1"/>
          <w:kern w:val="0"/>
          <w:sz w:val="24"/>
          <w:szCs w:val="24"/>
        </w:rPr>
        <w:t>报告期末按行业分类的</w:t>
      </w:r>
      <w:r w:rsidR="00B912D0">
        <w:rPr>
          <w:rFonts w:eastAsiaTheme="minorEastAsia" w:hint="eastAsia"/>
          <w:b/>
          <w:bCs/>
          <w:color w:val="000000" w:themeColor="text1"/>
          <w:kern w:val="0"/>
          <w:sz w:val="24"/>
          <w:szCs w:val="24"/>
        </w:rPr>
        <w:t>港股通</w:t>
      </w:r>
      <w:r w:rsidRPr="008C2A4F">
        <w:rPr>
          <w:rFonts w:eastAsiaTheme="minorEastAsia"/>
          <w:b/>
          <w:bCs/>
          <w:color w:val="000000" w:themeColor="text1"/>
          <w:kern w:val="0"/>
          <w:sz w:val="24"/>
          <w:szCs w:val="24"/>
        </w:rPr>
        <w:t>投资股票投资组合</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97"/>
        <w:gridCol w:w="3119"/>
        <w:gridCol w:w="3118"/>
      </w:tblGrid>
      <w:tr w:rsidR="008C2A4F" w:rsidRPr="008C2A4F" w:rsidTr="003328D9">
        <w:trPr>
          <w:jc w:val="center"/>
        </w:trPr>
        <w:tc>
          <w:tcPr>
            <w:tcW w:w="2397" w:type="dxa"/>
            <w:vAlign w:val="center"/>
          </w:tcPr>
          <w:p w:rsidR="008C2A4F" w:rsidRPr="008C2A4F" w:rsidRDefault="008C2A4F" w:rsidP="003328D9">
            <w:pPr>
              <w:spacing w:before="29" w:line="360" w:lineRule="auto"/>
              <w:ind w:left="17"/>
              <w:jc w:val="center"/>
              <w:rPr>
                <w:rFonts w:eastAsiaTheme="minorEastAsia"/>
                <w:color w:val="000000" w:themeColor="text1"/>
                <w:kern w:val="0"/>
                <w:sz w:val="24"/>
                <w:szCs w:val="24"/>
              </w:rPr>
            </w:pPr>
            <w:r w:rsidRPr="008C2A4F">
              <w:rPr>
                <w:rFonts w:eastAsiaTheme="minorEastAsia"/>
                <w:color w:val="000000" w:themeColor="text1"/>
                <w:kern w:val="0"/>
                <w:sz w:val="24"/>
                <w:szCs w:val="24"/>
              </w:rPr>
              <w:t>行业类别</w:t>
            </w:r>
          </w:p>
        </w:tc>
        <w:tc>
          <w:tcPr>
            <w:tcW w:w="3119" w:type="dxa"/>
            <w:vAlign w:val="center"/>
          </w:tcPr>
          <w:p w:rsidR="008C2A4F" w:rsidRPr="008C2A4F" w:rsidRDefault="008C2A4F" w:rsidP="003328D9">
            <w:pPr>
              <w:spacing w:before="29" w:line="360" w:lineRule="auto"/>
              <w:ind w:left="17"/>
              <w:jc w:val="center"/>
              <w:rPr>
                <w:rFonts w:eastAsiaTheme="minorEastAsia"/>
                <w:color w:val="000000" w:themeColor="text1"/>
                <w:kern w:val="0"/>
                <w:sz w:val="24"/>
                <w:szCs w:val="24"/>
              </w:rPr>
            </w:pPr>
            <w:r w:rsidRPr="008C2A4F">
              <w:rPr>
                <w:rFonts w:eastAsiaTheme="minorEastAsia"/>
                <w:color w:val="000000" w:themeColor="text1"/>
                <w:kern w:val="0"/>
                <w:sz w:val="24"/>
                <w:szCs w:val="24"/>
              </w:rPr>
              <w:t>公允价值（人民币）</w:t>
            </w:r>
          </w:p>
        </w:tc>
        <w:tc>
          <w:tcPr>
            <w:tcW w:w="3118" w:type="dxa"/>
            <w:vAlign w:val="center"/>
          </w:tcPr>
          <w:p w:rsidR="008C2A4F" w:rsidRPr="008C2A4F" w:rsidRDefault="008C2A4F" w:rsidP="003328D9">
            <w:pPr>
              <w:spacing w:before="29" w:line="360" w:lineRule="auto"/>
              <w:ind w:left="17"/>
              <w:jc w:val="center"/>
              <w:rPr>
                <w:rFonts w:eastAsiaTheme="minorEastAsia"/>
                <w:color w:val="000000" w:themeColor="text1"/>
                <w:kern w:val="0"/>
                <w:sz w:val="24"/>
                <w:szCs w:val="24"/>
              </w:rPr>
            </w:pPr>
            <w:r w:rsidRPr="008C2A4F">
              <w:rPr>
                <w:rFonts w:eastAsiaTheme="minorEastAsia"/>
                <w:color w:val="000000" w:themeColor="text1"/>
                <w:kern w:val="0"/>
                <w:sz w:val="24"/>
                <w:szCs w:val="24"/>
              </w:rPr>
              <w:t>占基金资产净值比例（</w:t>
            </w:r>
            <w:r w:rsidRPr="008C2A4F">
              <w:rPr>
                <w:rFonts w:eastAsiaTheme="minorEastAsia"/>
                <w:color w:val="000000" w:themeColor="text1"/>
                <w:kern w:val="0"/>
                <w:sz w:val="24"/>
                <w:szCs w:val="24"/>
              </w:rPr>
              <w:t>%</w:t>
            </w:r>
            <w:r w:rsidRPr="008C2A4F">
              <w:rPr>
                <w:rFonts w:eastAsiaTheme="minorEastAsia"/>
                <w:color w:val="000000" w:themeColor="text1"/>
                <w:kern w:val="0"/>
                <w:sz w:val="24"/>
                <w:szCs w:val="24"/>
              </w:rPr>
              <w:t>）</w:t>
            </w:r>
          </w:p>
        </w:tc>
      </w:tr>
      <w:tr w:rsidR="001270DD">
        <w:trPr>
          <w:jc w:val="center"/>
        </w:trPr>
        <w:tc>
          <w:tcPr>
            <w:tcW w:w="2397" w:type="dxa"/>
            <w:vAlign w:val="center"/>
          </w:tcPr>
          <w:p w:rsidR="001270DD" w:rsidRDefault="0059761C">
            <w:pPr>
              <w:jc w:val="center"/>
            </w:pPr>
            <w:r>
              <w:rPr>
                <w:rFonts w:eastAsiaTheme="minorEastAsia"/>
                <w:color w:val="000000" w:themeColor="text1"/>
                <w:kern w:val="0"/>
                <w:sz w:val="24"/>
                <w:szCs w:val="24"/>
              </w:rPr>
              <w:t>能源</w:t>
            </w:r>
          </w:p>
        </w:tc>
        <w:tc>
          <w:tcPr>
            <w:tcW w:w="3119" w:type="dxa"/>
            <w:vAlign w:val="center"/>
          </w:tcPr>
          <w:p w:rsidR="001270DD" w:rsidRDefault="0059761C">
            <w:pPr>
              <w:jc w:val="center"/>
            </w:pPr>
            <w:r>
              <w:rPr>
                <w:rFonts w:eastAsiaTheme="minorEastAsia"/>
                <w:color w:val="000000" w:themeColor="text1"/>
                <w:kern w:val="0"/>
                <w:sz w:val="24"/>
                <w:szCs w:val="24"/>
              </w:rPr>
              <w:t>-</w:t>
            </w:r>
          </w:p>
        </w:tc>
        <w:tc>
          <w:tcPr>
            <w:tcW w:w="3118" w:type="dxa"/>
            <w:vAlign w:val="center"/>
          </w:tcPr>
          <w:p w:rsidR="001270DD" w:rsidRDefault="0059761C">
            <w:pPr>
              <w:jc w:val="center"/>
            </w:pPr>
            <w:r>
              <w:rPr>
                <w:rFonts w:eastAsiaTheme="minorEastAsia"/>
                <w:color w:val="000000" w:themeColor="text1"/>
                <w:kern w:val="0"/>
                <w:sz w:val="24"/>
                <w:szCs w:val="24"/>
              </w:rPr>
              <w:t>-</w:t>
            </w:r>
          </w:p>
        </w:tc>
      </w:tr>
      <w:tr w:rsidR="001270DD">
        <w:trPr>
          <w:jc w:val="center"/>
        </w:trPr>
        <w:tc>
          <w:tcPr>
            <w:tcW w:w="2397" w:type="dxa"/>
            <w:vAlign w:val="center"/>
          </w:tcPr>
          <w:p w:rsidR="001270DD" w:rsidRDefault="0059761C">
            <w:pPr>
              <w:jc w:val="center"/>
            </w:pPr>
            <w:r>
              <w:rPr>
                <w:rFonts w:eastAsiaTheme="minorEastAsia"/>
                <w:color w:val="000000" w:themeColor="text1"/>
                <w:kern w:val="0"/>
                <w:sz w:val="24"/>
                <w:szCs w:val="24"/>
              </w:rPr>
              <w:t>材料</w:t>
            </w:r>
          </w:p>
        </w:tc>
        <w:tc>
          <w:tcPr>
            <w:tcW w:w="3119" w:type="dxa"/>
            <w:vAlign w:val="center"/>
          </w:tcPr>
          <w:p w:rsidR="001270DD" w:rsidRDefault="0059761C">
            <w:pPr>
              <w:jc w:val="center"/>
            </w:pPr>
            <w:r>
              <w:rPr>
                <w:rFonts w:eastAsiaTheme="minorEastAsia"/>
                <w:color w:val="000000" w:themeColor="text1"/>
                <w:kern w:val="0"/>
                <w:sz w:val="24"/>
                <w:szCs w:val="24"/>
              </w:rPr>
              <w:t>-</w:t>
            </w:r>
          </w:p>
        </w:tc>
        <w:tc>
          <w:tcPr>
            <w:tcW w:w="3118" w:type="dxa"/>
            <w:vAlign w:val="center"/>
          </w:tcPr>
          <w:p w:rsidR="001270DD" w:rsidRDefault="0059761C">
            <w:pPr>
              <w:jc w:val="center"/>
            </w:pPr>
            <w:r>
              <w:rPr>
                <w:rFonts w:eastAsiaTheme="minorEastAsia"/>
                <w:color w:val="000000" w:themeColor="text1"/>
                <w:kern w:val="0"/>
                <w:sz w:val="24"/>
                <w:szCs w:val="24"/>
              </w:rPr>
              <w:t>-</w:t>
            </w:r>
          </w:p>
        </w:tc>
      </w:tr>
      <w:tr w:rsidR="001270DD">
        <w:trPr>
          <w:jc w:val="center"/>
        </w:trPr>
        <w:tc>
          <w:tcPr>
            <w:tcW w:w="2397" w:type="dxa"/>
            <w:vAlign w:val="center"/>
          </w:tcPr>
          <w:p w:rsidR="001270DD" w:rsidRDefault="0059761C">
            <w:pPr>
              <w:jc w:val="center"/>
            </w:pPr>
            <w:r>
              <w:rPr>
                <w:rFonts w:eastAsiaTheme="minorEastAsia"/>
                <w:color w:val="000000" w:themeColor="text1"/>
                <w:kern w:val="0"/>
                <w:sz w:val="24"/>
                <w:szCs w:val="24"/>
              </w:rPr>
              <w:t>工业</w:t>
            </w:r>
          </w:p>
        </w:tc>
        <w:tc>
          <w:tcPr>
            <w:tcW w:w="3119" w:type="dxa"/>
            <w:vAlign w:val="center"/>
          </w:tcPr>
          <w:p w:rsidR="001270DD" w:rsidRDefault="0059761C">
            <w:pPr>
              <w:jc w:val="center"/>
            </w:pPr>
            <w:r>
              <w:rPr>
                <w:rFonts w:eastAsiaTheme="minorEastAsia"/>
                <w:color w:val="000000" w:themeColor="text1"/>
                <w:kern w:val="0"/>
                <w:sz w:val="24"/>
                <w:szCs w:val="24"/>
              </w:rPr>
              <w:t>-</w:t>
            </w:r>
          </w:p>
        </w:tc>
        <w:tc>
          <w:tcPr>
            <w:tcW w:w="3118" w:type="dxa"/>
            <w:vAlign w:val="center"/>
          </w:tcPr>
          <w:p w:rsidR="001270DD" w:rsidRDefault="0059761C">
            <w:pPr>
              <w:jc w:val="center"/>
            </w:pPr>
            <w:r>
              <w:rPr>
                <w:rFonts w:eastAsiaTheme="minorEastAsia"/>
                <w:color w:val="000000" w:themeColor="text1"/>
                <w:kern w:val="0"/>
                <w:sz w:val="24"/>
                <w:szCs w:val="24"/>
              </w:rPr>
              <w:t>-</w:t>
            </w:r>
          </w:p>
        </w:tc>
      </w:tr>
      <w:tr w:rsidR="001270DD">
        <w:trPr>
          <w:jc w:val="center"/>
        </w:trPr>
        <w:tc>
          <w:tcPr>
            <w:tcW w:w="2397" w:type="dxa"/>
            <w:vAlign w:val="center"/>
          </w:tcPr>
          <w:p w:rsidR="001270DD" w:rsidRDefault="0059761C">
            <w:pPr>
              <w:jc w:val="center"/>
            </w:pPr>
            <w:r>
              <w:rPr>
                <w:rFonts w:eastAsiaTheme="minorEastAsia"/>
                <w:color w:val="000000" w:themeColor="text1"/>
                <w:kern w:val="0"/>
                <w:sz w:val="24"/>
                <w:szCs w:val="24"/>
              </w:rPr>
              <w:t>非必需消费品</w:t>
            </w:r>
          </w:p>
        </w:tc>
        <w:tc>
          <w:tcPr>
            <w:tcW w:w="3119" w:type="dxa"/>
            <w:vAlign w:val="center"/>
          </w:tcPr>
          <w:p w:rsidR="001270DD" w:rsidRDefault="0059761C">
            <w:pPr>
              <w:jc w:val="center"/>
            </w:pPr>
            <w:r>
              <w:rPr>
                <w:rFonts w:eastAsiaTheme="minorEastAsia"/>
                <w:color w:val="000000" w:themeColor="text1"/>
                <w:kern w:val="0"/>
                <w:sz w:val="24"/>
                <w:szCs w:val="24"/>
              </w:rPr>
              <w:t>-</w:t>
            </w:r>
          </w:p>
        </w:tc>
        <w:tc>
          <w:tcPr>
            <w:tcW w:w="3118" w:type="dxa"/>
            <w:vAlign w:val="center"/>
          </w:tcPr>
          <w:p w:rsidR="001270DD" w:rsidRDefault="0059761C">
            <w:pPr>
              <w:jc w:val="center"/>
            </w:pPr>
            <w:r>
              <w:rPr>
                <w:rFonts w:eastAsiaTheme="minorEastAsia"/>
                <w:color w:val="000000" w:themeColor="text1"/>
                <w:kern w:val="0"/>
                <w:sz w:val="24"/>
                <w:szCs w:val="24"/>
              </w:rPr>
              <w:t>-</w:t>
            </w:r>
          </w:p>
        </w:tc>
      </w:tr>
      <w:tr w:rsidR="001270DD">
        <w:trPr>
          <w:jc w:val="center"/>
        </w:trPr>
        <w:tc>
          <w:tcPr>
            <w:tcW w:w="2397" w:type="dxa"/>
            <w:vAlign w:val="center"/>
          </w:tcPr>
          <w:p w:rsidR="001270DD" w:rsidRDefault="0059761C">
            <w:pPr>
              <w:jc w:val="center"/>
            </w:pPr>
            <w:r>
              <w:rPr>
                <w:rFonts w:eastAsiaTheme="minorEastAsia"/>
                <w:color w:val="000000" w:themeColor="text1"/>
                <w:kern w:val="0"/>
                <w:sz w:val="24"/>
                <w:szCs w:val="24"/>
              </w:rPr>
              <w:t>必需消费品</w:t>
            </w:r>
          </w:p>
        </w:tc>
        <w:tc>
          <w:tcPr>
            <w:tcW w:w="3119" w:type="dxa"/>
            <w:vAlign w:val="center"/>
          </w:tcPr>
          <w:p w:rsidR="001270DD" w:rsidRDefault="0059761C">
            <w:pPr>
              <w:jc w:val="center"/>
            </w:pPr>
            <w:r>
              <w:rPr>
                <w:rFonts w:eastAsiaTheme="minorEastAsia"/>
                <w:color w:val="000000" w:themeColor="text1"/>
                <w:kern w:val="0"/>
                <w:sz w:val="24"/>
                <w:szCs w:val="24"/>
              </w:rPr>
              <w:t>-</w:t>
            </w:r>
          </w:p>
        </w:tc>
        <w:tc>
          <w:tcPr>
            <w:tcW w:w="3118" w:type="dxa"/>
            <w:vAlign w:val="center"/>
          </w:tcPr>
          <w:p w:rsidR="001270DD" w:rsidRDefault="0059761C">
            <w:pPr>
              <w:jc w:val="center"/>
            </w:pPr>
            <w:r>
              <w:rPr>
                <w:rFonts w:eastAsiaTheme="minorEastAsia"/>
                <w:color w:val="000000" w:themeColor="text1"/>
                <w:kern w:val="0"/>
                <w:sz w:val="24"/>
                <w:szCs w:val="24"/>
              </w:rPr>
              <w:t>-</w:t>
            </w:r>
          </w:p>
        </w:tc>
      </w:tr>
      <w:tr w:rsidR="001270DD">
        <w:trPr>
          <w:jc w:val="center"/>
        </w:trPr>
        <w:tc>
          <w:tcPr>
            <w:tcW w:w="2397" w:type="dxa"/>
            <w:vAlign w:val="center"/>
          </w:tcPr>
          <w:p w:rsidR="001270DD" w:rsidRDefault="0059761C">
            <w:pPr>
              <w:jc w:val="center"/>
            </w:pPr>
            <w:r>
              <w:rPr>
                <w:rFonts w:eastAsiaTheme="minorEastAsia"/>
                <w:color w:val="000000" w:themeColor="text1"/>
                <w:kern w:val="0"/>
                <w:sz w:val="24"/>
                <w:szCs w:val="24"/>
              </w:rPr>
              <w:t>保健</w:t>
            </w:r>
          </w:p>
        </w:tc>
        <w:tc>
          <w:tcPr>
            <w:tcW w:w="3119" w:type="dxa"/>
            <w:vAlign w:val="center"/>
          </w:tcPr>
          <w:p w:rsidR="001270DD" w:rsidRDefault="0059761C">
            <w:pPr>
              <w:jc w:val="center"/>
            </w:pPr>
            <w:r>
              <w:rPr>
                <w:rFonts w:eastAsiaTheme="minorEastAsia"/>
                <w:color w:val="000000" w:themeColor="text1"/>
                <w:kern w:val="0"/>
                <w:sz w:val="24"/>
                <w:szCs w:val="24"/>
              </w:rPr>
              <w:t>19,988,541.60</w:t>
            </w:r>
          </w:p>
        </w:tc>
        <w:tc>
          <w:tcPr>
            <w:tcW w:w="3118" w:type="dxa"/>
            <w:vAlign w:val="center"/>
          </w:tcPr>
          <w:p w:rsidR="001270DD" w:rsidRDefault="0059761C">
            <w:pPr>
              <w:jc w:val="center"/>
            </w:pPr>
            <w:r>
              <w:rPr>
                <w:rFonts w:eastAsiaTheme="minorEastAsia"/>
                <w:color w:val="000000" w:themeColor="text1"/>
                <w:kern w:val="0"/>
                <w:sz w:val="24"/>
                <w:szCs w:val="24"/>
              </w:rPr>
              <w:t>2.08</w:t>
            </w:r>
          </w:p>
        </w:tc>
      </w:tr>
      <w:tr w:rsidR="001270DD">
        <w:trPr>
          <w:jc w:val="center"/>
        </w:trPr>
        <w:tc>
          <w:tcPr>
            <w:tcW w:w="2397" w:type="dxa"/>
            <w:vAlign w:val="center"/>
          </w:tcPr>
          <w:p w:rsidR="001270DD" w:rsidRDefault="0059761C">
            <w:pPr>
              <w:jc w:val="center"/>
            </w:pPr>
            <w:r>
              <w:rPr>
                <w:rFonts w:eastAsiaTheme="minorEastAsia"/>
                <w:color w:val="000000" w:themeColor="text1"/>
                <w:kern w:val="0"/>
                <w:sz w:val="24"/>
                <w:szCs w:val="24"/>
              </w:rPr>
              <w:t>金融</w:t>
            </w:r>
          </w:p>
        </w:tc>
        <w:tc>
          <w:tcPr>
            <w:tcW w:w="3119" w:type="dxa"/>
            <w:vAlign w:val="center"/>
          </w:tcPr>
          <w:p w:rsidR="001270DD" w:rsidRDefault="0059761C">
            <w:pPr>
              <w:jc w:val="center"/>
            </w:pPr>
            <w:r>
              <w:rPr>
                <w:rFonts w:eastAsiaTheme="minorEastAsia"/>
                <w:color w:val="000000" w:themeColor="text1"/>
                <w:kern w:val="0"/>
                <w:sz w:val="24"/>
                <w:szCs w:val="24"/>
              </w:rPr>
              <w:t>-</w:t>
            </w:r>
          </w:p>
        </w:tc>
        <w:tc>
          <w:tcPr>
            <w:tcW w:w="3118" w:type="dxa"/>
            <w:vAlign w:val="center"/>
          </w:tcPr>
          <w:p w:rsidR="001270DD" w:rsidRDefault="0059761C">
            <w:pPr>
              <w:jc w:val="center"/>
            </w:pPr>
            <w:r>
              <w:rPr>
                <w:rFonts w:eastAsiaTheme="minorEastAsia"/>
                <w:color w:val="000000" w:themeColor="text1"/>
                <w:kern w:val="0"/>
                <w:sz w:val="24"/>
                <w:szCs w:val="24"/>
              </w:rPr>
              <w:t>-</w:t>
            </w:r>
          </w:p>
        </w:tc>
      </w:tr>
      <w:tr w:rsidR="001270DD">
        <w:trPr>
          <w:jc w:val="center"/>
        </w:trPr>
        <w:tc>
          <w:tcPr>
            <w:tcW w:w="2397" w:type="dxa"/>
            <w:vAlign w:val="center"/>
          </w:tcPr>
          <w:p w:rsidR="001270DD" w:rsidRDefault="0059761C">
            <w:pPr>
              <w:jc w:val="center"/>
            </w:pPr>
            <w:r>
              <w:rPr>
                <w:rFonts w:eastAsiaTheme="minorEastAsia"/>
                <w:color w:val="000000" w:themeColor="text1"/>
                <w:kern w:val="0"/>
                <w:sz w:val="24"/>
                <w:szCs w:val="24"/>
              </w:rPr>
              <w:t>信息技术</w:t>
            </w:r>
          </w:p>
        </w:tc>
        <w:tc>
          <w:tcPr>
            <w:tcW w:w="3119" w:type="dxa"/>
            <w:vAlign w:val="center"/>
          </w:tcPr>
          <w:p w:rsidR="001270DD" w:rsidRDefault="0059761C">
            <w:pPr>
              <w:jc w:val="center"/>
            </w:pPr>
            <w:r>
              <w:rPr>
                <w:rFonts w:eastAsiaTheme="minorEastAsia"/>
                <w:color w:val="000000" w:themeColor="text1"/>
                <w:kern w:val="0"/>
                <w:sz w:val="24"/>
                <w:szCs w:val="24"/>
              </w:rPr>
              <w:t>32,606,651.25</w:t>
            </w:r>
          </w:p>
        </w:tc>
        <w:tc>
          <w:tcPr>
            <w:tcW w:w="3118" w:type="dxa"/>
            <w:vAlign w:val="center"/>
          </w:tcPr>
          <w:p w:rsidR="001270DD" w:rsidRDefault="0059761C">
            <w:pPr>
              <w:jc w:val="center"/>
            </w:pPr>
            <w:r>
              <w:rPr>
                <w:rFonts w:eastAsiaTheme="minorEastAsia"/>
                <w:color w:val="000000" w:themeColor="text1"/>
                <w:kern w:val="0"/>
                <w:sz w:val="24"/>
                <w:szCs w:val="24"/>
              </w:rPr>
              <w:t>3.39</w:t>
            </w:r>
          </w:p>
        </w:tc>
      </w:tr>
      <w:tr w:rsidR="001270DD">
        <w:trPr>
          <w:jc w:val="center"/>
        </w:trPr>
        <w:tc>
          <w:tcPr>
            <w:tcW w:w="2397" w:type="dxa"/>
            <w:vAlign w:val="center"/>
          </w:tcPr>
          <w:p w:rsidR="001270DD" w:rsidRDefault="0059761C">
            <w:pPr>
              <w:jc w:val="center"/>
            </w:pPr>
            <w:r>
              <w:rPr>
                <w:rFonts w:eastAsiaTheme="minorEastAsia"/>
                <w:color w:val="000000" w:themeColor="text1"/>
                <w:kern w:val="0"/>
                <w:sz w:val="24"/>
                <w:szCs w:val="24"/>
              </w:rPr>
              <w:t>电信服务</w:t>
            </w:r>
          </w:p>
        </w:tc>
        <w:tc>
          <w:tcPr>
            <w:tcW w:w="3119" w:type="dxa"/>
            <w:vAlign w:val="center"/>
          </w:tcPr>
          <w:p w:rsidR="001270DD" w:rsidRDefault="0059761C">
            <w:pPr>
              <w:jc w:val="center"/>
            </w:pPr>
            <w:r>
              <w:rPr>
                <w:rFonts w:eastAsiaTheme="minorEastAsia"/>
                <w:color w:val="000000" w:themeColor="text1"/>
                <w:kern w:val="0"/>
                <w:sz w:val="24"/>
                <w:szCs w:val="24"/>
              </w:rPr>
              <w:t>14,068,541.73</w:t>
            </w:r>
          </w:p>
        </w:tc>
        <w:tc>
          <w:tcPr>
            <w:tcW w:w="3118" w:type="dxa"/>
            <w:vAlign w:val="center"/>
          </w:tcPr>
          <w:p w:rsidR="001270DD" w:rsidRDefault="0059761C">
            <w:pPr>
              <w:jc w:val="center"/>
            </w:pPr>
            <w:r>
              <w:rPr>
                <w:rFonts w:eastAsiaTheme="minorEastAsia"/>
                <w:color w:val="000000" w:themeColor="text1"/>
                <w:kern w:val="0"/>
                <w:sz w:val="24"/>
                <w:szCs w:val="24"/>
              </w:rPr>
              <w:t>1.46</w:t>
            </w:r>
          </w:p>
        </w:tc>
      </w:tr>
      <w:tr w:rsidR="001270DD">
        <w:trPr>
          <w:jc w:val="center"/>
        </w:trPr>
        <w:tc>
          <w:tcPr>
            <w:tcW w:w="2397" w:type="dxa"/>
            <w:vAlign w:val="center"/>
          </w:tcPr>
          <w:p w:rsidR="001270DD" w:rsidRDefault="0059761C">
            <w:pPr>
              <w:jc w:val="center"/>
            </w:pPr>
            <w:r>
              <w:rPr>
                <w:rFonts w:eastAsiaTheme="minorEastAsia"/>
                <w:color w:val="000000" w:themeColor="text1"/>
                <w:kern w:val="0"/>
                <w:sz w:val="24"/>
                <w:szCs w:val="24"/>
              </w:rPr>
              <w:t>公用事业</w:t>
            </w:r>
          </w:p>
        </w:tc>
        <w:tc>
          <w:tcPr>
            <w:tcW w:w="3119" w:type="dxa"/>
            <w:vAlign w:val="center"/>
          </w:tcPr>
          <w:p w:rsidR="001270DD" w:rsidRDefault="0059761C">
            <w:pPr>
              <w:jc w:val="center"/>
            </w:pPr>
            <w:r>
              <w:rPr>
                <w:rFonts w:eastAsiaTheme="minorEastAsia"/>
                <w:color w:val="000000" w:themeColor="text1"/>
                <w:kern w:val="0"/>
                <w:sz w:val="24"/>
                <w:szCs w:val="24"/>
              </w:rPr>
              <w:t>-</w:t>
            </w:r>
          </w:p>
        </w:tc>
        <w:tc>
          <w:tcPr>
            <w:tcW w:w="3118" w:type="dxa"/>
            <w:vAlign w:val="center"/>
          </w:tcPr>
          <w:p w:rsidR="001270DD" w:rsidRDefault="0059761C">
            <w:pPr>
              <w:jc w:val="center"/>
            </w:pPr>
            <w:r>
              <w:rPr>
                <w:rFonts w:eastAsiaTheme="minorEastAsia"/>
                <w:color w:val="000000" w:themeColor="text1"/>
                <w:kern w:val="0"/>
                <w:sz w:val="24"/>
                <w:szCs w:val="24"/>
              </w:rPr>
              <w:t>-</w:t>
            </w:r>
          </w:p>
        </w:tc>
      </w:tr>
      <w:tr w:rsidR="001270DD">
        <w:trPr>
          <w:jc w:val="center"/>
        </w:trPr>
        <w:tc>
          <w:tcPr>
            <w:tcW w:w="2397" w:type="dxa"/>
            <w:vAlign w:val="center"/>
          </w:tcPr>
          <w:p w:rsidR="001270DD" w:rsidRDefault="0059761C">
            <w:pPr>
              <w:jc w:val="center"/>
            </w:pPr>
            <w:r>
              <w:rPr>
                <w:rFonts w:eastAsiaTheme="minorEastAsia"/>
                <w:color w:val="000000" w:themeColor="text1"/>
                <w:kern w:val="0"/>
                <w:sz w:val="24"/>
                <w:szCs w:val="24"/>
              </w:rPr>
              <w:t>房地产</w:t>
            </w:r>
          </w:p>
        </w:tc>
        <w:tc>
          <w:tcPr>
            <w:tcW w:w="3119" w:type="dxa"/>
            <w:vAlign w:val="center"/>
          </w:tcPr>
          <w:p w:rsidR="001270DD" w:rsidRDefault="0059761C">
            <w:pPr>
              <w:jc w:val="center"/>
            </w:pPr>
            <w:r>
              <w:rPr>
                <w:rFonts w:eastAsiaTheme="minorEastAsia"/>
                <w:color w:val="000000" w:themeColor="text1"/>
                <w:kern w:val="0"/>
                <w:sz w:val="24"/>
                <w:szCs w:val="24"/>
              </w:rPr>
              <w:t>-</w:t>
            </w:r>
          </w:p>
        </w:tc>
        <w:tc>
          <w:tcPr>
            <w:tcW w:w="3118" w:type="dxa"/>
            <w:vAlign w:val="center"/>
          </w:tcPr>
          <w:p w:rsidR="001270DD" w:rsidRDefault="0059761C">
            <w:pPr>
              <w:jc w:val="center"/>
            </w:pPr>
            <w:r>
              <w:rPr>
                <w:rFonts w:eastAsiaTheme="minorEastAsia"/>
                <w:color w:val="000000" w:themeColor="text1"/>
                <w:kern w:val="0"/>
                <w:sz w:val="24"/>
                <w:szCs w:val="24"/>
              </w:rPr>
              <w:t>-</w:t>
            </w:r>
          </w:p>
        </w:tc>
      </w:tr>
      <w:tr w:rsidR="008C2A4F" w:rsidRPr="008C2A4F" w:rsidTr="003328D9">
        <w:trPr>
          <w:jc w:val="center"/>
        </w:trPr>
        <w:tc>
          <w:tcPr>
            <w:tcW w:w="2397" w:type="dxa"/>
            <w:vAlign w:val="center"/>
          </w:tcPr>
          <w:p w:rsidR="008C2A4F" w:rsidRPr="008C2A4F" w:rsidRDefault="008C2A4F" w:rsidP="003328D9">
            <w:pPr>
              <w:spacing w:before="29" w:line="360" w:lineRule="auto"/>
              <w:ind w:left="17"/>
              <w:jc w:val="center"/>
              <w:rPr>
                <w:rFonts w:eastAsiaTheme="minorEastAsia"/>
                <w:color w:val="000000" w:themeColor="text1"/>
                <w:kern w:val="0"/>
                <w:sz w:val="24"/>
                <w:szCs w:val="24"/>
              </w:rPr>
            </w:pPr>
            <w:r w:rsidRPr="008C2A4F">
              <w:rPr>
                <w:rFonts w:eastAsiaTheme="minorEastAsia"/>
                <w:color w:val="000000" w:themeColor="text1"/>
                <w:kern w:val="0"/>
                <w:sz w:val="24"/>
                <w:szCs w:val="24"/>
              </w:rPr>
              <w:t>合计</w:t>
            </w:r>
          </w:p>
        </w:tc>
        <w:tc>
          <w:tcPr>
            <w:tcW w:w="3119" w:type="dxa"/>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66,663,734.58</w:t>
            </w:r>
          </w:p>
        </w:tc>
        <w:tc>
          <w:tcPr>
            <w:tcW w:w="3118" w:type="dxa"/>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6.93</w:t>
            </w:r>
          </w:p>
        </w:tc>
      </w:tr>
    </w:tbl>
    <w:p w:rsidR="00750D48" w:rsidRPr="008C2A4F" w:rsidRDefault="008C2A4F" w:rsidP="008C2A4F">
      <w:pPr>
        <w:spacing w:line="360" w:lineRule="auto"/>
        <w:ind w:firstLineChars="200" w:firstLine="480"/>
        <w:rPr>
          <w:color w:val="000000"/>
          <w:sz w:val="24"/>
          <w:szCs w:val="24"/>
        </w:rPr>
      </w:pPr>
      <w:r w:rsidRPr="00403A06">
        <w:rPr>
          <w:color w:val="000000"/>
          <w:sz w:val="24"/>
          <w:szCs w:val="24"/>
        </w:rPr>
        <w:t>注：以上分类采用全球行业分类标准（</w:t>
      </w:r>
      <w:r w:rsidRPr="00403A06">
        <w:rPr>
          <w:color w:val="000000"/>
          <w:sz w:val="24"/>
          <w:szCs w:val="24"/>
        </w:rPr>
        <w:t>GICS</w:t>
      </w:r>
      <w:r w:rsidRPr="00403A06">
        <w:rPr>
          <w:color w:val="000000"/>
          <w:sz w:val="24"/>
          <w:szCs w:val="24"/>
        </w:rPr>
        <w:t>）。</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1418"/>
        <w:gridCol w:w="1701"/>
        <w:gridCol w:w="1984"/>
        <w:gridCol w:w="1559"/>
      </w:tblGrid>
      <w:tr w:rsidR="00750D48" w:rsidRPr="00264E55" w:rsidTr="00191BDE">
        <w:tc>
          <w:tcPr>
            <w:tcW w:w="851"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股票代码</w:t>
            </w:r>
          </w:p>
        </w:tc>
        <w:tc>
          <w:tcPr>
            <w:tcW w:w="1418"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股票名称</w:t>
            </w:r>
          </w:p>
        </w:tc>
        <w:tc>
          <w:tcPr>
            <w:tcW w:w="1701"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（股）</w:t>
            </w:r>
          </w:p>
        </w:tc>
        <w:tc>
          <w:tcPr>
            <w:tcW w:w="1984" w:type="dxa"/>
            <w:vAlign w:val="center"/>
          </w:tcPr>
          <w:p w:rsidR="00750D48" w:rsidRPr="00232B03" w:rsidRDefault="00750D48" w:rsidP="005F7917">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559"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1270DD">
        <w:tc>
          <w:tcPr>
            <w:tcW w:w="851" w:type="dxa"/>
            <w:vAlign w:val="center"/>
          </w:tcPr>
          <w:p w:rsidR="001270DD" w:rsidRDefault="0059761C">
            <w:pPr>
              <w:jc w:val="center"/>
            </w:pPr>
            <w:r>
              <w:rPr>
                <w:color w:val="000000"/>
                <w:kern w:val="0"/>
                <w:sz w:val="24"/>
                <w:szCs w:val="24"/>
              </w:rPr>
              <w:t>1</w:t>
            </w:r>
          </w:p>
        </w:tc>
        <w:tc>
          <w:tcPr>
            <w:tcW w:w="1276" w:type="dxa"/>
            <w:vAlign w:val="center"/>
          </w:tcPr>
          <w:p w:rsidR="001270DD" w:rsidRDefault="0059761C">
            <w:pPr>
              <w:jc w:val="center"/>
            </w:pPr>
            <w:r>
              <w:rPr>
                <w:color w:val="000000"/>
                <w:kern w:val="0"/>
                <w:sz w:val="24"/>
                <w:szCs w:val="24"/>
              </w:rPr>
              <w:t>300476</w:t>
            </w:r>
          </w:p>
        </w:tc>
        <w:tc>
          <w:tcPr>
            <w:tcW w:w="1418" w:type="dxa"/>
            <w:vAlign w:val="center"/>
          </w:tcPr>
          <w:p w:rsidR="001270DD" w:rsidRDefault="0059761C">
            <w:pPr>
              <w:jc w:val="center"/>
            </w:pPr>
            <w:r>
              <w:rPr>
                <w:color w:val="000000"/>
                <w:kern w:val="0"/>
                <w:sz w:val="24"/>
                <w:szCs w:val="24"/>
              </w:rPr>
              <w:t>胜宏科技</w:t>
            </w:r>
          </w:p>
        </w:tc>
        <w:tc>
          <w:tcPr>
            <w:tcW w:w="1701" w:type="dxa"/>
            <w:vAlign w:val="center"/>
          </w:tcPr>
          <w:p w:rsidR="001270DD" w:rsidRDefault="0059761C">
            <w:pPr>
              <w:jc w:val="right"/>
            </w:pPr>
            <w:r>
              <w:rPr>
                <w:color w:val="000000"/>
                <w:kern w:val="0"/>
                <w:sz w:val="24"/>
                <w:szCs w:val="24"/>
              </w:rPr>
              <w:t>3,959,880</w:t>
            </w:r>
          </w:p>
        </w:tc>
        <w:tc>
          <w:tcPr>
            <w:tcW w:w="1984" w:type="dxa"/>
            <w:vAlign w:val="center"/>
          </w:tcPr>
          <w:p w:rsidR="001270DD" w:rsidRDefault="0059761C">
            <w:pPr>
              <w:jc w:val="right"/>
            </w:pPr>
            <w:r>
              <w:rPr>
                <w:color w:val="000000"/>
                <w:kern w:val="0"/>
                <w:sz w:val="24"/>
                <w:szCs w:val="24"/>
              </w:rPr>
              <w:t>56,626,284.00</w:t>
            </w:r>
          </w:p>
        </w:tc>
        <w:tc>
          <w:tcPr>
            <w:tcW w:w="1559" w:type="dxa"/>
            <w:vAlign w:val="center"/>
          </w:tcPr>
          <w:p w:rsidR="001270DD" w:rsidRDefault="0059761C">
            <w:pPr>
              <w:jc w:val="right"/>
            </w:pPr>
            <w:r>
              <w:rPr>
                <w:color w:val="000000"/>
                <w:kern w:val="0"/>
                <w:sz w:val="24"/>
                <w:szCs w:val="24"/>
              </w:rPr>
              <w:t>5.88</w:t>
            </w:r>
          </w:p>
        </w:tc>
      </w:tr>
      <w:tr w:rsidR="001270DD">
        <w:tc>
          <w:tcPr>
            <w:tcW w:w="851" w:type="dxa"/>
            <w:vAlign w:val="center"/>
          </w:tcPr>
          <w:p w:rsidR="001270DD" w:rsidRDefault="0059761C">
            <w:pPr>
              <w:jc w:val="center"/>
            </w:pPr>
            <w:r>
              <w:rPr>
                <w:color w:val="000000"/>
                <w:kern w:val="0"/>
                <w:sz w:val="24"/>
                <w:szCs w:val="24"/>
              </w:rPr>
              <w:t>2</w:t>
            </w:r>
          </w:p>
        </w:tc>
        <w:tc>
          <w:tcPr>
            <w:tcW w:w="1276" w:type="dxa"/>
            <w:vAlign w:val="center"/>
          </w:tcPr>
          <w:p w:rsidR="001270DD" w:rsidRDefault="0059761C">
            <w:pPr>
              <w:jc w:val="center"/>
            </w:pPr>
            <w:r>
              <w:rPr>
                <w:color w:val="000000"/>
                <w:kern w:val="0"/>
                <w:sz w:val="24"/>
                <w:szCs w:val="24"/>
              </w:rPr>
              <w:t>600519</w:t>
            </w:r>
          </w:p>
        </w:tc>
        <w:tc>
          <w:tcPr>
            <w:tcW w:w="1418" w:type="dxa"/>
            <w:vAlign w:val="center"/>
          </w:tcPr>
          <w:p w:rsidR="001270DD" w:rsidRDefault="0059761C">
            <w:pPr>
              <w:jc w:val="center"/>
            </w:pPr>
            <w:r>
              <w:rPr>
                <w:color w:val="000000"/>
                <w:kern w:val="0"/>
                <w:sz w:val="24"/>
                <w:szCs w:val="24"/>
              </w:rPr>
              <w:t>贵州茅台</w:t>
            </w:r>
          </w:p>
        </w:tc>
        <w:tc>
          <w:tcPr>
            <w:tcW w:w="1701" w:type="dxa"/>
            <w:vAlign w:val="center"/>
          </w:tcPr>
          <w:p w:rsidR="001270DD" w:rsidRDefault="0059761C">
            <w:pPr>
              <w:jc w:val="right"/>
            </w:pPr>
            <w:r>
              <w:rPr>
                <w:color w:val="000000"/>
                <w:kern w:val="0"/>
                <w:sz w:val="24"/>
                <w:szCs w:val="24"/>
              </w:rPr>
              <w:t>35,544</w:t>
            </w:r>
          </w:p>
        </w:tc>
        <w:tc>
          <w:tcPr>
            <w:tcW w:w="1984" w:type="dxa"/>
            <w:vAlign w:val="center"/>
          </w:tcPr>
          <w:p w:rsidR="001270DD" w:rsidRDefault="0059761C">
            <w:pPr>
              <w:jc w:val="right"/>
            </w:pPr>
            <w:r>
              <w:rPr>
                <w:color w:val="000000"/>
                <w:kern w:val="0"/>
                <w:sz w:val="24"/>
                <w:szCs w:val="24"/>
              </w:rPr>
              <w:t>40,875,600.00</w:t>
            </w:r>
          </w:p>
        </w:tc>
        <w:tc>
          <w:tcPr>
            <w:tcW w:w="1559" w:type="dxa"/>
            <w:vAlign w:val="center"/>
          </w:tcPr>
          <w:p w:rsidR="001270DD" w:rsidRDefault="0059761C">
            <w:pPr>
              <w:jc w:val="right"/>
            </w:pPr>
            <w:r>
              <w:rPr>
                <w:color w:val="000000"/>
                <w:kern w:val="0"/>
                <w:sz w:val="24"/>
                <w:szCs w:val="24"/>
              </w:rPr>
              <w:t>4.25</w:t>
            </w:r>
          </w:p>
        </w:tc>
      </w:tr>
      <w:tr w:rsidR="001270DD">
        <w:tc>
          <w:tcPr>
            <w:tcW w:w="851" w:type="dxa"/>
            <w:vAlign w:val="center"/>
          </w:tcPr>
          <w:p w:rsidR="001270DD" w:rsidRDefault="0059761C">
            <w:pPr>
              <w:jc w:val="center"/>
            </w:pPr>
            <w:r>
              <w:rPr>
                <w:color w:val="000000"/>
                <w:kern w:val="0"/>
                <w:sz w:val="24"/>
                <w:szCs w:val="24"/>
              </w:rPr>
              <w:t>3</w:t>
            </w:r>
          </w:p>
        </w:tc>
        <w:tc>
          <w:tcPr>
            <w:tcW w:w="1276" w:type="dxa"/>
            <w:vAlign w:val="center"/>
          </w:tcPr>
          <w:p w:rsidR="001270DD" w:rsidRDefault="0059761C">
            <w:pPr>
              <w:jc w:val="center"/>
            </w:pPr>
            <w:r>
              <w:rPr>
                <w:color w:val="000000"/>
                <w:kern w:val="0"/>
                <w:sz w:val="24"/>
                <w:szCs w:val="24"/>
              </w:rPr>
              <w:t>300383</w:t>
            </w:r>
          </w:p>
        </w:tc>
        <w:tc>
          <w:tcPr>
            <w:tcW w:w="1418" w:type="dxa"/>
            <w:vAlign w:val="center"/>
          </w:tcPr>
          <w:p w:rsidR="001270DD" w:rsidRDefault="0059761C">
            <w:pPr>
              <w:jc w:val="center"/>
            </w:pPr>
            <w:r>
              <w:rPr>
                <w:color w:val="000000"/>
                <w:kern w:val="0"/>
                <w:sz w:val="24"/>
                <w:szCs w:val="24"/>
              </w:rPr>
              <w:t>光环新网</w:t>
            </w:r>
          </w:p>
        </w:tc>
        <w:tc>
          <w:tcPr>
            <w:tcW w:w="1701" w:type="dxa"/>
            <w:vAlign w:val="center"/>
          </w:tcPr>
          <w:p w:rsidR="001270DD" w:rsidRDefault="0059761C">
            <w:pPr>
              <w:jc w:val="right"/>
            </w:pPr>
            <w:r>
              <w:rPr>
                <w:color w:val="000000"/>
                <w:kern w:val="0"/>
                <w:sz w:val="24"/>
                <w:szCs w:val="24"/>
              </w:rPr>
              <w:t>2,087,815</w:t>
            </w:r>
          </w:p>
        </w:tc>
        <w:tc>
          <w:tcPr>
            <w:tcW w:w="1984" w:type="dxa"/>
            <w:vAlign w:val="center"/>
          </w:tcPr>
          <w:p w:rsidR="001270DD" w:rsidRDefault="0059761C">
            <w:pPr>
              <w:jc w:val="right"/>
            </w:pPr>
            <w:r>
              <w:rPr>
                <w:color w:val="000000"/>
                <w:kern w:val="0"/>
                <w:sz w:val="24"/>
                <w:szCs w:val="24"/>
              </w:rPr>
              <w:t>38,791,602.70</w:t>
            </w:r>
          </w:p>
        </w:tc>
        <w:tc>
          <w:tcPr>
            <w:tcW w:w="1559" w:type="dxa"/>
            <w:vAlign w:val="center"/>
          </w:tcPr>
          <w:p w:rsidR="001270DD" w:rsidRDefault="0059761C">
            <w:pPr>
              <w:jc w:val="right"/>
            </w:pPr>
            <w:r>
              <w:rPr>
                <w:color w:val="000000"/>
                <w:kern w:val="0"/>
                <w:sz w:val="24"/>
                <w:szCs w:val="24"/>
              </w:rPr>
              <w:t>4.03</w:t>
            </w:r>
          </w:p>
        </w:tc>
      </w:tr>
      <w:tr w:rsidR="001270DD">
        <w:tc>
          <w:tcPr>
            <w:tcW w:w="851" w:type="dxa"/>
            <w:vAlign w:val="center"/>
          </w:tcPr>
          <w:p w:rsidR="001270DD" w:rsidRDefault="0059761C">
            <w:pPr>
              <w:jc w:val="center"/>
            </w:pPr>
            <w:r>
              <w:rPr>
                <w:color w:val="000000"/>
                <w:kern w:val="0"/>
                <w:sz w:val="24"/>
                <w:szCs w:val="24"/>
              </w:rPr>
              <w:t>4</w:t>
            </w:r>
          </w:p>
        </w:tc>
        <w:tc>
          <w:tcPr>
            <w:tcW w:w="1276" w:type="dxa"/>
            <w:vAlign w:val="center"/>
          </w:tcPr>
          <w:p w:rsidR="001270DD" w:rsidRDefault="0059761C">
            <w:pPr>
              <w:jc w:val="center"/>
            </w:pPr>
            <w:r>
              <w:rPr>
                <w:color w:val="000000"/>
                <w:kern w:val="0"/>
                <w:sz w:val="24"/>
                <w:szCs w:val="24"/>
              </w:rPr>
              <w:t>603986</w:t>
            </w:r>
          </w:p>
        </w:tc>
        <w:tc>
          <w:tcPr>
            <w:tcW w:w="1418" w:type="dxa"/>
            <w:vAlign w:val="center"/>
          </w:tcPr>
          <w:p w:rsidR="001270DD" w:rsidRDefault="0059761C">
            <w:pPr>
              <w:jc w:val="center"/>
            </w:pPr>
            <w:r>
              <w:rPr>
                <w:color w:val="000000"/>
                <w:kern w:val="0"/>
                <w:sz w:val="24"/>
                <w:szCs w:val="24"/>
              </w:rPr>
              <w:t>兆易创新</w:t>
            </w:r>
          </w:p>
        </w:tc>
        <w:tc>
          <w:tcPr>
            <w:tcW w:w="1701" w:type="dxa"/>
            <w:vAlign w:val="center"/>
          </w:tcPr>
          <w:p w:rsidR="001270DD" w:rsidRDefault="0059761C">
            <w:pPr>
              <w:jc w:val="right"/>
            </w:pPr>
            <w:r>
              <w:rPr>
                <w:color w:val="000000"/>
                <w:kern w:val="0"/>
                <w:sz w:val="24"/>
                <w:szCs w:val="24"/>
              </w:rPr>
              <w:t>255,262</w:t>
            </w:r>
          </w:p>
        </w:tc>
        <w:tc>
          <w:tcPr>
            <w:tcW w:w="1984" w:type="dxa"/>
            <w:vAlign w:val="center"/>
          </w:tcPr>
          <w:p w:rsidR="001270DD" w:rsidRDefault="0059761C">
            <w:pPr>
              <w:jc w:val="right"/>
            </w:pPr>
            <w:r>
              <w:rPr>
                <w:color w:val="000000"/>
                <w:kern w:val="0"/>
                <w:sz w:val="24"/>
                <w:szCs w:val="24"/>
              </w:rPr>
              <w:t>37,109,989.56</w:t>
            </w:r>
          </w:p>
        </w:tc>
        <w:tc>
          <w:tcPr>
            <w:tcW w:w="1559" w:type="dxa"/>
            <w:vAlign w:val="center"/>
          </w:tcPr>
          <w:p w:rsidR="001270DD" w:rsidRDefault="0059761C">
            <w:pPr>
              <w:jc w:val="right"/>
            </w:pPr>
            <w:r>
              <w:rPr>
                <w:color w:val="000000"/>
                <w:kern w:val="0"/>
                <w:sz w:val="24"/>
                <w:szCs w:val="24"/>
              </w:rPr>
              <w:t>3.86</w:t>
            </w:r>
          </w:p>
        </w:tc>
      </w:tr>
      <w:tr w:rsidR="001270DD">
        <w:tc>
          <w:tcPr>
            <w:tcW w:w="851" w:type="dxa"/>
            <w:vAlign w:val="center"/>
          </w:tcPr>
          <w:p w:rsidR="001270DD" w:rsidRDefault="0059761C">
            <w:pPr>
              <w:jc w:val="center"/>
            </w:pPr>
            <w:r>
              <w:rPr>
                <w:color w:val="000000"/>
                <w:kern w:val="0"/>
                <w:sz w:val="24"/>
                <w:szCs w:val="24"/>
              </w:rPr>
              <w:t>5</w:t>
            </w:r>
          </w:p>
        </w:tc>
        <w:tc>
          <w:tcPr>
            <w:tcW w:w="1276" w:type="dxa"/>
            <w:vAlign w:val="center"/>
          </w:tcPr>
          <w:p w:rsidR="001270DD" w:rsidRDefault="0059761C">
            <w:pPr>
              <w:jc w:val="center"/>
            </w:pPr>
            <w:r>
              <w:rPr>
                <w:color w:val="000000"/>
                <w:kern w:val="0"/>
                <w:sz w:val="24"/>
                <w:szCs w:val="24"/>
              </w:rPr>
              <w:t>002384</w:t>
            </w:r>
          </w:p>
        </w:tc>
        <w:tc>
          <w:tcPr>
            <w:tcW w:w="1418" w:type="dxa"/>
            <w:vAlign w:val="center"/>
          </w:tcPr>
          <w:p w:rsidR="001270DD" w:rsidRDefault="0059761C">
            <w:pPr>
              <w:jc w:val="center"/>
            </w:pPr>
            <w:r>
              <w:rPr>
                <w:color w:val="000000"/>
                <w:kern w:val="0"/>
                <w:sz w:val="24"/>
                <w:szCs w:val="24"/>
              </w:rPr>
              <w:t>东山精密</w:t>
            </w:r>
          </w:p>
        </w:tc>
        <w:tc>
          <w:tcPr>
            <w:tcW w:w="1701" w:type="dxa"/>
            <w:vAlign w:val="center"/>
          </w:tcPr>
          <w:p w:rsidR="001270DD" w:rsidRDefault="0059761C">
            <w:pPr>
              <w:jc w:val="right"/>
            </w:pPr>
            <w:r>
              <w:rPr>
                <w:color w:val="000000"/>
                <w:kern w:val="0"/>
                <w:sz w:val="24"/>
                <w:szCs w:val="24"/>
              </w:rPr>
              <w:t>1,785,227</w:t>
            </w:r>
          </w:p>
        </w:tc>
        <w:tc>
          <w:tcPr>
            <w:tcW w:w="1984" w:type="dxa"/>
            <w:vAlign w:val="center"/>
          </w:tcPr>
          <w:p w:rsidR="001270DD" w:rsidRDefault="0059761C">
            <w:pPr>
              <w:jc w:val="right"/>
            </w:pPr>
            <w:r>
              <w:rPr>
                <w:color w:val="000000"/>
                <w:kern w:val="0"/>
                <w:sz w:val="24"/>
                <w:szCs w:val="24"/>
              </w:rPr>
              <w:t>34,984,554.22</w:t>
            </w:r>
          </w:p>
        </w:tc>
        <w:tc>
          <w:tcPr>
            <w:tcW w:w="1559" w:type="dxa"/>
            <w:vAlign w:val="center"/>
          </w:tcPr>
          <w:p w:rsidR="001270DD" w:rsidRDefault="0059761C">
            <w:pPr>
              <w:jc w:val="right"/>
            </w:pPr>
            <w:r>
              <w:rPr>
                <w:color w:val="000000"/>
                <w:kern w:val="0"/>
                <w:sz w:val="24"/>
                <w:szCs w:val="24"/>
              </w:rPr>
              <w:t>3.64</w:t>
            </w:r>
          </w:p>
        </w:tc>
      </w:tr>
      <w:tr w:rsidR="001270DD">
        <w:tc>
          <w:tcPr>
            <w:tcW w:w="851" w:type="dxa"/>
            <w:vAlign w:val="center"/>
          </w:tcPr>
          <w:p w:rsidR="001270DD" w:rsidRDefault="0059761C">
            <w:pPr>
              <w:jc w:val="center"/>
            </w:pPr>
            <w:r>
              <w:rPr>
                <w:color w:val="000000"/>
                <w:kern w:val="0"/>
                <w:sz w:val="24"/>
                <w:szCs w:val="24"/>
              </w:rPr>
              <w:t>6</w:t>
            </w:r>
          </w:p>
        </w:tc>
        <w:tc>
          <w:tcPr>
            <w:tcW w:w="1276" w:type="dxa"/>
            <w:vAlign w:val="center"/>
          </w:tcPr>
          <w:p w:rsidR="001270DD" w:rsidRDefault="0059761C">
            <w:pPr>
              <w:jc w:val="center"/>
            </w:pPr>
            <w:r>
              <w:rPr>
                <w:color w:val="000000"/>
                <w:kern w:val="0"/>
                <w:sz w:val="24"/>
                <w:szCs w:val="24"/>
              </w:rPr>
              <w:t>600276</w:t>
            </w:r>
          </w:p>
        </w:tc>
        <w:tc>
          <w:tcPr>
            <w:tcW w:w="1418" w:type="dxa"/>
            <w:vAlign w:val="center"/>
          </w:tcPr>
          <w:p w:rsidR="001270DD" w:rsidRDefault="0059761C">
            <w:pPr>
              <w:jc w:val="center"/>
            </w:pPr>
            <w:r>
              <w:rPr>
                <w:color w:val="000000"/>
                <w:kern w:val="0"/>
                <w:sz w:val="24"/>
                <w:szCs w:val="24"/>
              </w:rPr>
              <w:t>恒瑞医药</w:t>
            </w:r>
          </w:p>
        </w:tc>
        <w:tc>
          <w:tcPr>
            <w:tcW w:w="1701" w:type="dxa"/>
            <w:vAlign w:val="center"/>
          </w:tcPr>
          <w:p w:rsidR="001270DD" w:rsidRDefault="0059761C">
            <w:pPr>
              <w:jc w:val="right"/>
            </w:pPr>
            <w:r>
              <w:rPr>
                <w:color w:val="000000"/>
                <w:kern w:val="0"/>
                <w:sz w:val="24"/>
                <w:szCs w:val="24"/>
              </w:rPr>
              <w:t>426,687</w:t>
            </w:r>
          </w:p>
        </w:tc>
        <w:tc>
          <w:tcPr>
            <w:tcW w:w="1984" w:type="dxa"/>
            <w:vAlign w:val="center"/>
          </w:tcPr>
          <w:p w:rsidR="001270DD" w:rsidRDefault="0059761C">
            <w:pPr>
              <w:jc w:val="right"/>
            </w:pPr>
            <w:r>
              <w:rPr>
                <w:color w:val="000000"/>
                <w:kern w:val="0"/>
                <w:sz w:val="24"/>
                <w:szCs w:val="24"/>
              </w:rPr>
              <w:t>34,425,107.16</w:t>
            </w:r>
          </w:p>
        </w:tc>
        <w:tc>
          <w:tcPr>
            <w:tcW w:w="1559" w:type="dxa"/>
            <w:vAlign w:val="center"/>
          </w:tcPr>
          <w:p w:rsidR="001270DD" w:rsidRDefault="0059761C">
            <w:pPr>
              <w:jc w:val="right"/>
            </w:pPr>
            <w:r>
              <w:rPr>
                <w:color w:val="000000"/>
                <w:kern w:val="0"/>
                <w:sz w:val="24"/>
                <w:szCs w:val="24"/>
              </w:rPr>
              <w:t>3.58</w:t>
            </w:r>
          </w:p>
        </w:tc>
      </w:tr>
      <w:tr w:rsidR="001270DD">
        <w:tc>
          <w:tcPr>
            <w:tcW w:w="851" w:type="dxa"/>
            <w:vAlign w:val="center"/>
          </w:tcPr>
          <w:p w:rsidR="001270DD" w:rsidRDefault="0059761C">
            <w:pPr>
              <w:jc w:val="center"/>
            </w:pPr>
            <w:r>
              <w:rPr>
                <w:color w:val="000000"/>
                <w:kern w:val="0"/>
                <w:sz w:val="24"/>
                <w:szCs w:val="24"/>
              </w:rPr>
              <w:t>7</w:t>
            </w:r>
          </w:p>
        </w:tc>
        <w:tc>
          <w:tcPr>
            <w:tcW w:w="1276" w:type="dxa"/>
            <w:vAlign w:val="center"/>
          </w:tcPr>
          <w:p w:rsidR="001270DD" w:rsidRDefault="0059761C">
            <w:pPr>
              <w:jc w:val="center"/>
            </w:pPr>
            <w:r>
              <w:rPr>
                <w:color w:val="000000"/>
                <w:kern w:val="0"/>
                <w:sz w:val="24"/>
                <w:szCs w:val="24"/>
              </w:rPr>
              <w:t>002036</w:t>
            </w:r>
          </w:p>
        </w:tc>
        <w:tc>
          <w:tcPr>
            <w:tcW w:w="1418" w:type="dxa"/>
            <w:vAlign w:val="center"/>
          </w:tcPr>
          <w:p w:rsidR="001270DD" w:rsidRDefault="0059761C">
            <w:pPr>
              <w:jc w:val="center"/>
            </w:pPr>
            <w:r>
              <w:rPr>
                <w:color w:val="000000"/>
                <w:kern w:val="0"/>
                <w:sz w:val="24"/>
                <w:szCs w:val="24"/>
              </w:rPr>
              <w:t>联创电子</w:t>
            </w:r>
          </w:p>
        </w:tc>
        <w:tc>
          <w:tcPr>
            <w:tcW w:w="1701" w:type="dxa"/>
            <w:vAlign w:val="center"/>
          </w:tcPr>
          <w:p w:rsidR="001270DD" w:rsidRDefault="0059761C">
            <w:pPr>
              <w:jc w:val="right"/>
            </w:pPr>
            <w:r>
              <w:rPr>
                <w:color w:val="000000"/>
                <w:kern w:val="0"/>
                <w:sz w:val="24"/>
                <w:szCs w:val="24"/>
              </w:rPr>
              <w:t>2,289,270</w:t>
            </w:r>
          </w:p>
        </w:tc>
        <w:tc>
          <w:tcPr>
            <w:tcW w:w="1984" w:type="dxa"/>
            <w:vAlign w:val="center"/>
          </w:tcPr>
          <w:p w:rsidR="001270DD" w:rsidRDefault="0059761C">
            <w:pPr>
              <w:jc w:val="right"/>
            </w:pPr>
            <w:r>
              <w:rPr>
                <w:color w:val="000000"/>
                <w:kern w:val="0"/>
                <w:sz w:val="24"/>
                <w:szCs w:val="24"/>
              </w:rPr>
              <w:t>32,507,634.00</w:t>
            </w:r>
          </w:p>
        </w:tc>
        <w:tc>
          <w:tcPr>
            <w:tcW w:w="1559" w:type="dxa"/>
            <w:vAlign w:val="center"/>
          </w:tcPr>
          <w:p w:rsidR="001270DD" w:rsidRDefault="0059761C">
            <w:pPr>
              <w:jc w:val="right"/>
            </w:pPr>
            <w:r>
              <w:rPr>
                <w:color w:val="000000"/>
                <w:kern w:val="0"/>
                <w:sz w:val="24"/>
                <w:szCs w:val="24"/>
              </w:rPr>
              <w:t>3.38</w:t>
            </w:r>
          </w:p>
        </w:tc>
      </w:tr>
      <w:tr w:rsidR="001270DD">
        <w:tc>
          <w:tcPr>
            <w:tcW w:w="851" w:type="dxa"/>
            <w:vAlign w:val="center"/>
          </w:tcPr>
          <w:p w:rsidR="001270DD" w:rsidRDefault="0059761C">
            <w:pPr>
              <w:jc w:val="center"/>
            </w:pPr>
            <w:r>
              <w:rPr>
                <w:color w:val="000000"/>
                <w:kern w:val="0"/>
                <w:sz w:val="24"/>
                <w:szCs w:val="24"/>
              </w:rPr>
              <w:t>8</w:t>
            </w:r>
          </w:p>
        </w:tc>
        <w:tc>
          <w:tcPr>
            <w:tcW w:w="1276" w:type="dxa"/>
            <w:vAlign w:val="center"/>
          </w:tcPr>
          <w:p w:rsidR="001270DD" w:rsidRDefault="0059761C">
            <w:pPr>
              <w:jc w:val="center"/>
            </w:pPr>
            <w:r>
              <w:rPr>
                <w:color w:val="000000"/>
                <w:kern w:val="0"/>
                <w:sz w:val="24"/>
                <w:szCs w:val="24"/>
              </w:rPr>
              <w:t>600004</w:t>
            </w:r>
          </w:p>
        </w:tc>
        <w:tc>
          <w:tcPr>
            <w:tcW w:w="1418" w:type="dxa"/>
            <w:vAlign w:val="center"/>
          </w:tcPr>
          <w:p w:rsidR="001270DD" w:rsidRDefault="0059761C">
            <w:pPr>
              <w:jc w:val="center"/>
            </w:pPr>
            <w:r>
              <w:rPr>
                <w:color w:val="000000"/>
                <w:kern w:val="0"/>
                <w:sz w:val="24"/>
                <w:szCs w:val="24"/>
              </w:rPr>
              <w:t>白云机场</w:t>
            </w:r>
          </w:p>
        </w:tc>
        <w:tc>
          <w:tcPr>
            <w:tcW w:w="1701" w:type="dxa"/>
            <w:vAlign w:val="center"/>
          </w:tcPr>
          <w:p w:rsidR="001270DD" w:rsidRDefault="0059761C">
            <w:pPr>
              <w:jc w:val="right"/>
            </w:pPr>
            <w:r>
              <w:rPr>
                <w:color w:val="000000"/>
                <w:kern w:val="0"/>
                <w:sz w:val="24"/>
                <w:szCs w:val="24"/>
              </w:rPr>
              <w:t>1,379,500</w:t>
            </w:r>
          </w:p>
        </w:tc>
        <w:tc>
          <w:tcPr>
            <w:tcW w:w="1984" w:type="dxa"/>
            <w:vAlign w:val="center"/>
          </w:tcPr>
          <w:p w:rsidR="001270DD" w:rsidRDefault="0059761C">
            <w:pPr>
              <w:jc w:val="right"/>
            </w:pPr>
            <w:r>
              <w:rPr>
                <w:color w:val="000000"/>
                <w:kern w:val="0"/>
                <w:sz w:val="24"/>
                <w:szCs w:val="24"/>
              </w:rPr>
              <w:t>30,969,775.00</w:t>
            </w:r>
          </w:p>
        </w:tc>
        <w:tc>
          <w:tcPr>
            <w:tcW w:w="1559" w:type="dxa"/>
            <w:vAlign w:val="center"/>
          </w:tcPr>
          <w:p w:rsidR="001270DD" w:rsidRDefault="0059761C">
            <w:pPr>
              <w:jc w:val="right"/>
            </w:pPr>
            <w:r>
              <w:rPr>
                <w:color w:val="000000"/>
                <w:kern w:val="0"/>
                <w:sz w:val="24"/>
                <w:szCs w:val="24"/>
              </w:rPr>
              <w:t>3.22</w:t>
            </w:r>
          </w:p>
        </w:tc>
      </w:tr>
      <w:tr w:rsidR="001270DD">
        <w:tc>
          <w:tcPr>
            <w:tcW w:w="851" w:type="dxa"/>
            <w:vAlign w:val="center"/>
          </w:tcPr>
          <w:p w:rsidR="001270DD" w:rsidRDefault="0059761C">
            <w:pPr>
              <w:jc w:val="center"/>
            </w:pPr>
            <w:r>
              <w:rPr>
                <w:color w:val="000000"/>
                <w:kern w:val="0"/>
                <w:sz w:val="24"/>
                <w:szCs w:val="24"/>
              </w:rPr>
              <w:t>9</w:t>
            </w:r>
          </w:p>
        </w:tc>
        <w:tc>
          <w:tcPr>
            <w:tcW w:w="1276" w:type="dxa"/>
            <w:vAlign w:val="center"/>
          </w:tcPr>
          <w:p w:rsidR="001270DD" w:rsidRDefault="0059761C">
            <w:pPr>
              <w:jc w:val="center"/>
            </w:pPr>
            <w:r>
              <w:rPr>
                <w:color w:val="000000"/>
                <w:kern w:val="0"/>
                <w:sz w:val="24"/>
                <w:szCs w:val="24"/>
              </w:rPr>
              <w:t>300033</w:t>
            </w:r>
          </w:p>
        </w:tc>
        <w:tc>
          <w:tcPr>
            <w:tcW w:w="1418" w:type="dxa"/>
            <w:vAlign w:val="center"/>
          </w:tcPr>
          <w:p w:rsidR="001270DD" w:rsidRDefault="0059761C">
            <w:pPr>
              <w:jc w:val="center"/>
            </w:pPr>
            <w:r>
              <w:rPr>
                <w:color w:val="000000"/>
                <w:kern w:val="0"/>
                <w:sz w:val="24"/>
                <w:szCs w:val="24"/>
              </w:rPr>
              <w:t>同花顺</w:t>
            </w:r>
          </w:p>
        </w:tc>
        <w:tc>
          <w:tcPr>
            <w:tcW w:w="1701" w:type="dxa"/>
            <w:vAlign w:val="center"/>
          </w:tcPr>
          <w:p w:rsidR="001270DD" w:rsidRDefault="0059761C">
            <w:pPr>
              <w:jc w:val="right"/>
            </w:pPr>
            <w:r>
              <w:rPr>
                <w:color w:val="000000"/>
                <w:kern w:val="0"/>
                <w:sz w:val="24"/>
                <w:szCs w:val="24"/>
              </w:rPr>
              <w:t>248,413</w:t>
            </w:r>
          </w:p>
        </w:tc>
        <w:tc>
          <w:tcPr>
            <w:tcW w:w="1984" w:type="dxa"/>
            <w:vAlign w:val="center"/>
          </w:tcPr>
          <w:p w:rsidR="001270DD" w:rsidRDefault="0059761C">
            <w:pPr>
              <w:jc w:val="right"/>
            </w:pPr>
            <w:r>
              <w:rPr>
                <w:color w:val="000000"/>
                <w:kern w:val="0"/>
                <w:sz w:val="24"/>
                <w:szCs w:val="24"/>
              </w:rPr>
              <w:t>24,642,569.60</w:t>
            </w:r>
          </w:p>
        </w:tc>
        <w:tc>
          <w:tcPr>
            <w:tcW w:w="1559" w:type="dxa"/>
            <w:vAlign w:val="center"/>
          </w:tcPr>
          <w:p w:rsidR="001270DD" w:rsidRDefault="0059761C">
            <w:pPr>
              <w:jc w:val="right"/>
            </w:pPr>
            <w:r>
              <w:rPr>
                <w:color w:val="000000"/>
                <w:kern w:val="0"/>
                <w:sz w:val="24"/>
                <w:szCs w:val="24"/>
              </w:rPr>
              <w:t>2.56</w:t>
            </w:r>
          </w:p>
        </w:tc>
      </w:tr>
      <w:tr w:rsidR="001270DD">
        <w:tc>
          <w:tcPr>
            <w:tcW w:w="851" w:type="dxa"/>
            <w:vAlign w:val="center"/>
          </w:tcPr>
          <w:p w:rsidR="001270DD" w:rsidRDefault="0059761C">
            <w:pPr>
              <w:jc w:val="center"/>
            </w:pPr>
            <w:r>
              <w:rPr>
                <w:color w:val="000000"/>
                <w:kern w:val="0"/>
                <w:sz w:val="24"/>
                <w:szCs w:val="24"/>
              </w:rPr>
              <w:t>10</w:t>
            </w:r>
          </w:p>
        </w:tc>
        <w:tc>
          <w:tcPr>
            <w:tcW w:w="1276" w:type="dxa"/>
            <w:vAlign w:val="center"/>
          </w:tcPr>
          <w:p w:rsidR="001270DD" w:rsidRDefault="0059761C">
            <w:pPr>
              <w:jc w:val="center"/>
            </w:pPr>
            <w:r>
              <w:rPr>
                <w:color w:val="000000"/>
                <w:kern w:val="0"/>
                <w:sz w:val="24"/>
                <w:szCs w:val="24"/>
              </w:rPr>
              <w:t>002332</w:t>
            </w:r>
          </w:p>
        </w:tc>
        <w:tc>
          <w:tcPr>
            <w:tcW w:w="1418" w:type="dxa"/>
            <w:vAlign w:val="center"/>
          </w:tcPr>
          <w:p w:rsidR="001270DD" w:rsidRDefault="0059761C">
            <w:pPr>
              <w:jc w:val="center"/>
            </w:pPr>
            <w:r>
              <w:rPr>
                <w:color w:val="000000"/>
                <w:kern w:val="0"/>
                <w:sz w:val="24"/>
                <w:szCs w:val="24"/>
              </w:rPr>
              <w:t>仙琚制药</w:t>
            </w:r>
          </w:p>
        </w:tc>
        <w:tc>
          <w:tcPr>
            <w:tcW w:w="1701" w:type="dxa"/>
            <w:vAlign w:val="center"/>
          </w:tcPr>
          <w:p w:rsidR="001270DD" w:rsidRDefault="0059761C">
            <w:pPr>
              <w:jc w:val="right"/>
            </w:pPr>
            <w:r>
              <w:rPr>
                <w:color w:val="000000"/>
                <w:kern w:val="0"/>
                <w:sz w:val="24"/>
                <w:szCs w:val="24"/>
              </w:rPr>
              <w:t>3,195,200</w:t>
            </w:r>
          </w:p>
        </w:tc>
        <w:tc>
          <w:tcPr>
            <w:tcW w:w="1984" w:type="dxa"/>
            <w:vAlign w:val="center"/>
          </w:tcPr>
          <w:p w:rsidR="001270DD" w:rsidRDefault="0059761C">
            <w:pPr>
              <w:jc w:val="right"/>
            </w:pPr>
            <w:r>
              <w:rPr>
                <w:color w:val="000000"/>
                <w:kern w:val="0"/>
                <w:sz w:val="24"/>
                <w:szCs w:val="24"/>
              </w:rPr>
              <w:t>24,091,808.00</w:t>
            </w:r>
          </w:p>
        </w:tc>
        <w:tc>
          <w:tcPr>
            <w:tcW w:w="1559" w:type="dxa"/>
            <w:vAlign w:val="center"/>
          </w:tcPr>
          <w:p w:rsidR="001270DD" w:rsidRDefault="0059761C">
            <w:pPr>
              <w:jc w:val="right"/>
            </w:pPr>
            <w:r>
              <w:rPr>
                <w:color w:val="000000"/>
                <w:kern w:val="0"/>
                <w:sz w:val="24"/>
                <w:szCs w:val="24"/>
              </w:rPr>
              <w:t>2.50</w:t>
            </w:r>
          </w:p>
        </w:tc>
      </w:tr>
    </w:tbl>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p w:rsidR="00750D48" w:rsidRPr="00232B03" w:rsidRDefault="00CA4677" w:rsidP="00403A06">
      <w:pPr>
        <w:spacing w:line="360" w:lineRule="auto"/>
        <w:ind w:firstLineChars="200" w:firstLine="480"/>
        <w:rPr>
          <w:color w:val="000000"/>
          <w:sz w:val="24"/>
          <w:szCs w:val="24"/>
        </w:rPr>
      </w:pPr>
      <w:r w:rsidRPr="00403A06">
        <w:rPr>
          <w:color w:val="000000"/>
          <w:sz w:val="24"/>
          <w:szCs w:val="24"/>
        </w:rPr>
        <w:t>本基金本报告期末未持有债券。</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本基金本报告期末未持有债券。</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本基金本报告期末未持有资产支持证券。</w:t>
      </w:r>
    </w:p>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277FAE" w:rsidP="00277FA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5.11.1本基金投资的前十名证券的发行主体本期没有出现被监管部门立案调查，或在报告编制日前一年内受到公开谴责、处罚的情形。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5.11.2本基金投资的前十名股票没有超出基金合同规定的备选股票库。</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513,226.79</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1,902,714.74</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37,933.00</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220,128.06</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2,674,002.59</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本基金本报告期末未持有处于转股期的可转换债券。</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3"/>
        <w:gridCol w:w="1302"/>
        <w:gridCol w:w="1301"/>
        <w:gridCol w:w="1805"/>
        <w:gridCol w:w="1655"/>
        <w:gridCol w:w="1367"/>
      </w:tblGrid>
      <w:tr w:rsidR="00750D48" w:rsidRPr="00264E55" w:rsidTr="00B05049">
        <w:tc>
          <w:tcPr>
            <w:tcW w:w="1083"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序号</w:t>
            </w:r>
          </w:p>
        </w:tc>
        <w:tc>
          <w:tcPr>
            <w:tcW w:w="1302"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股票代码</w:t>
            </w:r>
          </w:p>
        </w:tc>
        <w:tc>
          <w:tcPr>
            <w:tcW w:w="1301"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股票名称</w:t>
            </w:r>
          </w:p>
        </w:tc>
        <w:tc>
          <w:tcPr>
            <w:tcW w:w="1805"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流通受限部分的公允价值</w:t>
            </w:r>
            <w:r w:rsidR="005F7917" w:rsidRPr="00B227EA">
              <w:rPr>
                <w:color w:val="000000"/>
                <w:kern w:val="0"/>
                <w:sz w:val="24"/>
                <w:szCs w:val="24"/>
              </w:rPr>
              <w:t>（元）</w:t>
            </w:r>
          </w:p>
        </w:tc>
        <w:tc>
          <w:tcPr>
            <w:tcW w:w="1655"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占基金资产净值比例</w:t>
            </w:r>
            <w:r w:rsidR="005F7917" w:rsidRPr="00B227EA">
              <w:rPr>
                <w:color w:val="000000"/>
                <w:kern w:val="0"/>
                <w:sz w:val="24"/>
                <w:szCs w:val="24"/>
              </w:rPr>
              <w:t>（</w:t>
            </w:r>
            <w:r w:rsidR="005F7917" w:rsidRPr="00B227EA">
              <w:rPr>
                <w:color w:val="000000"/>
                <w:kern w:val="0"/>
                <w:sz w:val="24"/>
                <w:szCs w:val="24"/>
              </w:rPr>
              <w:t>%</w:t>
            </w:r>
            <w:r w:rsidR="005F7917" w:rsidRPr="00B227EA">
              <w:rPr>
                <w:color w:val="000000"/>
                <w:kern w:val="0"/>
                <w:sz w:val="24"/>
                <w:szCs w:val="24"/>
              </w:rPr>
              <w:t>）</w:t>
            </w:r>
          </w:p>
        </w:tc>
        <w:tc>
          <w:tcPr>
            <w:tcW w:w="1367"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流通受限情况说明</w:t>
            </w:r>
          </w:p>
        </w:tc>
      </w:tr>
      <w:tr w:rsidR="001270DD">
        <w:tc>
          <w:tcPr>
            <w:tcW w:w="1083" w:type="dxa"/>
            <w:vAlign w:val="center"/>
          </w:tcPr>
          <w:p w:rsidR="001270DD" w:rsidRDefault="0059761C">
            <w:pPr>
              <w:jc w:val="center"/>
            </w:pPr>
            <w:r>
              <w:rPr>
                <w:color w:val="000000"/>
                <w:kern w:val="0"/>
                <w:sz w:val="24"/>
                <w:szCs w:val="24"/>
              </w:rPr>
              <w:t>1</w:t>
            </w:r>
          </w:p>
        </w:tc>
        <w:tc>
          <w:tcPr>
            <w:tcW w:w="1302" w:type="dxa"/>
            <w:vAlign w:val="center"/>
          </w:tcPr>
          <w:p w:rsidR="001270DD" w:rsidRDefault="0059761C">
            <w:pPr>
              <w:jc w:val="center"/>
            </w:pPr>
            <w:r>
              <w:rPr>
                <w:color w:val="000000"/>
                <w:kern w:val="0"/>
                <w:sz w:val="24"/>
                <w:szCs w:val="24"/>
              </w:rPr>
              <w:t>002384</w:t>
            </w:r>
          </w:p>
        </w:tc>
        <w:tc>
          <w:tcPr>
            <w:tcW w:w="1301" w:type="dxa"/>
            <w:vAlign w:val="center"/>
          </w:tcPr>
          <w:p w:rsidR="001270DD" w:rsidRDefault="0059761C">
            <w:pPr>
              <w:jc w:val="center"/>
            </w:pPr>
            <w:r>
              <w:rPr>
                <w:color w:val="000000"/>
                <w:kern w:val="0"/>
                <w:sz w:val="24"/>
                <w:szCs w:val="24"/>
              </w:rPr>
              <w:t>东山精密</w:t>
            </w:r>
          </w:p>
        </w:tc>
        <w:tc>
          <w:tcPr>
            <w:tcW w:w="1805" w:type="dxa"/>
            <w:vAlign w:val="center"/>
          </w:tcPr>
          <w:p w:rsidR="001270DD" w:rsidRDefault="0059761C">
            <w:pPr>
              <w:jc w:val="right"/>
            </w:pPr>
            <w:r>
              <w:rPr>
                <w:color w:val="000000"/>
                <w:kern w:val="0"/>
                <w:sz w:val="24"/>
                <w:szCs w:val="24"/>
              </w:rPr>
              <w:t>1,790,054.22</w:t>
            </w:r>
          </w:p>
        </w:tc>
        <w:tc>
          <w:tcPr>
            <w:tcW w:w="1655" w:type="dxa"/>
            <w:vAlign w:val="center"/>
          </w:tcPr>
          <w:p w:rsidR="001270DD" w:rsidRDefault="0059761C">
            <w:pPr>
              <w:jc w:val="right"/>
            </w:pPr>
            <w:r>
              <w:rPr>
                <w:color w:val="000000"/>
                <w:kern w:val="0"/>
                <w:sz w:val="24"/>
                <w:szCs w:val="24"/>
              </w:rPr>
              <w:t>0.19</w:t>
            </w:r>
          </w:p>
        </w:tc>
        <w:tc>
          <w:tcPr>
            <w:tcW w:w="1367" w:type="dxa"/>
            <w:vAlign w:val="center"/>
          </w:tcPr>
          <w:p w:rsidR="001270DD" w:rsidRDefault="0059761C">
            <w:pPr>
              <w:jc w:val="right"/>
            </w:pPr>
            <w:r>
              <w:rPr>
                <w:color w:val="000000"/>
                <w:kern w:val="0"/>
                <w:sz w:val="24"/>
                <w:szCs w:val="24"/>
              </w:rPr>
              <w:t>大宗交易流通受限</w:t>
            </w:r>
          </w:p>
        </w:tc>
      </w:tr>
    </w:tbl>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注：根据《深圳</w:t>
      </w:r>
      <w:r w:rsidRPr="006C56AA">
        <w:rPr>
          <w:color w:val="000000"/>
          <w:sz w:val="24"/>
          <w:szCs w:val="24"/>
        </w:rPr>
        <w:t>/</w:t>
      </w:r>
      <w:r w:rsidRPr="006C56AA">
        <w:rPr>
          <w:color w:val="000000"/>
          <w:sz w:val="24"/>
          <w:szCs w:val="24"/>
        </w:rPr>
        <w:t>上海证券交易所上市公司股东及董事、监事、高级管理人员减持股份实施细则》，大股东减持或者特定股东减持，采取大宗交易方式的，在任意连续</w:t>
      </w:r>
      <w:r w:rsidRPr="006C56AA">
        <w:rPr>
          <w:color w:val="000000"/>
          <w:sz w:val="24"/>
          <w:szCs w:val="24"/>
        </w:rPr>
        <w:t>90</w:t>
      </w:r>
      <w:r w:rsidRPr="006C56AA">
        <w:rPr>
          <w:color w:val="000000"/>
          <w:sz w:val="24"/>
          <w:szCs w:val="24"/>
        </w:rPr>
        <w:t>日内，减持股份的总数不得超过公司股份总数的</w:t>
      </w:r>
      <w:r w:rsidRPr="006C56AA">
        <w:rPr>
          <w:color w:val="000000"/>
          <w:sz w:val="24"/>
          <w:szCs w:val="24"/>
        </w:rPr>
        <w:t>2%</w:t>
      </w:r>
      <w:r w:rsidRPr="006C56AA">
        <w:rPr>
          <w:color w:val="000000"/>
          <w:sz w:val="24"/>
          <w:szCs w:val="24"/>
        </w:rPr>
        <w:t>；前款交易的受让方在受让后</w:t>
      </w:r>
      <w:r w:rsidRPr="006C56AA">
        <w:rPr>
          <w:color w:val="000000"/>
          <w:sz w:val="24"/>
          <w:szCs w:val="24"/>
        </w:rPr>
        <w:t>6</w:t>
      </w:r>
      <w:r w:rsidRPr="006C56AA">
        <w:rPr>
          <w:color w:val="000000"/>
          <w:sz w:val="24"/>
          <w:szCs w:val="24"/>
        </w:rPr>
        <w:t>个月内，不得转让所受让的股份。</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1,679,321,145.98</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45,162,931.30</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840,596,645.42</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883,887,431.86</w:t>
            </w:r>
          </w:p>
        </w:tc>
      </w:tr>
    </w:tbl>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750D48" w:rsidRPr="00232B03" w:rsidRDefault="00AC11B0" w:rsidP="00232B03">
      <w:pPr>
        <w:spacing w:line="360" w:lineRule="auto"/>
        <w:ind w:firstLineChars="200" w:firstLine="480"/>
        <w:rPr>
          <w:color w:val="000000"/>
          <w:sz w:val="24"/>
          <w:szCs w:val="24"/>
        </w:rPr>
      </w:pPr>
      <w:r w:rsidRPr="00403A06">
        <w:rPr>
          <w:color w:val="000000"/>
          <w:sz w:val="24"/>
          <w:szCs w:val="24"/>
        </w:rPr>
        <w:t>本报告期内基金管理人未持有本基金份额。</w:t>
      </w:r>
    </w:p>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8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8.1 </w:t>
      </w:r>
      <w:r w:rsidRPr="00264E55">
        <w:rPr>
          <w:rFonts w:ascii="宋体" w:hAnsi="宋体" w:hint="eastAsia"/>
          <w:b/>
          <w:bCs/>
          <w:color w:val="000000"/>
          <w:kern w:val="0"/>
          <w:sz w:val="24"/>
          <w:szCs w:val="24"/>
        </w:rPr>
        <w:t>备查文件目录</w:t>
      </w:r>
    </w:p>
    <w:p w:rsidR="001270DD" w:rsidRDefault="0059761C">
      <w:pPr>
        <w:spacing w:line="360" w:lineRule="auto"/>
        <w:ind w:firstLineChars="200" w:firstLine="480"/>
        <w:rPr>
          <w:color w:val="000000"/>
          <w:sz w:val="24"/>
          <w:szCs w:val="24"/>
        </w:rPr>
      </w:pPr>
      <w:r>
        <w:rPr>
          <w:color w:val="000000"/>
          <w:sz w:val="24"/>
          <w:szCs w:val="24"/>
        </w:rPr>
        <w:t>1.</w:t>
      </w:r>
      <w:r>
        <w:rPr>
          <w:color w:val="000000"/>
          <w:sz w:val="24"/>
          <w:szCs w:val="24"/>
        </w:rPr>
        <w:t>中国证监会准予易方达科融混合型证券投资基金注册的文件；</w:t>
      </w:r>
    </w:p>
    <w:p w:rsidR="001270DD" w:rsidRDefault="0059761C">
      <w:pPr>
        <w:spacing w:line="360" w:lineRule="auto"/>
        <w:ind w:firstLineChars="200" w:firstLine="480"/>
        <w:rPr>
          <w:color w:val="000000"/>
          <w:sz w:val="24"/>
          <w:szCs w:val="24"/>
        </w:rPr>
      </w:pPr>
      <w:r>
        <w:rPr>
          <w:color w:val="000000"/>
          <w:sz w:val="24"/>
          <w:szCs w:val="24"/>
        </w:rPr>
        <w:t>2.</w:t>
      </w:r>
      <w:r>
        <w:rPr>
          <w:color w:val="000000"/>
          <w:sz w:val="24"/>
          <w:szCs w:val="24"/>
        </w:rPr>
        <w:t>《易方达科融混合型证券投资基金基金合同》；</w:t>
      </w:r>
    </w:p>
    <w:p w:rsidR="001270DD" w:rsidRDefault="0059761C">
      <w:pPr>
        <w:spacing w:line="360" w:lineRule="auto"/>
        <w:ind w:firstLineChars="200" w:firstLine="480"/>
        <w:rPr>
          <w:color w:val="000000"/>
          <w:sz w:val="24"/>
          <w:szCs w:val="24"/>
        </w:rPr>
      </w:pPr>
      <w:r>
        <w:rPr>
          <w:color w:val="000000"/>
          <w:sz w:val="24"/>
          <w:szCs w:val="24"/>
        </w:rPr>
        <w:t>3.</w:t>
      </w:r>
      <w:r>
        <w:rPr>
          <w:color w:val="000000"/>
          <w:sz w:val="24"/>
          <w:szCs w:val="24"/>
        </w:rPr>
        <w:t>《易方达科融混合型证券投资基金托管协议》；</w:t>
      </w:r>
    </w:p>
    <w:p w:rsidR="001270DD" w:rsidRDefault="0059761C">
      <w:pPr>
        <w:spacing w:line="360" w:lineRule="auto"/>
        <w:ind w:firstLineChars="200" w:firstLine="480"/>
        <w:rPr>
          <w:color w:val="000000"/>
          <w:sz w:val="24"/>
          <w:szCs w:val="24"/>
        </w:rPr>
      </w:pPr>
      <w:r>
        <w:rPr>
          <w:color w:val="000000"/>
          <w:sz w:val="24"/>
          <w:szCs w:val="24"/>
        </w:rPr>
        <w:t>4.</w:t>
      </w:r>
      <w:r>
        <w:rPr>
          <w:color w:val="000000"/>
          <w:sz w:val="24"/>
          <w:szCs w:val="24"/>
        </w:rPr>
        <w:t>《易方达基金管理有限公司开放式基金业务规则》；</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5.</w:t>
      </w:r>
      <w:r w:rsidRPr="006C56AA">
        <w:rPr>
          <w:color w:val="000000"/>
          <w:sz w:val="24"/>
          <w:szCs w:val="24"/>
        </w:rPr>
        <w:t>基金管理人业务资格批件、营业执照。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59761C">
      <w:rPr>
        <w:rStyle w:val="a7"/>
        <w:noProof/>
      </w:rPr>
      <w:t>1</w:t>
    </w:r>
    <w:r>
      <w:rPr>
        <w:rStyle w:val="a7"/>
      </w:rPr>
      <w:fldChar w:fldCharType="end"/>
    </w:r>
    <w:r>
      <w:rPr>
        <w:rStyle w:val="a7"/>
        <w:rFonts w:hint="eastAsia"/>
      </w:rPr>
      <w:t>页共</w:t>
    </w:r>
    <w:r w:rsidR="0059761C">
      <w:fldChar w:fldCharType="begin"/>
    </w:r>
    <w:r w:rsidR="0059761C">
      <w:instrText xml:space="preserve"> NUMPAGES  \* Arabic  \* MERGEFORMAT </w:instrText>
    </w:r>
    <w:r w:rsidR="0059761C">
      <w:fldChar w:fldCharType="separate"/>
    </w:r>
    <w:r w:rsidR="0059761C" w:rsidRPr="0059761C">
      <w:rPr>
        <w:rStyle w:val="a7"/>
        <w:noProof/>
      </w:rPr>
      <w:t>3</w:t>
    </w:r>
    <w:r w:rsidR="0059761C">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59761C">
      <w:rPr>
        <w:rStyle w:val="a7"/>
        <w:noProof/>
      </w:rPr>
      <w:t>12</w:t>
    </w:r>
    <w:r>
      <w:rPr>
        <w:rStyle w:val="a7"/>
      </w:rPr>
      <w:fldChar w:fldCharType="end"/>
    </w:r>
    <w:r>
      <w:rPr>
        <w:rStyle w:val="a7"/>
        <w:rFonts w:hint="eastAsia"/>
      </w:rPr>
      <w:t>页共</w:t>
    </w:r>
    <w:fldSimple w:instr=" NUMPAGES  \* Arabic  \* MERGEFORMAT ">
      <w:r w:rsidR="0059761C" w:rsidRPr="0059761C">
        <w:rPr>
          <w:rStyle w:val="a7"/>
          <w:noProof/>
        </w:rPr>
        <w:t>12</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易方达科融混合型证券投资基金</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270DD"/>
    <w:rsid w:val="00133843"/>
    <w:rsid w:val="00137452"/>
    <w:rsid w:val="00142CAF"/>
    <w:rsid w:val="00144F93"/>
    <w:rsid w:val="00147376"/>
    <w:rsid w:val="00150E7E"/>
    <w:rsid w:val="00154BE1"/>
    <w:rsid w:val="00154C17"/>
    <w:rsid w:val="00160EDC"/>
    <w:rsid w:val="0016180A"/>
    <w:rsid w:val="001675CD"/>
    <w:rsid w:val="00170435"/>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61C"/>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3843"/>
    <w:rsid w:val="0069426C"/>
    <w:rsid w:val="00694DFB"/>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7D16"/>
    <w:rsid w:val="00796CA8"/>
    <w:rsid w:val="00797305"/>
    <w:rsid w:val="007B035B"/>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3F40"/>
    <w:rsid w:val="00965CFB"/>
    <w:rsid w:val="0098122D"/>
    <w:rsid w:val="00986596"/>
    <w:rsid w:val="00990685"/>
    <w:rsid w:val="00991411"/>
    <w:rsid w:val="00992238"/>
    <w:rsid w:val="009A0ABE"/>
    <w:rsid w:val="009B2D4B"/>
    <w:rsid w:val="009B3243"/>
    <w:rsid w:val="009C4E99"/>
    <w:rsid w:val="009C5186"/>
    <w:rsid w:val="009C60F7"/>
    <w:rsid w:val="009D0952"/>
    <w:rsid w:val="009D54EA"/>
    <w:rsid w:val="009E285B"/>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6625"/>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21520"/>
    <w:rsid w:val="00C222B2"/>
    <w:rsid w:val="00C225FB"/>
    <w:rsid w:val="00C41870"/>
    <w:rsid w:val="00C46B88"/>
    <w:rsid w:val="00C5218C"/>
    <w:rsid w:val="00C52191"/>
    <w:rsid w:val="00C5642F"/>
    <w:rsid w:val="00C57A3E"/>
    <w:rsid w:val="00C63554"/>
    <w:rsid w:val="00C71497"/>
    <w:rsid w:val="00C72F5B"/>
    <w:rsid w:val="00C73619"/>
    <w:rsid w:val="00C73BCD"/>
    <w:rsid w:val="00C77AEF"/>
    <w:rsid w:val="00C77E37"/>
    <w:rsid w:val="00C86EB7"/>
    <w:rsid w:val="00C87129"/>
    <w:rsid w:val="00C91E1B"/>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7885"/>
    <w:rsid w:val="00D02347"/>
    <w:rsid w:val="00D04755"/>
    <w:rsid w:val="00D13737"/>
    <w:rsid w:val="00D15D27"/>
    <w:rsid w:val="00D1638E"/>
    <w:rsid w:val="00D21D10"/>
    <w:rsid w:val="00D21FFF"/>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D03DC"/>
    <w:rsid w:val="00DD5919"/>
    <w:rsid w:val="00DE27F7"/>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A4530-E9AB-4F9B-9D06-C5E9B66B7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3</Pages>
  <Words>970</Words>
  <Characters>5533</Characters>
  <Application>Microsoft Office Word</Application>
  <DocSecurity>0</DocSecurity>
  <Lines>46</Lines>
  <Paragraphs>12</Paragraphs>
  <ScaleCrop>false</ScaleCrop>
  <Company/>
  <LinksUpToDate>false</LinksUpToDate>
  <CharactersWithSpaces>6491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2019-10-16T13:55:00Z</cp:lastPrinted>
  <dcterms:created xsi:type="dcterms:W3CDTF">2012-10-16T06:07:00Z</dcterms:created>
  <dcterms:modified xsi:type="dcterms:W3CDTF">2019-10-16T13:55:00Z</dcterms:modified>
</cp:coreProperties>
</file>