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bookmarkStart w:id="0" w:name="_GoBack"/>
      <w:bookmarkEnd w:id="0"/>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F22F00">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易方达中证海外中国互联网50交易型开放式指数证券投资基金联接基金</w:t>
      </w: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2019年第3季度报告</w:t>
      </w:r>
    </w:p>
    <w:p w:rsidR="00397616" w:rsidRPr="008277FF" w:rsidRDefault="00623556" w:rsidP="00506D57">
      <w:pPr>
        <w:spacing w:line="360" w:lineRule="auto"/>
        <w:jc w:val="center"/>
        <w:rPr>
          <w:rFonts w:asciiTheme="minorEastAsia" w:eastAsiaTheme="minorEastAsia" w:hAnsiTheme="minorEastAsia"/>
          <w:b/>
          <w:color w:val="000000" w:themeColor="text1"/>
          <w:sz w:val="24"/>
        </w:rPr>
      </w:pPr>
      <w:r w:rsidRPr="008277FF">
        <w:rPr>
          <w:rFonts w:asciiTheme="minorEastAsia" w:eastAsiaTheme="minorEastAsia" w:hAnsiTheme="minorEastAsia"/>
          <w:b/>
          <w:color w:val="000000" w:themeColor="text1"/>
          <w:sz w:val="24"/>
        </w:rPr>
        <w:t>2019年9月30日</w:t>
      </w: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826B12">
      <w:pPr>
        <w:spacing w:line="288" w:lineRule="auto"/>
        <w:ind w:firstLineChars="900" w:firstLine="2168"/>
        <w:rPr>
          <w:rFonts w:asciiTheme="minorEastAsia" w:eastAsiaTheme="minorEastAsia" w:hAnsiTheme="minorEastAsia"/>
          <w:b/>
          <w:color w:val="000000" w:themeColor="text1"/>
          <w:sz w:val="24"/>
        </w:rPr>
      </w:pP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基金管理人：</w:t>
      </w:r>
      <w:r w:rsidRPr="008277FF">
        <w:rPr>
          <w:rFonts w:asciiTheme="minorEastAsia" w:eastAsiaTheme="minorEastAsia" w:hAnsiTheme="minorEastAsia"/>
          <w:b/>
          <w:color w:val="000000" w:themeColor="text1"/>
          <w:sz w:val="24"/>
        </w:rPr>
        <w:t>易方达基金管理有限公司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基金托管人：</w:t>
      </w:r>
      <w:r w:rsidRPr="008277FF">
        <w:rPr>
          <w:rFonts w:asciiTheme="minorEastAsia" w:eastAsiaTheme="minorEastAsia" w:hAnsiTheme="minorEastAsia"/>
          <w:b/>
          <w:color w:val="000000" w:themeColor="text1"/>
          <w:sz w:val="24"/>
        </w:rPr>
        <w:t>招商银行股份有限公司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sectPr w:rsidR="007D1292" w:rsidRPr="008277FF" w:rsidSect="00B918B8">
          <w:headerReference w:type="default" r:id="rId7"/>
          <w:footerReference w:type="default" r:id="rId8"/>
          <w:pgSz w:w="11926" w:h="15840"/>
          <w:pgMar w:top="1418" w:right="1418" w:bottom="851" w:left="1418" w:header="851" w:footer="992" w:gutter="0"/>
          <w:cols w:space="720"/>
          <w:noEndnote/>
        </w:sectPr>
      </w:pPr>
      <w:r w:rsidRPr="008277FF">
        <w:rPr>
          <w:rFonts w:asciiTheme="minorEastAsia" w:eastAsiaTheme="minorEastAsia" w:hAnsiTheme="minorEastAsia" w:hint="eastAsia"/>
          <w:b/>
          <w:color w:val="000000" w:themeColor="text1"/>
          <w:sz w:val="24"/>
        </w:rPr>
        <w:t>报告送出日期：</w:t>
      </w:r>
      <w:r w:rsidR="00CB44DE" w:rsidRPr="008277FF">
        <w:rPr>
          <w:rFonts w:asciiTheme="minorEastAsia" w:eastAsiaTheme="minorEastAsia" w:hAnsiTheme="minorEastAsia"/>
          <w:b/>
          <w:color w:val="000000" w:themeColor="text1"/>
          <w:sz w:val="24"/>
        </w:rPr>
        <w:t>二〇一九年十月二十四日</w:t>
      </w:r>
    </w:p>
    <w:p w:rsidR="0076518F" w:rsidRPr="00A67563" w:rsidRDefault="0076518F" w:rsidP="00CB3783">
      <w:pPr>
        <w:pStyle w:val="1"/>
        <w:spacing w:beforeLines="100" w:before="312" w:afterLines="100" w:after="312" w:line="360" w:lineRule="auto"/>
        <w:jc w:val="center"/>
        <w:rPr>
          <w:b w:val="0"/>
          <w:color w:val="000000" w:themeColor="text1"/>
          <w:kern w:val="0"/>
          <w:sz w:val="24"/>
          <w:szCs w:val="24"/>
        </w:rPr>
      </w:pPr>
      <w:r w:rsidRPr="00A67563">
        <w:rPr>
          <w:color w:val="000000" w:themeColor="text1"/>
          <w:kern w:val="0"/>
          <w:sz w:val="24"/>
          <w:szCs w:val="24"/>
        </w:rPr>
        <w:lastRenderedPageBreak/>
        <w:t xml:space="preserve">§1  </w:t>
      </w:r>
      <w:r w:rsidRPr="00A67563">
        <w:rPr>
          <w:color w:val="000000" w:themeColor="text1"/>
          <w:kern w:val="0"/>
          <w:sz w:val="24"/>
          <w:szCs w:val="24"/>
        </w:rPr>
        <w:t>重要提示</w:t>
      </w:r>
    </w:p>
    <w:p w:rsidR="00DB0A33" w:rsidRDefault="00C63BFE">
      <w:pPr>
        <w:spacing w:line="360" w:lineRule="auto"/>
        <w:ind w:firstLineChars="200" w:firstLine="480"/>
        <w:rPr>
          <w:color w:val="000000" w:themeColor="text1"/>
          <w:sz w:val="24"/>
        </w:rPr>
      </w:pPr>
      <w:r>
        <w:rPr>
          <w:color w:val="000000" w:themeColor="text1"/>
          <w:sz w:val="24"/>
        </w:rPr>
        <w:t>基金管理人的董事会及董事保证本报告所载资料不存在虚假记载、误导性陈述或重大遗漏，并对其内容的真实性、准确性和完整性承担个别及连带责任。</w:t>
      </w:r>
      <w:r>
        <w:rPr>
          <w:color w:val="000000" w:themeColor="text1"/>
          <w:sz w:val="24"/>
        </w:rPr>
        <w:t xml:space="preserve"> </w:t>
      </w:r>
    </w:p>
    <w:p w:rsidR="00DB0A33" w:rsidRDefault="00C63BFE">
      <w:pPr>
        <w:spacing w:line="360" w:lineRule="auto"/>
        <w:ind w:firstLineChars="200" w:firstLine="480"/>
        <w:rPr>
          <w:color w:val="000000" w:themeColor="text1"/>
          <w:sz w:val="24"/>
        </w:rPr>
      </w:pPr>
      <w:r>
        <w:rPr>
          <w:color w:val="000000" w:themeColor="text1"/>
          <w:sz w:val="24"/>
        </w:rPr>
        <w:t>基金托管人招商银行股份有限公司根据本基金合同规定，于</w:t>
      </w:r>
      <w:r>
        <w:rPr>
          <w:color w:val="000000" w:themeColor="text1"/>
          <w:sz w:val="24"/>
        </w:rPr>
        <w:t>2019</w:t>
      </w:r>
      <w:r>
        <w:rPr>
          <w:color w:val="000000" w:themeColor="text1"/>
          <w:sz w:val="24"/>
        </w:rPr>
        <w:t>年</w:t>
      </w:r>
      <w:r>
        <w:rPr>
          <w:color w:val="000000" w:themeColor="text1"/>
          <w:sz w:val="24"/>
        </w:rPr>
        <w:t>10</w:t>
      </w:r>
      <w:r>
        <w:rPr>
          <w:color w:val="000000" w:themeColor="text1"/>
          <w:sz w:val="24"/>
        </w:rPr>
        <w:t>月</w:t>
      </w:r>
      <w:r>
        <w:rPr>
          <w:color w:val="000000" w:themeColor="text1"/>
          <w:sz w:val="24"/>
        </w:rPr>
        <w:t>22</w:t>
      </w:r>
      <w:r>
        <w:rPr>
          <w:color w:val="000000" w:themeColor="text1"/>
          <w:sz w:val="24"/>
        </w:rPr>
        <w:t>日复核了本报告中的财务指标、净值表现和投资组合报告等内容，保证复核内容不存在虚假记载、误导性陈述或者重大遗漏。</w:t>
      </w:r>
      <w:r>
        <w:rPr>
          <w:color w:val="000000" w:themeColor="text1"/>
          <w:sz w:val="24"/>
        </w:rPr>
        <w:t xml:space="preserve"> </w:t>
      </w:r>
    </w:p>
    <w:p w:rsidR="00DB0A33" w:rsidRDefault="00C63BFE">
      <w:pPr>
        <w:spacing w:line="360" w:lineRule="auto"/>
        <w:ind w:firstLineChars="200" w:firstLine="480"/>
        <w:rPr>
          <w:color w:val="000000" w:themeColor="text1"/>
          <w:sz w:val="24"/>
        </w:rPr>
      </w:pPr>
      <w:r>
        <w:rPr>
          <w:color w:val="000000" w:themeColor="text1"/>
          <w:sz w:val="24"/>
        </w:rPr>
        <w:t>基金管理人承诺以诚实信用、勤勉尽责的原则管理和运用基金资产，但不保证基金一定盈利。</w:t>
      </w:r>
      <w:r>
        <w:rPr>
          <w:color w:val="000000" w:themeColor="text1"/>
          <w:sz w:val="24"/>
        </w:rPr>
        <w:t xml:space="preserve"> </w:t>
      </w:r>
    </w:p>
    <w:p w:rsidR="00DB0A33" w:rsidRDefault="00C63BFE">
      <w:pPr>
        <w:spacing w:line="360" w:lineRule="auto"/>
        <w:ind w:firstLineChars="200" w:firstLine="480"/>
        <w:rPr>
          <w:color w:val="000000" w:themeColor="text1"/>
          <w:sz w:val="24"/>
        </w:rPr>
      </w:pPr>
      <w:r>
        <w:rPr>
          <w:color w:val="000000" w:themeColor="text1"/>
          <w:sz w:val="24"/>
        </w:rPr>
        <w:t>基金</w:t>
      </w:r>
      <w:r>
        <w:rPr>
          <w:color w:val="000000" w:themeColor="text1"/>
          <w:sz w:val="24"/>
        </w:rPr>
        <w:t>的过往业绩并不代表其未来表现。投资有风险，投资者在作出投资决策前应仔细阅读本基金的招募说明书。</w:t>
      </w:r>
      <w:r>
        <w:rPr>
          <w:color w:val="000000" w:themeColor="text1"/>
          <w:sz w:val="24"/>
        </w:rPr>
        <w:t xml:space="preserve"> </w:t>
      </w:r>
    </w:p>
    <w:p w:rsidR="00DB0A33" w:rsidRDefault="00C63BFE">
      <w:pPr>
        <w:spacing w:line="360" w:lineRule="auto"/>
        <w:ind w:firstLineChars="200" w:firstLine="480"/>
        <w:rPr>
          <w:color w:val="000000" w:themeColor="text1"/>
          <w:sz w:val="24"/>
        </w:rPr>
      </w:pPr>
      <w:r>
        <w:rPr>
          <w:color w:val="000000" w:themeColor="text1"/>
          <w:sz w:val="24"/>
        </w:rPr>
        <w:t>本报告中财务资料未经审计。</w:t>
      </w:r>
    </w:p>
    <w:p w:rsidR="007D1292" w:rsidRPr="00A67563" w:rsidRDefault="007D1292" w:rsidP="006669C9">
      <w:pPr>
        <w:spacing w:line="360" w:lineRule="auto"/>
        <w:ind w:firstLineChars="200" w:firstLine="480"/>
        <w:rPr>
          <w:color w:val="000000" w:themeColor="text1"/>
          <w:sz w:val="24"/>
        </w:rPr>
      </w:pPr>
      <w:r w:rsidRPr="00A67563">
        <w:rPr>
          <w:color w:val="000000" w:themeColor="text1"/>
          <w:sz w:val="24"/>
        </w:rPr>
        <w:t>本报告期自</w:t>
      </w: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日起至</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日止。</w:t>
      </w:r>
    </w:p>
    <w:p w:rsidR="0076518F"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§2  </w:t>
      </w:r>
      <w:r w:rsidRPr="00A67563">
        <w:rPr>
          <w:color w:val="000000" w:themeColor="text1"/>
          <w:kern w:val="0"/>
          <w:sz w:val="24"/>
          <w:szCs w:val="24"/>
        </w:rPr>
        <w:t>基金产品概况</w:t>
      </w:r>
    </w:p>
    <w:p w:rsidR="00375147" w:rsidRPr="00D8134F" w:rsidRDefault="00375147" w:rsidP="00375147">
      <w:pPr>
        <w:autoSpaceDE w:val="0"/>
        <w:autoSpaceDN w:val="0"/>
        <w:adjustRightInd w:val="0"/>
        <w:spacing w:line="360" w:lineRule="auto"/>
        <w:jc w:val="left"/>
        <w:rPr>
          <w:rFonts w:ascii="宋体"/>
        </w:rPr>
      </w:pPr>
      <w:bookmarkStart w:id="1" w:name="_Toc245193810"/>
      <w:r w:rsidRPr="000B1C85">
        <w:rPr>
          <w:rFonts w:ascii="宋体" w:hAnsi="宋体" w:cs="Arial"/>
          <w:b/>
          <w:color w:val="000000"/>
          <w:kern w:val="0"/>
          <w:sz w:val="24"/>
        </w:rPr>
        <w:t>2.1</w:t>
      </w:r>
      <w:r w:rsidRPr="000B1C85">
        <w:rPr>
          <w:rFonts w:ascii="宋体" w:hAnsi="宋体" w:cs="Arial" w:hint="eastAsia"/>
          <w:b/>
          <w:color w:val="000000"/>
          <w:kern w:val="0"/>
          <w:sz w:val="24"/>
        </w:rPr>
        <w:t>基金产品概况</w:t>
      </w:r>
      <w:bookmarkEnd w:id="1"/>
    </w:p>
    <w:tbl>
      <w:tblPr>
        <w:tblW w:w="8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0"/>
        <w:gridCol w:w="2780"/>
        <w:gridCol w:w="2663"/>
      </w:tblGrid>
      <w:tr w:rsidR="008277FF" w:rsidRPr="00A67563" w:rsidTr="003376D5">
        <w:tc>
          <w:tcPr>
            <w:tcW w:w="2980" w:type="dxa"/>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基金简称</w:t>
            </w:r>
          </w:p>
        </w:tc>
        <w:tc>
          <w:tcPr>
            <w:tcW w:w="5443" w:type="dxa"/>
            <w:gridSpan w:val="2"/>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易方达中证海外中国互联网</w:t>
            </w:r>
            <w:r w:rsidRPr="00A67563">
              <w:rPr>
                <w:color w:val="000000" w:themeColor="text1"/>
                <w:kern w:val="0"/>
                <w:sz w:val="24"/>
              </w:rPr>
              <w:t>50ETF</w:t>
            </w:r>
            <w:r w:rsidRPr="00A67563">
              <w:rPr>
                <w:color w:val="000000" w:themeColor="text1"/>
                <w:kern w:val="0"/>
                <w:sz w:val="24"/>
              </w:rPr>
              <w:t>联接（</w:t>
            </w:r>
            <w:r w:rsidRPr="00A67563">
              <w:rPr>
                <w:color w:val="000000" w:themeColor="text1"/>
                <w:kern w:val="0"/>
                <w:sz w:val="24"/>
              </w:rPr>
              <w:t>QDII</w:t>
            </w:r>
            <w:r w:rsidRPr="00A67563">
              <w:rPr>
                <w:color w:val="000000" w:themeColor="text1"/>
                <w:kern w:val="0"/>
                <w:sz w:val="24"/>
              </w:rPr>
              <w:t>）</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基金主代码</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006327</w:t>
            </w:r>
          </w:p>
        </w:tc>
      </w:tr>
      <w:tr w:rsidR="008277FF" w:rsidRPr="00A67563" w:rsidTr="003376D5">
        <w:tc>
          <w:tcPr>
            <w:tcW w:w="2980" w:type="dxa"/>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交易代码</w:t>
            </w:r>
          </w:p>
        </w:tc>
        <w:tc>
          <w:tcPr>
            <w:tcW w:w="5443" w:type="dxa"/>
            <w:gridSpan w:val="2"/>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006327</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基金运作方式</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契约型开放式</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基金合同生效日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1</w:t>
            </w:r>
            <w:r w:rsidRPr="00A67563">
              <w:rPr>
                <w:color w:val="000000" w:themeColor="text1"/>
                <w:kern w:val="0"/>
                <w:sz w:val="24"/>
              </w:rPr>
              <w:t>月</w:t>
            </w:r>
            <w:r w:rsidRPr="00A67563">
              <w:rPr>
                <w:color w:val="000000" w:themeColor="text1"/>
                <w:kern w:val="0"/>
                <w:sz w:val="24"/>
              </w:rPr>
              <w:t>18</w:t>
            </w:r>
            <w:r w:rsidRPr="00A67563">
              <w:rPr>
                <w:color w:val="000000" w:themeColor="text1"/>
                <w:kern w:val="0"/>
                <w:sz w:val="24"/>
              </w:rPr>
              <w:t>日</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报告期末基金份额总额</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109,979,071.91</w:t>
            </w:r>
            <w:r w:rsidRPr="00A67563">
              <w:rPr>
                <w:color w:val="000000" w:themeColor="text1"/>
                <w:kern w:val="0"/>
                <w:sz w:val="24"/>
              </w:rPr>
              <w:t>份</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投资目标</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紧密跟踪业绩比较基准，追求跟踪偏离度及跟踪误差的最小化。</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投资策略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本基金力求紧密跟踪业绩比较基准，追求跟踪偏离度及跟踪误差的最小化。本基金资产主要投资于具有良好流动性的金融工具，包括目标</w:t>
            </w:r>
            <w:r w:rsidRPr="00A67563">
              <w:rPr>
                <w:color w:val="000000" w:themeColor="text1"/>
                <w:kern w:val="0"/>
                <w:sz w:val="24"/>
              </w:rPr>
              <w:t>ETF</w:t>
            </w:r>
            <w:r w:rsidRPr="00A67563">
              <w:rPr>
                <w:color w:val="000000" w:themeColor="text1"/>
                <w:kern w:val="0"/>
                <w:sz w:val="24"/>
              </w:rPr>
              <w:t>，已与中国证监会签署双边监管合作谅解备忘录的国家或</w:t>
            </w:r>
            <w:r w:rsidRPr="00A67563">
              <w:rPr>
                <w:color w:val="000000" w:themeColor="text1"/>
                <w:kern w:val="0"/>
                <w:sz w:val="24"/>
              </w:rPr>
              <w:lastRenderedPageBreak/>
              <w:t>地区证券监管机构登记注册的跟踪同一标的指数的公募基金，已与中国证监会签署双边监管合作谅解备忘录的国家或地区证券市场挂牌交易的标的指数成份股及备选成份股，经中国证监会认可的境外交易所上市交易的跟踪标的指数的股指期货等金融衍生品。在正常市场情况下，本基金力争净值增长率与业绩比较基准之间的日均跟踪偏离度不超过</w:t>
            </w:r>
            <w:r w:rsidRPr="00A67563">
              <w:rPr>
                <w:color w:val="000000" w:themeColor="text1"/>
                <w:kern w:val="0"/>
                <w:sz w:val="24"/>
              </w:rPr>
              <w:t>0.35%</w:t>
            </w:r>
            <w:r w:rsidRPr="00A67563">
              <w:rPr>
                <w:color w:val="000000" w:themeColor="text1"/>
                <w:kern w:val="0"/>
                <w:sz w:val="24"/>
              </w:rPr>
              <w:t>，年跟踪误差不超过</w:t>
            </w:r>
            <w:r w:rsidRPr="00A67563">
              <w:rPr>
                <w:color w:val="000000" w:themeColor="text1"/>
                <w:kern w:val="0"/>
                <w:sz w:val="24"/>
              </w:rPr>
              <w:t>4%</w:t>
            </w:r>
            <w:r w:rsidRPr="00A67563">
              <w:rPr>
                <w:color w:val="000000" w:themeColor="text1"/>
                <w:kern w:val="0"/>
                <w:sz w:val="24"/>
              </w:rPr>
              <w:t>。如因指数编制规则调整或其他因素导致跟踪偏离度和跟踪误差超过上述范围，基金管理人应采取合理措施避免跟踪偏离度、跟踪误差进一步扩大。为实现投资目标，本基金将以不低于基金资产净值</w:t>
            </w:r>
            <w:r w:rsidRPr="00A67563">
              <w:rPr>
                <w:color w:val="000000" w:themeColor="text1"/>
                <w:kern w:val="0"/>
                <w:sz w:val="24"/>
              </w:rPr>
              <w:t>90%</w:t>
            </w:r>
            <w:r w:rsidRPr="00A67563">
              <w:rPr>
                <w:color w:val="000000" w:themeColor="text1"/>
                <w:kern w:val="0"/>
                <w:sz w:val="24"/>
              </w:rPr>
              <w:t>的资产投资于目标</w:t>
            </w:r>
            <w:r w:rsidRPr="00A67563">
              <w:rPr>
                <w:color w:val="000000" w:themeColor="text1"/>
                <w:kern w:val="0"/>
                <w:sz w:val="24"/>
              </w:rPr>
              <w:t>ETF</w:t>
            </w:r>
            <w:r w:rsidRPr="00A67563">
              <w:rPr>
                <w:color w:val="000000" w:themeColor="text1"/>
                <w:kern w:val="0"/>
                <w:sz w:val="24"/>
              </w:rPr>
              <w:t>。为更好地实现投资目标，本基金可少量投资于非成份股、债券、资产支持证券、债券回购、银行存款、货币市场工具、权证、股指期货以及经中国证监会允许基金投资的其他金融工具，但需符合中国证监会的相关规定。</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lastRenderedPageBreak/>
              <w:t>业绩比较基准</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中证海外中国互联网</w:t>
            </w:r>
            <w:r w:rsidRPr="00A67563">
              <w:rPr>
                <w:color w:val="000000" w:themeColor="text1"/>
                <w:kern w:val="0"/>
                <w:sz w:val="24"/>
              </w:rPr>
              <w:t>50</w:t>
            </w:r>
            <w:r w:rsidRPr="00A67563">
              <w:rPr>
                <w:color w:val="000000" w:themeColor="text1"/>
                <w:kern w:val="0"/>
                <w:sz w:val="24"/>
              </w:rPr>
              <w:t>指数收益率</w:t>
            </w:r>
            <w:r w:rsidRPr="00A67563">
              <w:rPr>
                <w:color w:val="000000" w:themeColor="text1"/>
                <w:kern w:val="0"/>
                <w:sz w:val="24"/>
              </w:rPr>
              <w:t>×95%+</w:t>
            </w:r>
            <w:r w:rsidRPr="00A67563">
              <w:rPr>
                <w:color w:val="000000" w:themeColor="text1"/>
                <w:kern w:val="0"/>
                <w:sz w:val="24"/>
              </w:rPr>
              <w:t>活期存款利率</w:t>
            </w:r>
            <w:r w:rsidRPr="00A67563">
              <w:rPr>
                <w:color w:val="000000" w:themeColor="text1"/>
                <w:kern w:val="0"/>
                <w:sz w:val="24"/>
              </w:rPr>
              <w:t>(</w:t>
            </w:r>
            <w:r w:rsidRPr="00A67563">
              <w:rPr>
                <w:color w:val="000000" w:themeColor="text1"/>
                <w:kern w:val="0"/>
                <w:sz w:val="24"/>
              </w:rPr>
              <w:t>税后</w:t>
            </w:r>
            <w:r w:rsidRPr="00A67563">
              <w:rPr>
                <w:color w:val="000000" w:themeColor="text1"/>
                <w:kern w:val="0"/>
                <w:sz w:val="24"/>
              </w:rPr>
              <w:t>) ×5%</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风险收益特征</w:t>
            </w:r>
          </w:p>
        </w:tc>
        <w:tc>
          <w:tcPr>
            <w:tcW w:w="5443" w:type="dxa"/>
            <w:gridSpan w:val="2"/>
            <w:vAlign w:val="center"/>
          </w:tcPr>
          <w:p w:rsidR="00DB0A33" w:rsidRDefault="00C63BFE">
            <w:pPr>
              <w:adjustRightInd w:val="0"/>
              <w:spacing w:before="29" w:line="360" w:lineRule="auto"/>
              <w:ind w:left="17"/>
              <w:rPr>
                <w:color w:val="000000" w:themeColor="text1"/>
                <w:sz w:val="24"/>
              </w:rPr>
            </w:pPr>
            <w:r>
              <w:rPr>
                <w:color w:val="000000" w:themeColor="text1"/>
                <w:kern w:val="0"/>
                <w:sz w:val="24"/>
              </w:rPr>
              <w:t>本基金是</w:t>
            </w:r>
            <w:r>
              <w:rPr>
                <w:color w:val="000000" w:themeColor="text1"/>
                <w:kern w:val="0"/>
                <w:sz w:val="24"/>
              </w:rPr>
              <w:t>ETF</w:t>
            </w:r>
            <w:r>
              <w:rPr>
                <w:color w:val="000000" w:themeColor="text1"/>
                <w:kern w:val="0"/>
                <w:sz w:val="24"/>
              </w:rPr>
              <w:t>联接基金，预期风险与收益水平高于混合型基金、债券基金和货币市场基金。</w:t>
            </w:r>
          </w:p>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本基金主要通过投资于易方达中证海外中国互联网</w:t>
            </w:r>
            <w:r w:rsidRPr="00A67563">
              <w:rPr>
                <w:color w:val="000000" w:themeColor="text1"/>
                <w:kern w:val="0"/>
                <w:sz w:val="24"/>
              </w:rPr>
              <w:t>50</w:t>
            </w:r>
            <w:r w:rsidRPr="00A67563">
              <w:rPr>
                <w:color w:val="000000" w:themeColor="text1"/>
                <w:kern w:val="0"/>
                <w:sz w:val="24"/>
              </w:rPr>
              <w:t>指数</w:t>
            </w:r>
            <w:r w:rsidRPr="00A67563">
              <w:rPr>
                <w:color w:val="000000" w:themeColor="text1"/>
                <w:kern w:val="0"/>
                <w:sz w:val="24"/>
              </w:rPr>
              <w:t>ETF</w:t>
            </w:r>
            <w:r w:rsidRPr="00A67563">
              <w:rPr>
                <w:color w:val="000000" w:themeColor="text1"/>
                <w:kern w:val="0"/>
                <w:sz w:val="24"/>
              </w:rPr>
              <w:t>实现对业绩比较基准的紧密跟踪。因此，本基金的业绩表现与中证海外中国互联网</w:t>
            </w:r>
            <w:r w:rsidRPr="00A67563">
              <w:rPr>
                <w:color w:val="000000" w:themeColor="text1"/>
                <w:kern w:val="0"/>
                <w:sz w:val="24"/>
              </w:rPr>
              <w:t>50</w:t>
            </w:r>
            <w:r w:rsidRPr="00A67563">
              <w:rPr>
                <w:color w:val="000000" w:themeColor="text1"/>
                <w:kern w:val="0"/>
                <w:sz w:val="24"/>
              </w:rPr>
              <w:t>指数的表现密切相关。此外，本基金为境外股票指数基金，需承担汇率风险以及境外市场的风险。</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基金管理人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易方达基金管理有限公司</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基金托管人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招商银行股份有限公司</w:t>
            </w:r>
          </w:p>
        </w:tc>
      </w:tr>
      <w:tr w:rsidR="005F58F9" w:rsidRPr="00A67563" w:rsidTr="003376D5">
        <w:tc>
          <w:tcPr>
            <w:tcW w:w="2980" w:type="dxa"/>
            <w:vMerge w:val="restart"/>
            <w:vAlign w:val="center"/>
          </w:tcPr>
          <w:p w:rsidR="005F58F9" w:rsidRPr="00A67563" w:rsidRDefault="005F58F9" w:rsidP="005F58F9">
            <w:pPr>
              <w:adjustRightInd w:val="0"/>
              <w:spacing w:before="29" w:line="360" w:lineRule="auto"/>
              <w:ind w:left="17"/>
              <w:rPr>
                <w:color w:val="000000" w:themeColor="text1"/>
                <w:kern w:val="0"/>
                <w:sz w:val="24"/>
              </w:rPr>
            </w:pPr>
            <w:r w:rsidRPr="00A67563">
              <w:rPr>
                <w:color w:val="000000" w:themeColor="text1"/>
                <w:kern w:val="0"/>
                <w:sz w:val="24"/>
              </w:rPr>
              <w:t>境外投资顾问</w:t>
            </w:r>
          </w:p>
        </w:tc>
        <w:tc>
          <w:tcPr>
            <w:tcW w:w="5443" w:type="dxa"/>
            <w:gridSpan w:val="2"/>
            <w:vAlign w:val="center"/>
          </w:tcPr>
          <w:p w:rsidR="005F58F9" w:rsidRPr="00A67563" w:rsidRDefault="005F58F9" w:rsidP="00DE63B3">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Pr>
                <w:rFonts w:hint="eastAsia"/>
                <w:color w:val="000000" w:themeColor="text1"/>
                <w:kern w:val="0"/>
                <w:sz w:val="24"/>
              </w:rPr>
              <w:t>：</w:t>
            </w:r>
            <w:r w:rsidRPr="00A67563">
              <w:rPr>
                <w:color w:val="000000" w:themeColor="text1"/>
                <w:kern w:val="0"/>
                <w:sz w:val="24"/>
              </w:rPr>
              <w:t>无</w:t>
            </w:r>
          </w:p>
        </w:tc>
      </w:tr>
      <w:tr w:rsidR="005F58F9" w:rsidRPr="00A67563" w:rsidTr="003376D5">
        <w:tc>
          <w:tcPr>
            <w:tcW w:w="2980" w:type="dxa"/>
            <w:vMerge/>
            <w:vAlign w:val="center"/>
          </w:tcPr>
          <w:p w:rsidR="005F58F9" w:rsidRPr="00A67563" w:rsidRDefault="005F58F9" w:rsidP="005F58F9">
            <w:pPr>
              <w:adjustRightInd w:val="0"/>
              <w:spacing w:before="29" w:line="360" w:lineRule="auto"/>
              <w:ind w:left="17"/>
              <w:rPr>
                <w:color w:val="000000" w:themeColor="text1"/>
                <w:kern w:val="0"/>
                <w:sz w:val="24"/>
              </w:rPr>
            </w:pPr>
          </w:p>
        </w:tc>
        <w:tc>
          <w:tcPr>
            <w:tcW w:w="5443" w:type="dxa"/>
            <w:gridSpan w:val="2"/>
            <w:vAlign w:val="center"/>
          </w:tcPr>
          <w:p w:rsidR="005F58F9" w:rsidRPr="00A67563" w:rsidRDefault="005F58F9" w:rsidP="00DE63B3">
            <w:pPr>
              <w:adjustRightInd w:val="0"/>
              <w:spacing w:before="29" w:line="360" w:lineRule="auto"/>
              <w:ind w:left="17"/>
              <w:jc w:val="left"/>
              <w:rPr>
                <w:color w:val="000000" w:themeColor="text1"/>
                <w:kern w:val="0"/>
                <w:sz w:val="24"/>
              </w:rPr>
            </w:pPr>
            <w:r w:rsidRPr="00A67563">
              <w:rPr>
                <w:color w:val="000000" w:themeColor="text1"/>
                <w:kern w:val="0"/>
                <w:sz w:val="24"/>
              </w:rPr>
              <w:t>中文名称</w:t>
            </w:r>
            <w:r>
              <w:rPr>
                <w:rFonts w:hint="eastAsia"/>
                <w:color w:val="000000" w:themeColor="text1"/>
                <w:kern w:val="0"/>
                <w:sz w:val="24"/>
              </w:rPr>
              <w:t>：</w:t>
            </w:r>
            <w:r w:rsidRPr="00A67563">
              <w:rPr>
                <w:color w:val="000000" w:themeColor="text1"/>
                <w:kern w:val="0"/>
                <w:sz w:val="24"/>
              </w:rPr>
              <w:t>无</w:t>
            </w:r>
          </w:p>
        </w:tc>
      </w:tr>
      <w:tr w:rsidR="005F58F9" w:rsidRPr="00A67563" w:rsidTr="0031104D">
        <w:tc>
          <w:tcPr>
            <w:tcW w:w="2980" w:type="dxa"/>
            <w:vMerge w:val="restart"/>
            <w:vAlign w:val="center"/>
          </w:tcPr>
          <w:p w:rsidR="005F58F9" w:rsidRPr="00A67563" w:rsidRDefault="005F58F9" w:rsidP="005F58F9">
            <w:pPr>
              <w:adjustRightInd w:val="0"/>
              <w:spacing w:before="29" w:line="360" w:lineRule="auto"/>
              <w:ind w:left="17"/>
              <w:rPr>
                <w:color w:val="000000" w:themeColor="text1"/>
                <w:kern w:val="0"/>
                <w:sz w:val="24"/>
              </w:rPr>
            </w:pPr>
            <w:r w:rsidRPr="00A67563">
              <w:rPr>
                <w:color w:val="000000" w:themeColor="text1"/>
                <w:kern w:val="0"/>
                <w:sz w:val="24"/>
              </w:rPr>
              <w:t>境外资产托管人</w:t>
            </w:r>
          </w:p>
        </w:tc>
        <w:tc>
          <w:tcPr>
            <w:tcW w:w="5443" w:type="dxa"/>
            <w:gridSpan w:val="2"/>
            <w:vAlign w:val="center"/>
          </w:tcPr>
          <w:p w:rsidR="005F58F9" w:rsidRPr="00A67563" w:rsidRDefault="005F58F9" w:rsidP="00DE63B3">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Pr>
                <w:rFonts w:hint="eastAsia"/>
                <w:color w:val="000000" w:themeColor="text1"/>
                <w:kern w:val="0"/>
                <w:sz w:val="24"/>
              </w:rPr>
              <w:t>：</w:t>
            </w:r>
            <w:r w:rsidRPr="00A67563">
              <w:rPr>
                <w:color w:val="000000" w:themeColor="text1"/>
                <w:kern w:val="0"/>
                <w:sz w:val="24"/>
              </w:rPr>
              <w:t>The Hongkong and Shanghai Banking Corporation Limited</w:t>
            </w:r>
          </w:p>
        </w:tc>
      </w:tr>
      <w:tr w:rsidR="005F58F9" w:rsidRPr="00A67563" w:rsidTr="0031104D">
        <w:tc>
          <w:tcPr>
            <w:tcW w:w="2980" w:type="dxa"/>
            <w:vMerge/>
            <w:vAlign w:val="center"/>
          </w:tcPr>
          <w:p w:rsidR="005F58F9" w:rsidRPr="00A67563" w:rsidRDefault="005F58F9" w:rsidP="005F58F9">
            <w:pPr>
              <w:adjustRightInd w:val="0"/>
              <w:spacing w:before="29" w:line="360" w:lineRule="auto"/>
              <w:rPr>
                <w:color w:val="000000" w:themeColor="text1"/>
                <w:kern w:val="0"/>
                <w:sz w:val="24"/>
              </w:rPr>
            </w:pPr>
          </w:p>
        </w:tc>
        <w:tc>
          <w:tcPr>
            <w:tcW w:w="5443" w:type="dxa"/>
            <w:gridSpan w:val="2"/>
            <w:vAlign w:val="center"/>
          </w:tcPr>
          <w:p w:rsidR="005F58F9" w:rsidRPr="00A67563" w:rsidRDefault="005F58F9" w:rsidP="00DE63B3">
            <w:pPr>
              <w:adjustRightInd w:val="0"/>
              <w:spacing w:before="29" w:line="360" w:lineRule="auto"/>
              <w:ind w:left="17"/>
              <w:jc w:val="left"/>
              <w:rPr>
                <w:color w:val="000000" w:themeColor="text1"/>
                <w:kern w:val="0"/>
                <w:sz w:val="24"/>
              </w:rPr>
            </w:pPr>
            <w:r w:rsidRPr="00A67563">
              <w:rPr>
                <w:color w:val="000000" w:themeColor="text1"/>
                <w:kern w:val="0"/>
                <w:sz w:val="24"/>
              </w:rPr>
              <w:t>中文名称</w:t>
            </w:r>
            <w:r>
              <w:rPr>
                <w:rFonts w:hint="eastAsia"/>
                <w:color w:val="000000" w:themeColor="text1"/>
                <w:kern w:val="0"/>
                <w:sz w:val="24"/>
              </w:rPr>
              <w:t>：</w:t>
            </w:r>
            <w:r w:rsidRPr="00A67563">
              <w:rPr>
                <w:color w:val="000000" w:themeColor="text1"/>
                <w:kern w:val="0"/>
                <w:sz w:val="24"/>
              </w:rPr>
              <w:t>香港上海汇丰银行有限公司</w:t>
            </w:r>
          </w:p>
        </w:tc>
      </w:tr>
      <w:tr w:rsidR="00070DD6" w:rsidRPr="00A67563" w:rsidTr="00845292">
        <w:tblPrEx>
          <w:tblLook w:val="0000" w:firstRow="0" w:lastRow="0" w:firstColumn="0" w:lastColumn="0" w:noHBand="0" w:noVBand="0"/>
        </w:tblPrEx>
        <w:trPr>
          <w:trHeight w:val="866"/>
        </w:trPr>
        <w:tc>
          <w:tcPr>
            <w:tcW w:w="2980" w:type="dxa"/>
          </w:tcPr>
          <w:p w:rsidR="00070DD6" w:rsidRPr="00A67563" w:rsidRDefault="00070DD6" w:rsidP="00845292">
            <w:pPr>
              <w:adjustRightInd w:val="0"/>
              <w:spacing w:before="29" w:line="360" w:lineRule="auto"/>
              <w:ind w:left="17"/>
              <w:jc w:val="left"/>
              <w:rPr>
                <w:color w:val="000000" w:themeColor="text1"/>
                <w:kern w:val="0"/>
                <w:sz w:val="24"/>
              </w:rPr>
            </w:pPr>
            <w:r w:rsidRPr="00A67563">
              <w:rPr>
                <w:color w:val="000000" w:themeColor="text1"/>
                <w:sz w:val="24"/>
              </w:rPr>
              <w:t>下属分级基金的基金简称</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070DD6" w:rsidRPr="00A67563" w:rsidTr="00845292">
        <w:tblPrEx>
          <w:tblLook w:val="0000" w:firstRow="0" w:lastRow="0" w:firstColumn="0" w:lastColumn="0" w:noHBand="0" w:noVBand="0"/>
        </w:tblPrEx>
        <w:trPr>
          <w:trHeight w:val="628"/>
        </w:trPr>
        <w:tc>
          <w:tcPr>
            <w:tcW w:w="2980" w:type="dxa"/>
          </w:tcPr>
          <w:p w:rsidR="00070DD6" w:rsidRPr="00A67563" w:rsidRDefault="00070DD6" w:rsidP="00845292">
            <w:pPr>
              <w:adjustRightInd w:val="0"/>
              <w:spacing w:before="29" w:line="360" w:lineRule="auto"/>
              <w:ind w:left="17"/>
              <w:jc w:val="left"/>
              <w:rPr>
                <w:color w:val="000000" w:themeColor="text1"/>
                <w:sz w:val="24"/>
              </w:rPr>
            </w:pPr>
            <w:r w:rsidRPr="00A67563">
              <w:rPr>
                <w:color w:val="000000" w:themeColor="text1"/>
                <w:sz w:val="24"/>
              </w:rPr>
              <w:t>下属分级基金的交易代码</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006327</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006328</w:t>
            </w:r>
          </w:p>
        </w:tc>
      </w:tr>
      <w:tr w:rsidR="00322A5E" w:rsidRPr="00A67563" w:rsidTr="0031104D">
        <w:tblPrEx>
          <w:tblLook w:val="0000" w:firstRow="0" w:lastRow="0" w:firstColumn="0" w:lastColumn="0" w:noHBand="0" w:noVBand="0"/>
        </w:tblPrEx>
        <w:trPr>
          <w:trHeight w:val="555"/>
        </w:trPr>
        <w:tc>
          <w:tcPr>
            <w:tcW w:w="2980" w:type="dxa"/>
            <w:vAlign w:val="center"/>
          </w:tcPr>
          <w:p w:rsidR="00322A5E" w:rsidRPr="00A67563" w:rsidRDefault="00322A5E" w:rsidP="00845292">
            <w:pPr>
              <w:adjustRightInd w:val="0"/>
              <w:spacing w:before="29" w:line="360" w:lineRule="auto"/>
              <w:ind w:left="17"/>
              <w:rPr>
                <w:color w:val="000000" w:themeColor="text1"/>
                <w:sz w:val="24"/>
              </w:rPr>
            </w:pPr>
            <w:r w:rsidRPr="00A67563">
              <w:rPr>
                <w:color w:val="000000" w:themeColor="text1"/>
                <w:sz w:val="24"/>
              </w:rPr>
              <w:t>报告期末下属分级基金的份额总额</w:t>
            </w:r>
          </w:p>
        </w:tc>
        <w:tc>
          <w:tcPr>
            <w:tcW w:w="2780" w:type="dxa"/>
            <w:vAlign w:val="center"/>
          </w:tcPr>
          <w:p w:rsidR="00322A5E" w:rsidRPr="00A67563" w:rsidRDefault="00322A5E" w:rsidP="00845292">
            <w:pPr>
              <w:rPr>
                <w:color w:val="000000" w:themeColor="text1"/>
                <w:sz w:val="24"/>
              </w:rPr>
            </w:pPr>
            <w:r w:rsidRPr="00A67563">
              <w:rPr>
                <w:color w:val="000000" w:themeColor="text1"/>
                <w:sz w:val="24"/>
              </w:rPr>
              <w:t>91,257,176.65</w:t>
            </w:r>
            <w:r w:rsidRPr="00A67563">
              <w:rPr>
                <w:color w:val="000000" w:themeColor="text1"/>
                <w:kern w:val="0"/>
                <w:sz w:val="24"/>
              </w:rPr>
              <w:t>份</w:t>
            </w:r>
          </w:p>
        </w:tc>
        <w:tc>
          <w:tcPr>
            <w:tcW w:w="2663" w:type="dxa"/>
            <w:vAlign w:val="center"/>
          </w:tcPr>
          <w:p w:rsidR="00322A5E" w:rsidRPr="00A67563" w:rsidRDefault="00322A5E" w:rsidP="00845292">
            <w:pPr>
              <w:rPr>
                <w:color w:val="000000" w:themeColor="text1"/>
                <w:sz w:val="24"/>
              </w:rPr>
            </w:pPr>
            <w:r w:rsidRPr="00A67563">
              <w:rPr>
                <w:color w:val="000000" w:themeColor="text1"/>
                <w:sz w:val="24"/>
              </w:rPr>
              <w:t>18,721,895.26</w:t>
            </w:r>
            <w:r w:rsidRPr="00A67563">
              <w:rPr>
                <w:color w:val="000000" w:themeColor="text1"/>
                <w:kern w:val="0"/>
                <w:sz w:val="24"/>
              </w:rPr>
              <w:t>份</w:t>
            </w:r>
          </w:p>
        </w:tc>
      </w:tr>
    </w:tbl>
    <w:p w:rsidR="00363E15"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注：易方达中证海外中国互联网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含</w:t>
      </w:r>
      <w:r w:rsidRPr="00A67563">
        <w:rPr>
          <w:color w:val="000000" w:themeColor="text1"/>
          <w:sz w:val="24"/>
        </w:rPr>
        <w:t>A</w:t>
      </w:r>
      <w:r w:rsidRPr="00A67563">
        <w:rPr>
          <w:color w:val="000000" w:themeColor="text1"/>
          <w:sz w:val="24"/>
        </w:rPr>
        <w:t>类人民币份额（份额代码：</w:t>
      </w:r>
      <w:r w:rsidRPr="00A67563">
        <w:rPr>
          <w:color w:val="000000" w:themeColor="text1"/>
          <w:sz w:val="24"/>
        </w:rPr>
        <w:t>006327</w:t>
      </w:r>
      <w:r w:rsidRPr="00A67563">
        <w:rPr>
          <w:color w:val="000000" w:themeColor="text1"/>
          <w:sz w:val="24"/>
        </w:rPr>
        <w:t>）及</w:t>
      </w:r>
      <w:r w:rsidRPr="00A67563">
        <w:rPr>
          <w:color w:val="000000" w:themeColor="text1"/>
          <w:sz w:val="24"/>
        </w:rPr>
        <w:t>A</w:t>
      </w:r>
      <w:r w:rsidRPr="00A67563">
        <w:rPr>
          <w:color w:val="000000" w:themeColor="text1"/>
          <w:sz w:val="24"/>
        </w:rPr>
        <w:t>类美元现汇份额（份额代码：</w:t>
      </w:r>
      <w:r w:rsidRPr="00A67563">
        <w:rPr>
          <w:color w:val="000000" w:themeColor="text1"/>
          <w:sz w:val="24"/>
        </w:rPr>
        <w:t>006329</w:t>
      </w:r>
      <w:r w:rsidRPr="00A67563">
        <w:rPr>
          <w:color w:val="000000" w:themeColor="text1"/>
          <w:sz w:val="24"/>
        </w:rPr>
        <w:t>），交易代码仅列示</w:t>
      </w:r>
      <w:r w:rsidRPr="00A67563">
        <w:rPr>
          <w:color w:val="000000" w:themeColor="text1"/>
          <w:sz w:val="24"/>
        </w:rPr>
        <w:t>A</w:t>
      </w:r>
      <w:r w:rsidRPr="00A67563">
        <w:rPr>
          <w:color w:val="000000" w:themeColor="text1"/>
          <w:sz w:val="24"/>
        </w:rPr>
        <w:t>类人民币份额代码；易方达中证海外中国互联网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含</w:t>
      </w:r>
      <w:r w:rsidRPr="00A67563">
        <w:rPr>
          <w:color w:val="000000" w:themeColor="text1"/>
          <w:sz w:val="24"/>
        </w:rPr>
        <w:t>C</w:t>
      </w:r>
      <w:r w:rsidRPr="00A67563">
        <w:rPr>
          <w:color w:val="000000" w:themeColor="text1"/>
          <w:sz w:val="24"/>
        </w:rPr>
        <w:t>类人民币份额（份额代码：</w:t>
      </w:r>
      <w:r w:rsidRPr="00A67563">
        <w:rPr>
          <w:color w:val="000000" w:themeColor="text1"/>
          <w:sz w:val="24"/>
        </w:rPr>
        <w:t>006328</w:t>
      </w:r>
      <w:r w:rsidRPr="00A67563">
        <w:rPr>
          <w:color w:val="000000" w:themeColor="text1"/>
          <w:sz w:val="24"/>
        </w:rPr>
        <w:t>）及</w:t>
      </w:r>
      <w:r w:rsidRPr="00A67563">
        <w:rPr>
          <w:color w:val="000000" w:themeColor="text1"/>
          <w:sz w:val="24"/>
        </w:rPr>
        <w:t>C</w:t>
      </w:r>
      <w:r w:rsidRPr="00A67563">
        <w:rPr>
          <w:color w:val="000000" w:themeColor="text1"/>
          <w:sz w:val="24"/>
        </w:rPr>
        <w:t>类美元现汇份额（份额代码：</w:t>
      </w:r>
      <w:r w:rsidRPr="00A67563">
        <w:rPr>
          <w:color w:val="000000" w:themeColor="text1"/>
          <w:sz w:val="24"/>
        </w:rPr>
        <w:t>006330</w:t>
      </w:r>
      <w:r w:rsidRPr="00A67563">
        <w:rPr>
          <w:color w:val="000000" w:themeColor="text1"/>
          <w:sz w:val="24"/>
        </w:rPr>
        <w:t>），交易代码仅列示</w:t>
      </w:r>
      <w:r w:rsidRPr="00A67563">
        <w:rPr>
          <w:color w:val="000000" w:themeColor="text1"/>
          <w:sz w:val="24"/>
        </w:rPr>
        <w:t>C</w:t>
      </w:r>
      <w:r w:rsidRPr="00A67563">
        <w:rPr>
          <w:color w:val="000000" w:themeColor="text1"/>
          <w:sz w:val="24"/>
        </w:rPr>
        <w:t>类人民币份额代码。</w:t>
      </w:r>
    </w:p>
    <w:p w:rsidR="00375147" w:rsidRPr="000B1C85" w:rsidRDefault="00375147" w:rsidP="00375147">
      <w:pPr>
        <w:autoSpaceDE w:val="0"/>
        <w:autoSpaceDN w:val="0"/>
        <w:adjustRightInd w:val="0"/>
        <w:spacing w:line="360" w:lineRule="auto"/>
        <w:jc w:val="left"/>
        <w:rPr>
          <w:rFonts w:ascii="宋体" w:hAnsi="宋体" w:cs="Arial"/>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0B1C85">
          <w:rPr>
            <w:rFonts w:ascii="宋体" w:hAnsi="宋体" w:cs="Arial"/>
            <w:b/>
            <w:color w:val="000000"/>
            <w:kern w:val="0"/>
            <w:sz w:val="24"/>
          </w:rPr>
          <w:t>2.1.1</w:t>
        </w:r>
      </w:smartTag>
      <w:r w:rsidRPr="000B1C85">
        <w:rPr>
          <w:rFonts w:ascii="宋体" w:hAnsi="宋体" w:cs="Arial" w:hint="eastAsia"/>
          <w:b/>
          <w:color w:val="000000"/>
          <w:kern w:val="0"/>
          <w:sz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易方达中证海外中国互联网</w:t>
            </w:r>
            <w:r w:rsidRPr="008043C8">
              <w:rPr>
                <w:sz w:val="24"/>
              </w:rPr>
              <w:t>50</w:t>
            </w:r>
            <w:r w:rsidRPr="008043C8">
              <w:rPr>
                <w:sz w:val="24"/>
              </w:rPr>
              <w:t>交易型开放式指数证券投资基金</w:t>
            </w:r>
            <w:r w:rsidRPr="008043C8">
              <w:rPr>
                <w:sz w:val="24"/>
              </w:rPr>
              <w:t xml:space="preserve"> </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513050</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交易型开放式（</w:t>
            </w:r>
            <w:r w:rsidRPr="008043C8">
              <w:rPr>
                <w:sz w:val="24"/>
              </w:rPr>
              <w:t>ETF</w:t>
            </w:r>
            <w:r w:rsidRPr="008043C8">
              <w:rPr>
                <w:sz w:val="24"/>
              </w:rPr>
              <w:t>）</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2017</w:t>
            </w:r>
            <w:r w:rsidRPr="008043C8">
              <w:rPr>
                <w:sz w:val="24"/>
              </w:rPr>
              <w:t>年</w:t>
            </w:r>
            <w:r w:rsidRPr="008043C8">
              <w:rPr>
                <w:sz w:val="24"/>
              </w:rPr>
              <w:t>1</w:t>
            </w:r>
            <w:r w:rsidRPr="008043C8">
              <w:rPr>
                <w:sz w:val="24"/>
              </w:rPr>
              <w:t>月</w:t>
            </w:r>
            <w:r w:rsidRPr="008043C8">
              <w:rPr>
                <w:sz w:val="24"/>
              </w:rPr>
              <w:t>4</w:t>
            </w:r>
            <w:r w:rsidRPr="008043C8">
              <w:rPr>
                <w:sz w:val="24"/>
              </w:rPr>
              <w:t>日</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上海证券交易所</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2017</w:t>
            </w:r>
            <w:r w:rsidRPr="008043C8">
              <w:rPr>
                <w:sz w:val="24"/>
              </w:rPr>
              <w:t>年</w:t>
            </w:r>
            <w:r w:rsidRPr="008043C8">
              <w:rPr>
                <w:sz w:val="24"/>
              </w:rPr>
              <w:t>1</w:t>
            </w:r>
            <w:r w:rsidRPr="008043C8">
              <w:rPr>
                <w:sz w:val="24"/>
              </w:rPr>
              <w:t>月</w:t>
            </w:r>
            <w:r w:rsidRPr="008043C8">
              <w:rPr>
                <w:sz w:val="24"/>
              </w:rPr>
              <w:t>18</w:t>
            </w:r>
            <w:r w:rsidRPr="008043C8">
              <w:rPr>
                <w:sz w:val="24"/>
              </w:rPr>
              <w:t>日</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易方达基金管理有限公司</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招商银行股份有限公司</w:t>
            </w:r>
          </w:p>
        </w:tc>
      </w:tr>
    </w:tbl>
    <w:p w:rsidR="00375147" w:rsidRPr="000B1C85" w:rsidRDefault="00375147" w:rsidP="00375147">
      <w:pPr>
        <w:autoSpaceDE w:val="0"/>
        <w:autoSpaceDN w:val="0"/>
        <w:adjustRightInd w:val="0"/>
        <w:spacing w:line="360" w:lineRule="auto"/>
        <w:jc w:val="left"/>
        <w:rPr>
          <w:rFonts w:ascii="宋体" w:hAnsi="宋体" w:cs="Arial"/>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0B1C85">
          <w:rPr>
            <w:rFonts w:ascii="宋体" w:hAnsi="宋体" w:cs="Arial"/>
            <w:b/>
            <w:color w:val="000000"/>
            <w:kern w:val="0"/>
            <w:sz w:val="24"/>
          </w:rPr>
          <w:t>2.1.2</w:t>
        </w:r>
      </w:smartTag>
      <w:r w:rsidRPr="000B1C85">
        <w:rPr>
          <w:rFonts w:ascii="宋体" w:hAnsi="宋体" w:cs="Arial" w:hint="eastAsia"/>
          <w:b/>
          <w:color w:val="000000"/>
          <w:kern w:val="0"/>
          <w:sz w:val="24"/>
        </w:rPr>
        <w:t>目标基金产品说明</w:t>
      </w:r>
    </w:p>
    <w:tbl>
      <w:tblPr>
        <w:tblW w:w="8460" w:type="dxa"/>
        <w:tblInd w:w="108" w:type="dxa"/>
        <w:tblLook w:val="0000" w:firstRow="0" w:lastRow="0" w:firstColumn="0" w:lastColumn="0" w:noHBand="0" w:noVBand="0"/>
      </w:tblPr>
      <w:tblGrid>
        <w:gridCol w:w="2820"/>
        <w:gridCol w:w="5640"/>
      </w:tblGrid>
      <w:tr w:rsidR="00375147" w:rsidRPr="00E85E29" w:rsidTr="000E1CD8">
        <w:tc>
          <w:tcPr>
            <w:tcW w:w="282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紧密跟踪标的指数，追求跟踪偏离度及跟踪误差的最小化。</w:t>
            </w:r>
          </w:p>
        </w:tc>
      </w:tr>
      <w:tr w:rsidR="00375147" w:rsidRPr="00E85E29" w:rsidTr="000E1CD8">
        <w:tc>
          <w:tcPr>
            <w:tcW w:w="282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作为追踪中证海外中国互联网</w:t>
            </w:r>
            <w:r w:rsidRPr="008043C8">
              <w:rPr>
                <w:sz w:val="24"/>
              </w:rPr>
              <w:t>50</w:t>
            </w:r>
            <w:r w:rsidRPr="008043C8">
              <w:rPr>
                <w:sz w:val="24"/>
              </w:rPr>
              <w:t>指数的被动式海外指数基金，本基金主要采取组合复制策略和适当的替代性策略实现对标的指数的紧密跟踪。</w:t>
            </w:r>
          </w:p>
        </w:tc>
      </w:tr>
      <w:tr w:rsidR="00375147" w:rsidRPr="00E85E29" w:rsidTr="000E1CD8">
        <w:tc>
          <w:tcPr>
            <w:tcW w:w="282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中证海外中国互联网</w:t>
            </w:r>
            <w:r w:rsidRPr="008043C8">
              <w:rPr>
                <w:sz w:val="24"/>
              </w:rPr>
              <w:t>50</w:t>
            </w:r>
            <w:r w:rsidRPr="008043C8">
              <w:rPr>
                <w:sz w:val="24"/>
              </w:rPr>
              <w:t>指数</w:t>
            </w:r>
          </w:p>
        </w:tc>
      </w:tr>
      <w:tr w:rsidR="00375147" w:rsidRPr="00E85E29" w:rsidTr="000E1CD8">
        <w:tc>
          <w:tcPr>
            <w:tcW w:w="282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本基金属股票指数基金，预期风险与收益水平高于混合基金、债券基金与货币市场基金。本基金主要采用完全复制法跟踪标的指数的表现，具有与标的指数相似的风险收益特征。</w:t>
            </w:r>
          </w:p>
        </w:tc>
      </w:tr>
    </w:tbl>
    <w:p w:rsidR="0076518F" w:rsidRPr="00A67563"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§3  </w:t>
      </w:r>
      <w:r w:rsidRPr="00A67563">
        <w:rPr>
          <w:color w:val="000000" w:themeColor="text1"/>
          <w:kern w:val="0"/>
          <w:sz w:val="24"/>
          <w:szCs w:val="24"/>
        </w:rPr>
        <w:t>主要财务指标和基金净值表现</w:t>
      </w:r>
    </w:p>
    <w:p w:rsidR="0076518F" w:rsidRPr="00A67563" w:rsidRDefault="0076518F" w:rsidP="00506D57">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3.1 </w:t>
      </w:r>
      <w:r w:rsidRPr="00A67563">
        <w:rPr>
          <w:b/>
          <w:color w:val="000000" w:themeColor="text1"/>
          <w:kern w:val="0"/>
          <w:sz w:val="24"/>
        </w:rPr>
        <w:t>主要财务指标</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225051" w:rsidRPr="00A67563" w:rsidTr="00845292">
        <w:tc>
          <w:tcPr>
            <w:tcW w:w="3402" w:type="dxa"/>
            <w:vMerge w:val="restart"/>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主要财务指标</w:t>
            </w:r>
          </w:p>
        </w:tc>
        <w:tc>
          <w:tcPr>
            <w:tcW w:w="4962" w:type="dxa"/>
            <w:gridSpan w:val="2"/>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报告期</w:t>
            </w:r>
          </w:p>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w:t>
            </w:r>
            <w:r w:rsidRPr="00A67563">
              <w:rPr>
                <w:color w:val="000000" w:themeColor="text1"/>
                <w:sz w:val="24"/>
              </w:rPr>
              <w:t>-2019</w:t>
            </w:r>
            <w:r w:rsidRPr="00A67563">
              <w:rPr>
                <w:color w:val="000000" w:themeColor="text1"/>
                <w:sz w:val="24"/>
              </w:rPr>
              <w:t>年</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w:t>
            </w:r>
            <w:r w:rsidRPr="00A67563">
              <w:rPr>
                <w:color w:val="000000" w:themeColor="text1"/>
                <w:sz w:val="24"/>
              </w:rPr>
              <w:t>)</w:t>
            </w:r>
          </w:p>
        </w:tc>
      </w:tr>
      <w:tr w:rsidR="00225051" w:rsidRPr="00A67563" w:rsidTr="00845292">
        <w:tc>
          <w:tcPr>
            <w:tcW w:w="3402" w:type="dxa"/>
            <w:vMerge/>
            <w:vAlign w:val="center"/>
          </w:tcPr>
          <w:p w:rsidR="00225051" w:rsidRPr="00A67563" w:rsidRDefault="00225051" w:rsidP="00845292">
            <w:pPr>
              <w:adjustRightInd w:val="0"/>
              <w:spacing w:before="29" w:line="360" w:lineRule="auto"/>
              <w:ind w:left="17"/>
              <w:rPr>
                <w:color w:val="000000" w:themeColor="text1"/>
                <w:kern w:val="0"/>
                <w:sz w:val="24"/>
              </w:rPr>
            </w:pP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1.</w:t>
            </w:r>
            <w:r w:rsidRPr="00A67563">
              <w:rPr>
                <w:color w:val="000000" w:themeColor="text1"/>
                <w:kern w:val="0"/>
                <w:sz w:val="24"/>
              </w:rPr>
              <w:t>本期已实现收益</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3,016.15</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-22,258.08</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2.</w:t>
            </w:r>
            <w:r w:rsidRPr="00A67563">
              <w:rPr>
                <w:color w:val="000000" w:themeColor="text1"/>
                <w:kern w:val="0"/>
                <w:sz w:val="24"/>
              </w:rPr>
              <w:t>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-1,261,988.00</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-162,678.97</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3.</w:t>
            </w:r>
            <w:r w:rsidRPr="00A67563">
              <w:rPr>
                <w:color w:val="000000" w:themeColor="text1"/>
                <w:kern w:val="0"/>
                <w:sz w:val="24"/>
              </w:rPr>
              <w:t>加权平均基金份额本期利润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-0.0164</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-0.0083</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4.</w:t>
            </w:r>
            <w:r w:rsidRPr="00A67563">
              <w:rPr>
                <w:color w:val="000000" w:themeColor="text1"/>
                <w:kern w:val="0"/>
                <w:sz w:val="24"/>
              </w:rPr>
              <w:t>期末基金资产净值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87,374,739.80</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17,790,056.32</w:t>
            </w:r>
          </w:p>
        </w:tc>
      </w:tr>
      <w:tr w:rsidR="00225051" w:rsidRPr="00A67563" w:rsidTr="00845292">
        <w:trPr>
          <w:trHeight w:val="158"/>
        </w:trPr>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5.</w:t>
            </w:r>
            <w:r w:rsidRPr="00A67563">
              <w:rPr>
                <w:color w:val="000000" w:themeColor="text1"/>
                <w:kern w:val="0"/>
                <w:sz w:val="24"/>
              </w:rPr>
              <w:t>期末基金份额净值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0.9575</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0.9502</w:t>
            </w:r>
          </w:p>
        </w:tc>
      </w:tr>
    </w:tbl>
    <w:p w:rsidR="00DB0A33" w:rsidRDefault="00C63BFE">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所述基金业绩指标不包括持有人认购或交易基金的各项费用，计入费用后实际收益水平要低于所列数字。</w:t>
      </w:r>
    </w:p>
    <w:p w:rsidR="007D1292" w:rsidRPr="00A67563" w:rsidRDefault="007D1292"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本期已实现收益指基金本期利息收入、投资收益、其他收入（不含公允价值变动收益）扣除相关费用后的余额，本期利润为本期已实现收益加上本期公允价值变动收益。</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3.2 </w:t>
      </w:r>
      <w:r w:rsidRPr="00A67563">
        <w:rPr>
          <w:b/>
          <w:color w:val="000000" w:themeColor="text1"/>
          <w:kern w:val="0"/>
          <w:sz w:val="24"/>
        </w:rPr>
        <w:t>基金净值表现</w:t>
      </w:r>
    </w:p>
    <w:p w:rsidR="0076518F" w:rsidRPr="00A67563" w:rsidRDefault="0076518F" w:rsidP="00EC4BA3">
      <w:pPr>
        <w:autoSpaceDE w:val="0"/>
        <w:autoSpaceDN w:val="0"/>
        <w:adjustRightInd w:val="0"/>
        <w:spacing w:line="360" w:lineRule="auto"/>
        <w:jc w:val="left"/>
        <w:rPr>
          <w:b/>
          <w:color w:val="000000" w:themeColor="text1"/>
          <w:kern w:val="0"/>
          <w:sz w:val="24"/>
        </w:rPr>
      </w:pPr>
      <w:smartTag w:uri="urn:schemas-microsoft-com:office:smarttags" w:element="chsdate">
        <w:smartTagPr>
          <w:attr w:name="IsROCDate" w:val="False"/>
          <w:attr w:name="IsLunarDate" w:val="False"/>
          <w:attr w:name="Day" w:val="30"/>
          <w:attr w:name="Month" w:val="12"/>
          <w:attr w:name="Year" w:val="1899"/>
        </w:smartTagPr>
        <w:r w:rsidRPr="00A67563">
          <w:rPr>
            <w:b/>
            <w:color w:val="000000" w:themeColor="text1"/>
            <w:kern w:val="0"/>
            <w:sz w:val="24"/>
          </w:rPr>
          <w:t>3.2.1</w:t>
        </w:r>
      </w:smartTag>
      <w:r w:rsidRPr="00A67563">
        <w:rPr>
          <w:b/>
          <w:color w:val="000000" w:themeColor="text1"/>
          <w:kern w:val="0"/>
          <w:sz w:val="24"/>
        </w:rPr>
        <w:t>本报告期基金份额净值增长率及其与同期业绩比较基准收益率的比较</w:t>
      </w:r>
    </w:p>
    <w:p w:rsidR="0065601A" w:rsidRPr="00A67563" w:rsidRDefault="0065601A" w:rsidP="0065601A">
      <w:pPr>
        <w:spacing w:line="360" w:lineRule="auto"/>
        <w:rPr>
          <w:b/>
          <w:color w:val="000000" w:themeColor="text1"/>
          <w:sz w:val="24"/>
        </w:rPr>
      </w:pPr>
      <w:r w:rsidRPr="00A67563">
        <w:rPr>
          <w:b/>
          <w:color w:val="000000" w:themeColor="text1"/>
          <w:sz w:val="24"/>
        </w:rPr>
        <w:t>1</w:t>
      </w:r>
      <w:r w:rsidRPr="00A67563">
        <w:rPr>
          <w:b/>
          <w:color w:val="000000" w:themeColor="text1"/>
          <w:sz w:val="24"/>
        </w:rPr>
        <w:t>、</w:t>
      </w:r>
      <w:r w:rsidRPr="00A67563">
        <w:rPr>
          <w:b/>
          <w:color w:val="000000" w:themeColor="text1"/>
          <w:kern w:val="0"/>
          <w:sz w:val="24"/>
        </w:rPr>
        <w:t>易方达中证海外中国互联网</w:t>
      </w:r>
      <w:r w:rsidRPr="00A67563">
        <w:rPr>
          <w:b/>
          <w:color w:val="000000" w:themeColor="text1"/>
          <w:kern w:val="0"/>
          <w:sz w:val="24"/>
        </w:rPr>
        <w:t>50ETF</w:t>
      </w:r>
      <w:r w:rsidRPr="00A67563">
        <w:rPr>
          <w:b/>
          <w:color w:val="000000" w:themeColor="text1"/>
          <w:kern w:val="0"/>
          <w:sz w:val="24"/>
        </w:rPr>
        <w:t>联接（</w:t>
      </w:r>
      <w:r w:rsidRPr="00A67563">
        <w:rPr>
          <w:b/>
          <w:color w:val="000000" w:themeColor="text1"/>
          <w:kern w:val="0"/>
          <w:sz w:val="24"/>
        </w:rPr>
        <w:t>QDII</w:t>
      </w:r>
      <w:r w:rsidRPr="00A67563">
        <w:rPr>
          <w:b/>
          <w:color w:val="000000" w:themeColor="text1"/>
          <w:kern w:val="0"/>
          <w:sz w:val="24"/>
        </w:rPr>
        <w:t>）</w:t>
      </w:r>
      <w:r w:rsidRPr="00A67563">
        <w:rPr>
          <w:b/>
          <w:color w:val="000000" w:themeColor="text1"/>
          <w:kern w:val="0"/>
          <w:sz w:val="24"/>
        </w:rPr>
        <w:t>A</w:t>
      </w:r>
      <w:r w:rsidRPr="00A67563">
        <w:rPr>
          <w:b/>
          <w:color w:val="000000" w:themeColor="text1"/>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DB0A33">
        <w:tc>
          <w:tcPr>
            <w:tcW w:w="1290" w:type="dxa"/>
            <w:vAlign w:val="center"/>
          </w:tcPr>
          <w:p w:rsidR="00DB0A33" w:rsidRDefault="00C63BFE">
            <w:pPr>
              <w:jc w:val="left"/>
            </w:pPr>
            <w:r>
              <w:rPr>
                <w:color w:val="000000" w:themeColor="text1"/>
                <w:sz w:val="24"/>
              </w:rPr>
              <w:t>过去三个月</w:t>
            </w:r>
          </w:p>
        </w:tc>
        <w:tc>
          <w:tcPr>
            <w:tcW w:w="1291" w:type="dxa"/>
            <w:vAlign w:val="center"/>
          </w:tcPr>
          <w:p w:rsidR="00DB0A33" w:rsidRDefault="00C63BFE">
            <w:pPr>
              <w:jc w:val="right"/>
            </w:pPr>
            <w:r>
              <w:rPr>
                <w:color w:val="000000" w:themeColor="text1"/>
                <w:sz w:val="24"/>
              </w:rPr>
              <w:t>-1.75%</w:t>
            </w:r>
          </w:p>
        </w:tc>
        <w:tc>
          <w:tcPr>
            <w:tcW w:w="1291" w:type="dxa"/>
            <w:vAlign w:val="center"/>
          </w:tcPr>
          <w:p w:rsidR="00DB0A33" w:rsidRDefault="00C63BFE">
            <w:pPr>
              <w:jc w:val="right"/>
            </w:pPr>
            <w:r>
              <w:rPr>
                <w:color w:val="000000" w:themeColor="text1"/>
                <w:sz w:val="24"/>
              </w:rPr>
              <w:t>1.29%</w:t>
            </w:r>
          </w:p>
        </w:tc>
        <w:tc>
          <w:tcPr>
            <w:tcW w:w="1291" w:type="dxa"/>
            <w:vAlign w:val="center"/>
          </w:tcPr>
          <w:p w:rsidR="00DB0A33" w:rsidRDefault="00C63BFE">
            <w:pPr>
              <w:jc w:val="right"/>
            </w:pPr>
            <w:r>
              <w:rPr>
                <w:color w:val="000000" w:themeColor="text1"/>
                <w:sz w:val="24"/>
              </w:rPr>
              <w:t>-1.41%</w:t>
            </w:r>
          </w:p>
        </w:tc>
        <w:tc>
          <w:tcPr>
            <w:tcW w:w="1291" w:type="dxa"/>
            <w:vAlign w:val="center"/>
          </w:tcPr>
          <w:p w:rsidR="00DB0A33" w:rsidRDefault="00C63BFE">
            <w:pPr>
              <w:jc w:val="right"/>
            </w:pPr>
            <w:r>
              <w:rPr>
                <w:color w:val="000000" w:themeColor="text1"/>
                <w:sz w:val="24"/>
              </w:rPr>
              <w:t>1.32%</w:t>
            </w:r>
          </w:p>
        </w:tc>
        <w:tc>
          <w:tcPr>
            <w:tcW w:w="1291" w:type="dxa"/>
            <w:vAlign w:val="center"/>
          </w:tcPr>
          <w:p w:rsidR="00DB0A33" w:rsidRDefault="00C63BFE">
            <w:pPr>
              <w:jc w:val="right"/>
            </w:pPr>
            <w:r>
              <w:rPr>
                <w:color w:val="000000" w:themeColor="text1"/>
                <w:sz w:val="24"/>
              </w:rPr>
              <w:t>-0.34%</w:t>
            </w:r>
          </w:p>
        </w:tc>
        <w:tc>
          <w:tcPr>
            <w:tcW w:w="1291" w:type="dxa"/>
            <w:vAlign w:val="center"/>
          </w:tcPr>
          <w:p w:rsidR="00DB0A33" w:rsidRDefault="00C63BFE">
            <w:pPr>
              <w:jc w:val="right"/>
            </w:pPr>
            <w:r>
              <w:rPr>
                <w:color w:val="000000" w:themeColor="text1"/>
                <w:sz w:val="24"/>
              </w:rPr>
              <w:t>-0.03%</w:t>
            </w:r>
          </w:p>
        </w:tc>
      </w:tr>
    </w:tbl>
    <w:p w:rsidR="0065601A" w:rsidRPr="00A67563" w:rsidRDefault="0065601A" w:rsidP="00CB3783">
      <w:pPr>
        <w:adjustRightInd w:val="0"/>
        <w:spacing w:beforeLines="50" w:before="156" w:line="360" w:lineRule="auto"/>
        <w:rPr>
          <w:b/>
          <w:color w:val="000000" w:themeColor="text1"/>
          <w:kern w:val="0"/>
          <w:sz w:val="24"/>
        </w:rPr>
      </w:pPr>
      <w:r w:rsidRPr="00A67563">
        <w:rPr>
          <w:b/>
          <w:color w:val="000000" w:themeColor="text1"/>
          <w:sz w:val="24"/>
        </w:rPr>
        <w:t>2</w:t>
      </w:r>
      <w:r w:rsidRPr="00A67563">
        <w:rPr>
          <w:b/>
          <w:color w:val="000000" w:themeColor="text1"/>
          <w:sz w:val="24"/>
        </w:rPr>
        <w:t>、</w:t>
      </w:r>
      <w:r w:rsidRPr="00A67563">
        <w:rPr>
          <w:b/>
          <w:color w:val="000000" w:themeColor="text1"/>
          <w:kern w:val="0"/>
          <w:sz w:val="24"/>
        </w:rPr>
        <w:t>易方达中证海外中国互联网</w:t>
      </w:r>
      <w:r w:rsidRPr="00A67563">
        <w:rPr>
          <w:b/>
          <w:color w:val="000000" w:themeColor="text1"/>
          <w:kern w:val="0"/>
          <w:sz w:val="24"/>
        </w:rPr>
        <w:t>50ETF</w:t>
      </w:r>
      <w:r w:rsidRPr="00A67563">
        <w:rPr>
          <w:b/>
          <w:color w:val="000000" w:themeColor="text1"/>
          <w:kern w:val="0"/>
          <w:sz w:val="24"/>
        </w:rPr>
        <w:t>联接（</w:t>
      </w:r>
      <w:r w:rsidRPr="00A67563">
        <w:rPr>
          <w:b/>
          <w:color w:val="000000" w:themeColor="text1"/>
          <w:kern w:val="0"/>
          <w:sz w:val="24"/>
        </w:rPr>
        <w:t>QDII</w:t>
      </w:r>
      <w:r w:rsidRPr="00A67563">
        <w:rPr>
          <w:b/>
          <w:color w:val="000000" w:themeColor="text1"/>
          <w:kern w:val="0"/>
          <w:sz w:val="24"/>
        </w:rPr>
        <w:t>）</w:t>
      </w:r>
      <w:r w:rsidRPr="00A67563">
        <w:rPr>
          <w:b/>
          <w:color w:val="000000" w:themeColor="text1"/>
          <w:kern w:val="0"/>
          <w:sz w:val="24"/>
        </w:rPr>
        <w:t>C</w:t>
      </w:r>
      <w:r w:rsidRPr="00A67563">
        <w:rPr>
          <w:b/>
          <w:color w:val="000000" w:themeColor="text1"/>
          <w:kern w:val="0"/>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DB0A33">
        <w:tc>
          <w:tcPr>
            <w:tcW w:w="1290" w:type="dxa"/>
            <w:vAlign w:val="center"/>
          </w:tcPr>
          <w:p w:rsidR="00DB0A33" w:rsidRDefault="00C63BFE">
            <w:pPr>
              <w:jc w:val="left"/>
            </w:pPr>
            <w:r>
              <w:rPr>
                <w:color w:val="000000" w:themeColor="text1"/>
                <w:sz w:val="24"/>
              </w:rPr>
              <w:t>过去三个月</w:t>
            </w:r>
          </w:p>
        </w:tc>
        <w:tc>
          <w:tcPr>
            <w:tcW w:w="1291" w:type="dxa"/>
            <w:vAlign w:val="center"/>
          </w:tcPr>
          <w:p w:rsidR="00DB0A33" w:rsidRDefault="00C63BFE">
            <w:pPr>
              <w:jc w:val="right"/>
            </w:pPr>
            <w:r>
              <w:rPr>
                <w:color w:val="000000" w:themeColor="text1"/>
                <w:sz w:val="24"/>
              </w:rPr>
              <w:t>-1.84%</w:t>
            </w:r>
          </w:p>
        </w:tc>
        <w:tc>
          <w:tcPr>
            <w:tcW w:w="1291" w:type="dxa"/>
            <w:vAlign w:val="center"/>
          </w:tcPr>
          <w:p w:rsidR="00DB0A33" w:rsidRDefault="00C63BFE">
            <w:pPr>
              <w:jc w:val="right"/>
            </w:pPr>
            <w:r>
              <w:rPr>
                <w:color w:val="000000" w:themeColor="text1"/>
                <w:sz w:val="24"/>
              </w:rPr>
              <w:t>1.29%</w:t>
            </w:r>
          </w:p>
        </w:tc>
        <w:tc>
          <w:tcPr>
            <w:tcW w:w="1291" w:type="dxa"/>
            <w:vAlign w:val="center"/>
          </w:tcPr>
          <w:p w:rsidR="00DB0A33" w:rsidRDefault="00C63BFE">
            <w:pPr>
              <w:jc w:val="right"/>
            </w:pPr>
            <w:r>
              <w:rPr>
                <w:color w:val="000000" w:themeColor="text1"/>
                <w:sz w:val="24"/>
              </w:rPr>
              <w:t>-1.41%</w:t>
            </w:r>
          </w:p>
        </w:tc>
        <w:tc>
          <w:tcPr>
            <w:tcW w:w="1291" w:type="dxa"/>
            <w:vAlign w:val="center"/>
          </w:tcPr>
          <w:p w:rsidR="00DB0A33" w:rsidRDefault="00C63BFE">
            <w:pPr>
              <w:jc w:val="right"/>
            </w:pPr>
            <w:r>
              <w:rPr>
                <w:color w:val="000000" w:themeColor="text1"/>
                <w:sz w:val="24"/>
              </w:rPr>
              <w:t>1.32%</w:t>
            </w:r>
          </w:p>
        </w:tc>
        <w:tc>
          <w:tcPr>
            <w:tcW w:w="1291" w:type="dxa"/>
            <w:vAlign w:val="center"/>
          </w:tcPr>
          <w:p w:rsidR="00DB0A33" w:rsidRDefault="00C63BFE">
            <w:pPr>
              <w:jc w:val="right"/>
            </w:pPr>
            <w:r>
              <w:rPr>
                <w:color w:val="000000" w:themeColor="text1"/>
                <w:sz w:val="24"/>
              </w:rPr>
              <w:t>-0.43%</w:t>
            </w:r>
          </w:p>
        </w:tc>
        <w:tc>
          <w:tcPr>
            <w:tcW w:w="1291" w:type="dxa"/>
            <w:vAlign w:val="center"/>
          </w:tcPr>
          <w:p w:rsidR="00DB0A33" w:rsidRDefault="00C63BFE">
            <w:pPr>
              <w:jc w:val="right"/>
            </w:pPr>
            <w:r>
              <w:rPr>
                <w:color w:val="000000" w:themeColor="text1"/>
                <w:sz w:val="24"/>
              </w:rPr>
              <w:t>-0.03%</w:t>
            </w:r>
          </w:p>
        </w:tc>
      </w:tr>
    </w:tbl>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3.2.2</w:t>
      </w:r>
      <w:r w:rsidR="00867510">
        <w:rPr>
          <w:rFonts w:hint="eastAsia"/>
          <w:b/>
          <w:color w:val="000000" w:themeColor="text1"/>
          <w:kern w:val="0"/>
          <w:sz w:val="24"/>
        </w:rPr>
        <w:t xml:space="preserve"> </w:t>
      </w:r>
      <w:r w:rsidR="00196CE2" w:rsidRPr="00370BEA">
        <w:rPr>
          <w:rStyle w:val="af8"/>
          <w:rFonts w:hint="eastAsia"/>
          <w:color w:val="000000"/>
          <w:sz w:val="24"/>
          <w:shd w:val="clear" w:color="auto" w:fill="FFFFFF"/>
        </w:rPr>
        <w:t>自基金合同生效以来</w:t>
      </w:r>
      <w:r w:rsidRPr="00A67563">
        <w:rPr>
          <w:b/>
          <w:color w:val="000000" w:themeColor="text1"/>
          <w:kern w:val="0"/>
          <w:sz w:val="24"/>
        </w:rPr>
        <w:t>基金累计</w:t>
      </w:r>
      <w:r w:rsidR="004339D9" w:rsidRPr="00A67563">
        <w:rPr>
          <w:b/>
          <w:color w:val="000000" w:themeColor="text1"/>
          <w:kern w:val="0"/>
          <w:sz w:val="24"/>
        </w:rPr>
        <w:t>份额</w:t>
      </w:r>
      <w:r w:rsidRPr="00A67563">
        <w:rPr>
          <w:b/>
          <w:color w:val="000000" w:themeColor="text1"/>
          <w:kern w:val="0"/>
          <w:sz w:val="24"/>
        </w:rPr>
        <w:t>净值增长率变动及其与同期业绩比较基准收益率变动的比较</w:t>
      </w:r>
    </w:p>
    <w:p w:rsidR="00A96FD9" w:rsidRPr="00A67563" w:rsidRDefault="00A96FD9" w:rsidP="00EC4BA3">
      <w:pPr>
        <w:spacing w:line="360" w:lineRule="auto"/>
        <w:jc w:val="center"/>
        <w:rPr>
          <w:color w:val="000000" w:themeColor="text1"/>
          <w:sz w:val="24"/>
        </w:rPr>
      </w:pPr>
      <w:r w:rsidRPr="00A67563">
        <w:rPr>
          <w:color w:val="000000" w:themeColor="text1"/>
          <w:sz w:val="24"/>
        </w:rPr>
        <w:t>易方达中证海外中国互联网</w:t>
      </w:r>
      <w:r w:rsidRPr="00A67563">
        <w:rPr>
          <w:color w:val="000000" w:themeColor="text1"/>
          <w:sz w:val="24"/>
        </w:rPr>
        <w:t>50</w:t>
      </w:r>
      <w:r w:rsidRPr="00A67563">
        <w:rPr>
          <w:color w:val="000000" w:themeColor="text1"/>
          <w:sz w:val="24"/>
        </w:rPr>
        <w:t>交易型开放式指数证券投资基金联接基金</w:t>
      </w:r>
    </w:p>
    <w:p w:rsidR="00180BBB" w:rsidRDefault="00180BBB" w:rsidP="00180BBB">
      <w:pPr>
        <w:pStyle w:val="a5"/>
        <w:snapToGrid w:val="0"/>
        <w:spacing w:line="360" w:lineRule="auto"/>
        <w:ind w:firstLine="480"/>
        <w:jc w:val="center"/>
        <w:rPr>
          <w:rFonts w:ascii="Times New Roman" w:hAnsi="Times New Roman"/>
          <w:color w:val="000000"/>
          <w:sz w:val="24"/>
          <w:szCs w:val="24"/>
        </w:rPr>
      </w:pPr>
      <w:r>
        <w:rPr>
          <w:rFonts w:ascii="Times New Roman" w:hAnsi="Times New Roman" w:hint="eastAsia"/>
          <w:color w:val="000000"/>
          <w:sz w:val="24"/>
          <w:szCs w:val="24"/>
        </w:rPr>
        <w:t>累计净值增长率与业绩比较基准收益率的历史走势对比图</w:t>
      </w:r>
    </w:p>
    <w:p w:rsidR="001A7932" w:rsidRPr="00881617" w:rsidRDefault="001A7932" w:rsidP="001A7932">
      <w:pPr>
        <w:snapToGrid w:val="0"/>
        <w:spacing w:line="360" w:lineRule="auto"/>
        <w:jc w:val="center"/>
        <w:rPr>
          <w:color w:val="000000" w:themeColor="text1"/>
          <w:sz w:val="24"/>
        </w:rPr>
      </w:pPr>
      <w:r w:rsidRPr="00A67563">
        <w:rPr>
          <w:color w:val="000000" w:themeColor="text1"/>
          <w:kern w:val="0"/>
          <w:sz w:val="24"/>
        </w:rPr>
        <w:t>（</w:t>
      </w: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1</w:t>
      </w:r>
      <w:r w:rsidRPr="00A67563">
        <w:rPr>
          <w:color w:val="000000" w:themeColor="text1"/>
          <w:kern w:val="0"/>
          <w:sz w:val="24"/>
        </w:rPr>
        <w:t>月</w:t>
      </w:r>
      <w:r w:rsidRPr="00A67563">
        <w:rPr>
          <w:color w:val="000000" w:themeColor="text1"/>
          <w:kern w:val="0"/>
          <w:sz w:val="24"/>
        </w:rPr>
        <w:t>18</w:t>
      </w:r>
      <w:r w:rsidRPr="00A67563">
        <w:rPr>
          <w:color w:val="000000" w:themeColor="text1"/>
          <w:kern w:val="0"/>
          <w:sz w:val="24"/>
        </w:rPr>
        <w:t>日至</w:t>
      </w: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9</w:t>
      </w:r>
      <w:r w:rsidRPr="00A67563">
        <w:rPr>
          <w:color w:val="000000" w:themeColor="text1"/>
          <w:kern w:val="0"/>
          <w:sz w:val="24"/>
        </w:rPr>
        <w:t>月</w:t>
      </w:r>
      <w:r w:rsidRPr="00A67563">
        <w:rPr>
          <w:color w:val="000000" w:themeColor="text1"/>
          <w:kern w:val="0"/>
          <w:sz w:val="24"/>
        </w:rPr>
        <w:t>30</w:t>
      </w:r>
      <w:r w:rsidRPr="00A67563">
        <w:rPr>
          <w:color w:val="000000" w:themeColor="text1"/>
          <w:kern w:val="0"/>
          <w:sz w:val="24"/>
        </w:rPr>
        <w:t>日）</w:t>
      </w:r>
    </w:p>
    <w:p w:rsidR="0065601A" w:rsidRDefault="0065601A" w:rsidP="0065601A">
      <w:pPr>
        <w:snapToGrid w:val="0"/>
        <w:spacing w:line="360" w:lineRule="auto"/>
        <w:rPr>
          <w:color w:val="000000" w:themeColor="text1"/>
          <w:sz w:val="24"/>
        </w:rPr>
      </w:pPr>
      <w:r w:rsidRPr="00A67563">
        <w:rPr>
          <w:color w:val="000000" w:themeColor="text1"/>
          <w:sz w:val="24"/>
        </w:rPr>
        <w:t>1</w:t>
      </w:r>
      <w:r w:rsidRPr="00A67563">
        <w:rPr>
          <w:color w:val="000000" w:themeColor="text1"/>
          <w:sz w:val="24"/>
        </w:rPr>
        <w:t>．易方达中证海外中国互联网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881617" w:rsidRPr="00A67563" w:rsidRDefault="0065601A" w:rsidP="001A7932">
      <w:pPr>
        <w:snapToGrid w:val="0"/>
        <w:spacing w:beforeLines="100" w:before="312" w:line="360" w:lineRule="auto"/>
        <w:rPr>
          <w:color w:val="000000" w:themeColor="text1"/>
          <w:sz w:val="24"/>
        </w:rPr>
      </w:pPr>
      <w:r w:rsidRPr="00A67563">
        <w:rPr>
          <w:color w:val="000000" w:themeColor="text1"/>
          <w:sz w:val="24"/>
        </w:rPr>
        <w:t>2</w:t>
      </w:r>
      <w:r w:rsidRPr="00A67563">
        <w:rPr>
          <w:color w:val="000000" w:themeColor="text1"/>
          <w:sz w:val="24"/>
        </w:rPr>
        <w:t>．易方达中证海外中国互联网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14:anchorId="469BBEFE" wp14:editId="5FFAE4A6">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DB0A33" w:rsidRDefault="00C63BFE">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本基金合同于</w:t>
      </w:r>
      <w:r>
        <w:rPr>
          <w:color w:val="000000" w:themeColor="text1"/>
          <w:sz w:val="24"/>
        </w:rPr>
        <w:t>2019</w:t>
      </w:r>
      <w:r>
        <w:rPr>
          <w:color w:val="000000" w:themeColor="text1"/>
          <w:sz w:val="24"/>
        </w:rPr>
        <w:t>年</w:t>
      </w:r>
      <w:r>
        <w:rPr>
          <w:color w:val="000000" w:themeColor="text1"/>
          <w:sz w:val="24"/>
        </w:rPr>
        <w:t>1</w:t>
      </w:r>
      <w:r>
        <w:rPr>
          <w:color w:val="000000" w:themeColor="text1"/>
          <w:sz w:val="24"/>
        </w:rPr>
        <w:t>月</w:t>
      </w:r>
      <w:r>
        <w:rPr>
          <w:color w:val="000000" w:themeColor="text1"/>
          <w:sz w:val="24"/>
        </w:rPr>
        <w:t>18</w:t>
      </w:r>
      <w:r>
        <w:rPr>
          <w:color w:val="000000" w:themeColor="text1"/>
          <w:sz w:val="24"/>
        </w:rPr>
        <w:t>日生效，截至报告期末本基金合同生效未满一年。</w:t>
      </w:r>
    </w:p>
    <w:p w:rsidR="00DB0A33" w:rsidRDefault="00C63BFE">
      <w:pPr>
        <w:autoSpaceDE w:val="0"/>
        <w:autoSpaceDN w:val="0"/>
        <w:adjustRightIn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按基金合同和招募说明书的约定，本基金的建仓期为六个月，建仓期结束时各项资产配置比例符合基金合同（第十二部分二、投资范围，三、投资策略和四、投资限制）的有关约定。</w:t>
      </w:r>
    </w:p>
    <w:p w:rsidR="0065601A" w:rsidRPr="00A67563" w:rsidRDefault="0065601A"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3.</w:t>
      </w:r>
      <w:r w:rsidRPr="00A67563">
        <w:rPr>
          <w:color w:val="000000" w:themeColor="text1"/>
          <w:sz w:val="24"/>
        </w:rPr>
        <w:t>自基金合同生效至报告期末，</w:t>
      </w:r>
      <w:r w:rsidRPr="00A67563">
        <w:rPr>
          <w:color w:val="000000" w:themeColor="text1"/>
          <w:sz w:val="24"/>
        </w:rPr>
        <w:t>A</w:t>
      </w:r>
      <w:r w:rsidRPr="00A67563">
        <w:rPr>
          <w:color w:val="000000" w:themeColor="text1"/>
          <w:sz w:val="24"/>
        </w:rPr>
        <w:t>类基金份额净值增长率为</w:t>
      </w:r>
      <w:r w:rsidRPr="00A67563">
        <w:rPr>
          <w:color w:val="000000" w:themeColor="text1"/>
          <w:sz w:val="24"/>
        </w:rPr>
        <w:t>-4.25%</w:t>
      </w:r>
      <w:r w:rsidRPr="00A67563">
        <w:rPr>
          <w:color w:val="000000" w:themeColor="text1"/>
          <w:sz w:val="24"/>
        </w:rPr>
        <w:t>，</w:t>
      </w:r>
      <w:r w:rsidRPr="00A67563">
        <w:rPr>
          <w:color w:val="000000" w:themeColor="text1"/>
          <w:sz w:val="24"/>
        </w:rPr>
        <w:t>C</w:t>
      </w:r>
      <w:r w:rsidRPr="00A67563">
        <w:rPr>
          <w:color w:val="000000" w:themeColor="text1"/>
          <w:sz w:val="24"/>
        </w:rPr>
        <w:t>类基金份额净值增长率为</w:t>
      </w:r>
      <w:r w:rsidRPr="00A67563">
        <w:rPr>
          <w:color w:val="000000" w:themeColor="text1"/>
          <w:sz w:val="24"/>
        </w:rPr>
        <w:t>-4.98%</w:t>
      </w:r>
      <w:r w:rsidRPr="00A67563">
        <w:rPr>
          <w:color w:val="000000" w:themeColor="text1"/>
          <w:sz w:val="24"/>
        </w:rPr>
        <w:t>，同期业绩比较基准收益率为</w:t>
      </w:r>
      <w:r w:rsidRPr="00A67563">
        <w:rPr>
          <w:color w:val="000000" w:themeColor="text1"/>
          <w:sz w:val="24"/>
        </w:rPr>
        <w:t>5.92%</w:t>
      </w:r>
      <w:r w:rsidRPr="00A67563">
        <w:rPr>
          <w:color w:val="000000" w:themeColor="text1"/>
          <w:sz w:val="24"/>
        </w:rPr>
        <w:t>。</w:t>
      </w:r>
    </w:p>
    <w:p w:rsidR="0076518F" w:rsidRPr="00A67563"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§4  </w:t>
      </w:r>
      <w:r w:rsidRPr="00A67563">
        <w:rPr>
          <w:color w:val="000000" w:themeColor="text1"/>
          <w:kern w:val="0"/>
          <w:sz w:val="24"/>
          <w:szCs w:val="24"/>
        </w:rPr>
        <w:t>管理人报告</w:t>
      </w:r>
    </w:p>
    <w:p w:rsidR="0040617F" w:rsidRPr="006506EF" w:rsidRDefault="0076518F" w:rsidP="0040617F">
      <w:pPr>
        <w:autoSpaceDE w:val="0"/>
        <w:autoSpaceDN w:val="0"/>
        <w:adjustRightInd w:val="0"/>
        <w:spacing w:line="360" w:lineRule="auto"/>
        <w:jc w:val="left"/>
        <w:rPr>
          <w:b/>
          <w:color w:val="000000"/>
          <w:kern w:val="0"/>
          <w:sz w:val="24"/>
        </w:rPr>
      </w:pPr>
      <w:r w:rsidRPr="00A67563">
        <w:rPr>
          <w:b/>
          <w:color w:val="000000" w:themeColor="text1"/>
          <w:kern w:val="0"/>
          <w:sz w:val="24"/>
        </w:rPr>
        <w:t xml:space="preserve">4.1 </w:t>
      </w:r>
      <w:r w:rsidRPr="00A67563">
        <w:rPr>
          <w:b/>
          <w:color w:val="000000" w:themeColor="text1"/>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40617F" w:rsidRPr="006506EF" w:rsidTr="000B42A7">
        <w:trPr>
          <w:cantSplit/>
          <w:trHeight w:val="292"/>
        </w:trPr>
        <w:tc>
          <w:tcPr>
            <w:tcW w:w="851"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姓名</w:t>
            </w:r>
          </w:p>
        </w:tc>
        <w:tc>
          <w:tcPr>
            <w:tcW w:w="3260"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说明</w:t>
            </w:r>
          </w:p>
        </w:tc>
      </w:tr>
      <w:tr w:rsidR="0040617F" w:rsidRPr="006506EF" w:rsidTr="000B42A7">
        <w:trPr>
          <w:cantSplit/>
        </w:trPr>
        <w:tc>
          <w:tcPr>
            <w:tcW w:w="851" w:type="dxa"/>
            <w:vMerge/>
            <w:vAlign w:val="center"/>
          </w:tcPr>
          <w:p w:rsidR="0040617F" w:rsidRPr="006506EF" w:rsidRDefault="0040617F" w:rsidP="000B42A7">
            <w:pPr>
              <w:widowControl/>
              <w:spacing w:line="360" w:lineRule="auto"/>
              <w:jc w:val="left"/>
              <w:rPr>
                <w:color w:val="000000"/>
                <w:kern w:val="0"/>
                <w:sz w:val="24"/>
              </w:rPr>
            </w:pPr>
          </w:p>
        </w:tc>
        <w:tc>
          <w:tcPr>
            <w:tcW w:w="3260" w:type="dxa"/>
            <w:vMerge/>
            <w:vAlign w:val="center"/>
          </w:tcPr>
          <w:p w:rsidR="0040617F" w:rsidRPr="006506EF" w:rsidRDefault="0040617F" w:rsidP="000B42A7">
            <w:pPr>
              <w:widowControl/>
              <w:spacing w:line="360" w:lineRule="auto"/>
              <w:jc w:val="left"/>
              <w:rPr>
                <w:color w:val="000000"/>
                <w:kern w:val="0"/>
                <w:sz w:val="24"/>
              </w:rPr>
            </w:pP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40617F" w:rsidRPr="006506EF" w:rsidRDefault="0040617F" w:rsidP="000B42A7">
            <w:pPr>
              <w:widowControl/>
              <w:spacing w:line="360" w:lineRule="auto"/>
              <w:jc w:val="left"/>
              <w:rPr>
                <w:color w:val="000000"/>
                <w:kern w:val="0"/>
                <w:sz w:val="24"/>
              </w:rPr>
            </w:pPr>
          </w:p>
        </w:tc>
        <w:tc>
          <w:tcPr>
            <w:tcW w:w="1418" w:type="dxa"/>
            <w:vMerge/>
            <w:vAlign w:val="center"/>
          </w:tcPr>
          <w:p w:rsidR="0040617F" w:rsidRPr="006506EF" w:rsidRDefault="0040617F" w:rsidP="000B42A7">
            <w:pPr>
              <w:widowControl/>
              <w:spacing w:line="360" w:lineRule="auto"/>
              <w:jc w:val="left"/>
              <w:rPr>
                <w:color w:val="000000"/>
                <w:kern w:val="0"/>
                <w:sz w:val="24"/>
              </w:rPr>
            </w:pPr>
          </w:p>
        </w:tc>
      </w:tr>
      <w:tr w:rsidR="00DB0A33">
        <w:tc>
          <w:tcPr>
            <w:tcW w:w="851" w:type="dxa"/>
            <w:vAlign w:val="center"/>
          </w:tcPr>
          <w:p w:rsidR="00DB0A33" w:rsidRDefault="00C63BFE">
            <w:pPr>
              <w:jc w:val="center"/>
            </w:pPr>
            <w:r>
              <w:rPr>
                <w:color w:val="000000"/>
                <w:sz w:val="24"/>
              </w:rPr>
              <w:t>FAN BING(</w:t>
            </w:r>
            <w:r>
              <w:rPr>
                <w:color w:val="000000"/>
                <w:sz w:val="24"/>
              </w:rPr>
              <w:t>范冰</w:t>
            </w:r>
            <w:r>
              <w:rPr>
                <w:color w:val="000000"/>
                <w:sz w:val="24"/>
              </w:rPr>
              <w:t>)</w:t>
            </w:r>
          </w:p>
        </w:tc>
        <w:tc>
          <w:tcPr>
            <w:tcW w:w="3260" w:type="dxa"/>
            <w:vAlign w:val="center"/>
          </w:tcPr>
          <w:p w:rsidR="00DB0A33" w:rsidRDefault="00C63BFE">
            <w:pPr>
              <w:jc w:val="center"/>
            </w:pPr>
            <w:r>
              <w:rPr>
                <w:color w:val="000000"/>
                <w:sz w:val="24"/>
              </w:rPr>
              <w:t>本基金的基金经理、易方达中证海外中国互联网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的基金经理、易方达黄金交易型开放式证券投资基金联接基金的基金经理、易方达黄金交易型开放式证券投资基金的基金经理、易方达标普医疗保健指数证券投资基金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DB0A33" w:rsidRDefault="00C63BFE">
            <w:pPr>
              <w:jc w:val="center"/>
            </w:pPr>
            <w:r>
              <w:rPr>
                <w:color w:val="000000"/>
                <w:sz w:val="24"/>
              </w:rPr>
              <w:t>2019-01-18</w:t>
            </w:r>
          </w:p>
        </w:tc>
        <w:tc>
          <w:tcPr>
            <w:tcW w:w="1276" w:type="dxa"/>
            <w:vAlign w:val="center"/>
          </w:tcPr>
          <w:p w:rsidR="00DB0A33" w:rsidRDefault="00C63BFE">
            <w:pPr>
              <w:jc w:val="center"/>
            </w:pPr>
            <w:r>
              <w:rPr>
                <w:color w:val="000000"/>
                <w:sz w:val="24"/>
              </w:rPr>
              <w:t>-</w:t>
            </w:r>
          </w:p>
        </w:tc>
        <w:tc>
          <w:tcPr>
            <w:tcW w:w="850" w:type="dxa"/>
            <w:vAlign w:val="center"/>
          </w:tcPr>
          <w:p w:rsidR="00DB0A33" w:rsidRDefault="00C63BFE">
            <w:pPr>
              <w:jc w:val="center"/>
            </w:pPr>
            <w:r>
              <w:rPr>
                <w:color w:val="000000"/>
                <w:sz w:val="24"/>
              </w:rPr>
              <w:t>14</w:t>
            </w:r>
            <w:r>
              <w:rPr>
                <w:color w:val="000000"/>
                <w:sz w:val="24"/>
              </w:rPr>
              <w:t>年</w:t>
            </w:r>
          </w:p>
        </w:tc>
        <w:tc>
          <w:tcPr>
            <w:tcW w:w="1418" w:type="dxa"/>
            <w:vAlign w:val="center"/>
          </w:tcPr>
          <w:p w:rsidR="00DB0A33" w:rsidRDefault="00C63BFE">
            <w:pPr>
              <w:jc w:val="left"/>
            </w:pPr>
            <w:r>
              <w:rPr>
                <w:color w:val="000000"/>
                <w:sz w:val="24"/>
              </w:rPr>
              <w:t>新加坡籍，硕士研究生，曾任皇家加拿大银行托管部核算专员，美国道富集团</w:t>
            </w:r>
            <w:r>
              <w:rPr>
                <w:color w:val="000000"/>
                <w:sz w:val="24"/>
              </w:rPr>
              <w:t>Middle Office</w:t>
            </w:r>
            <w:r>
              <w:rPr>
                <w:color w:val="000000"/>
                <w:sz w:val="24"/>
              </w:rPr>
              <w:t>中台交易支持专员，巴克莱资产管理公司悉尼金融数据部高级金融数据分析员、悉尼金融数据部主管、新加坡金融</w:t>
            </w:r>
            <w:r>
              <w:rPr>
                <w:color w:val="000000"/>
                <w:sz w:val="24"/>
              </w:rPr>
              <w:t>数据部主管，贝莱德集团金融数据运营部部门经理、风险控制与咨询部客户经理、亚太股票指数基金部基金经理。</w:t>
            </w:r>
          </w:p>
        </w:tc>
      </w:tr>
      <w:tr w:rsidR="00DB0A33">
        <w:tc>
          <w:tcPr>
            <w:tcW w:w="851" w:type="dxa"/>
            <w:vAlign w:val="center"/>
          </w:tcPr>
          <w:p w:rsidR="00DB0A33" w:rsidRDefault="00C63BFE">
            <w:pPr>
              <w:jc w:val="center"/>
            </w:pPr>
            <w:r>
              <w:rPr>
                <w:color w:val="000000"/>
                <w:sz w:val="24"/>
              </w:rPr>
              <w:t>余海燕</w:t>
            </w:r>
          </w:p>
        </w:tc>
        <w:tc>
          <w:tcPr>
            <w:tcW w:w="3260" w:type="dxa"/>
            <w:vAlign w:val="center"/>
          </w:tcPr>
          <w:p w:rsidR="00DB0A33" w:rsidRDefault="00C63BFE">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w:t>
            </w:r>
            <w:r>
              <w:rPr>
                <w:color w:val="000000"/>
                <w:sz w:val="24"/>
              </w:rPr>
              <w:t>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交易型开放式指数发起式证券投资基金的基金经</w:t>
            </w:r>
            <w:r>
              <w:rPr>
                <w:color w:val="000000"/>
                <w:sz w:val="24"/>
              </w:rPr>
              <w:t>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1276" w:type="dxa"/>
            <w:vAlign w:val="center"/>
          </w:tcPr>
          <w:p w:rsidR="00DB0A33" w:rsidRDefault="00C63BFE">
            <w:pPr>
              <w:jc w:val="center"/>
            </w:pPr>
            <w:r>
              <w:rPr>
                <w:color w:val="000000"/>
                <w:sz w:val="24"/>
              </w:rPr>
              <w:t>2019-01-18</w:t>
            </w:r>
          </w:p>
        </w:tc>
        <w:tc>
          <w:tcPr>
            <w:tcW w:w="1276" w:type="dxa"/>
            <w:vAlign w:val="center"/>
          </w:tcPr>
          <w:p w:rsidR="00DB0A33" w:rsidRDefault="00C63BFE">
            <w:pPr>
              <w:jc w:val="center"/>
            </w:pPr>
            <w:r>
              <w:rPr>
                <w:color w:val="000000"/>
                <w:sz w:val="24"/>
              </w:rPr>
              <w:t>-</w:t>
            </w:r>
          </w:p>
        </w:tc>
        <w:tc>
          <w:tcPr>
            <w:tcW w:w="850" w:type="dxa"/>
            <w:vAlign w:val="center"/>
          </w:tcPr>
          <w:p w:rsidR="00DB0A33" w:rsidRDefault="00C63BFE">
            <w:pPr>
              <w:jc w:val="center"/>
            </w:pPr>
            <w:r>
              <w:rPr>
                <w:color w:val="000000"/>
                <w:sz w:val="24"/>
              </w:rPr>
              <w:t>14</w:t>
            </w:r>
            <w:r>
              <w:rPr>
                <w:color w:val="000000"/>
                <w:sz w:val="24"/>
              </w:rPr>
              <w:t>年</w:t>
            </w:r>
          </w:p>
        </w:tc>
        <w:tc>
          <w:tcPr>
            <w:tcW w:w="1418" w:type="dxa"/>
            <w:vAlign w:val="center"/>
          </w:tcPr>
          <w:p w:rsidR="00DB0A33" w:rsidRDefault="00C63BFE">
            <w:pPr>
              <w:jc w:val="left"/>
            </w:pPr>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信用风险分析师，华宝兴业基金管理有限公司分析师、基金经理助理、基金经理，易方达基金管理有限公司投资</w:t>
            </w:r>
            <w:r>
              <w:rPr>
                <w:color w:val="000000"/>
                <w:sz w:val="24"/>
              </w:rPr>
              <w:t>发展部产品经理。</w:t>
            </w:r>
          </w:p>
        </w:tc>
      </w:tr>
    </w:tbl>
    <w:p w:rsidR="00DB0A33" w:rsidRDefault="00C63BFE">
      <w:pPr>
        <w:autoSpaceDE w:val="0"/>
        <w:autoSpaceDN w:val="0"/>
        <w:adjustRightInd w:val="0"/>
        <w:spacing w:line="360" w:lineRule="auto"/>
        <w:ind w:firstLineChars="200" w:firstLine="480"/>
        <w:jc w:val="left"/>
        <w:rPr>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A47E47" w:rsidRPr="00A67563" w:rsidRDefault="0040617F" w:rsidP="00120EAF">
      <w:pPr>
        <w:autoSpaceDE w:val="0"/>
        <w:autoSpaceDN w:val="0"/>
        <w:adjustRightInd w:val="0"/>
        <w:spacing w:line="360" w:lineRule="auto"/>
        <w:ind w:firstLineChars="200" w:firstLine="480"/>
        <w:jc w:val="left"/>
        <w:rPr>
          <w:color w:val="000000" w:themeColor="text1"/>
          <w:sz w:val="24"/>
        </w:rPr>
      </w:pPr>
      <w:r w:rsidRPr="006506EF">
        <w:rPr>
          <w:color w:val="000000"/>
          <w:sz w:val="24"/>
        </w:rPr>
        <w:t>2.</w:t>
      </w:r>
      <w:r w:rsidRPr="006506EF">
        <w:rPr>
          <w:color w:val="000000"/>
          <w:sz w:val="24"/>
        </w:rPr>
        <w:t>证券从业的含义遵从《证券业从业人员资格管理办法》的相关规定。</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F077D2" w:rsidRPr="00A67563">
        <w:rPr>
          <w:b/>
          <w:color w:val="000000" w:themeColor="text1"/>
          <w:kern w:val="0"/>
          <w:sz w:val="24"/>
        </w:rPr>
        <w:t>2</w:t>
      </w:r>
      <w:r w:rsidR="00A32FDA" w:rsidRPr="00A67563">
        <w:rPr>
          <w:b/>
          <w:color w:val="000000" w:themeColor="text1"/>
          <w:kern w:val="0"/>
          <w:sz w:val="24"/>
        </w:rPr>
        <w:t xml:space="preserve"> </w:t>
      </w:r>
      <w:r w:rsidRPr="00A67563">
        <w:rPr>
          <w:b/>
          <w:color w:val="000000" w:themeColor="text1"/>
          <w:kern w:val="0"/>
          <w:sz w:val="24"/>
        </w:rPr>
        <w:t>境外投资顾问为本基金提供投资建议的主要成员简介</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本基金未聘请境外投资顾问。</w:t>
      </w:r>
    </w:p>
    <w:p w:rsidR="00FB47E0" w:rsidRPr="00A67563" w:rsidRDefault="00FB47E0" w:rsidP="008B6A4A">
      <w:pPr>
        <w:autoSpaceDE w:val="0"/>
        <w:autoSpaceDN w:val="0"/>
        <w:adjustRightInd w:val="0"/>
        <w:spacing w:line="360" w:lineRule="auto"/>
        <w:jc w:val="left"/>
        <w:rPr>
          <w:color w:val="000000" w:themeColor="text1"/>
          <w:kern w:val="0"/>
          <w:sz w:val="24"/>
        </w:rPr>
      </w:pPr>
    </w:p>
    <w:p w:rsidR="00180BBB" w:rsidRDefault="0076518F" w:rsidP="00180BBB">
      <w:pPr>
        <w:autoSpaceDE w:val="0"/>
        <w:autoSpaceDN w:val="0"/>
        <w:adjustRightInd w:val="0"/>
        <w:spacing w:line="360" w:lineRule="auto"/>
        <w:jc w:val="left"/>
        <w:rPr>
          <w:b/>
          <w:color w:val="000000"/>
          <w:kern w:val="0"/>
          <w:sz w:val="24"/>
        </w:rPr>
      </w:pPr>
      <w:r w:rsidRPr="00A67563">
        <w:rPr>
          <w:b/>
          <w:color w:val="000000" w:themeColor="text1"/>
          <w:kern w:val="0"/>
          <w:sz w:val="24"/>
        </w:rPr>
        <w:t>4.</w:t>
      </w:r>
      <w:r w:rsidR="00A32FDA" w:rsidRPr="00A67563">
        <w:rPr>
          <w:b/>
          <w:color w:val="000000" w:themeColor="text1"/>
          <w:kern w:val="0"/>
          <w:sz w:val="24"/>
        </w:rPr>
        <w:t>3</w:t>
      </w:r>
      <w:r w:rsidR="00180BBB">
        <w:rPr>
          <w:rFonts w:hint="eastAsia"/>
          <w:b/>
          <w:color w:val="000000"/>
          <w:kern w:val="0"/>
          <w:sz w:val="24"/>
        </w:rPr>
        <w:t>报告期内本基金运作遵规守信情况说明</w:t>
      </w:r>
    </w:p>
    <w:p w:rsidR="00363E15" w:rsidRPr="00A67563" w:rsidRDefault="00363E15" w:rsidP="00C45314">
      <w:pPr>
        <w:spacing w:line="360" w:lineRule="auto"/>
        <w:ind w:firstLineChars="200" w:firstLine="480"/>
        <w:rPr>
          <w:color w:val="000000" w:themeColor="text1"/>
          <w:sz w:val="24"/>
        </w:rPr>
      </w:pPr>
      <w:r w:rsidRPr="00A67563">
        <w:rPr>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6518F" w:rsidRPr="00A67563" w:rsidRDefault="0076518F" w:rsidP="00A70E23">
      <w:pPr>
        <w:autoSpaceDE w:val="0"/>
        <w:autoSpaceDN w:val="0"/>
        <w:adjustRightInd w:val="0"/>
        <w:spacing w:line="360" w:lineRule="auto"/>
        <w:jc w:val="left"/>
        <w:rPr>
          <w:color w:val="000000" w:themeColor="text1"/>
          <w:kern w:val="0"/>
          <w:sz w:val="24"/>
        </w:rPr>
      </w:pPr>
    </w:p>
    <w:p w:rsidR="0076518F" w:rsidRPr="00A67563" w:rsidRDefault="0076518F" w:rsidP="00A70E2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A32FDA" w:rsidRPr="00A67563">
        <w:rPr>
          <w:b/>
          <w:color w:val="000000" w:themeColor="text1"/>
          <w:kern w:val="0"/>
          <w:sz w:val="24"/>
        </w:rPr>
        <w:t>4</w:t>
      </w:r>
      <w:r w:rsidRPr="00A67563">
        <w:rPr>
          <w:b/>
          <w:color w:val="000000" w:themeColor="text1"/>
          <w:kern w:val="0"/>
          <w:sz w:val="24"/>
        </w:rPr>
        <w:t xml:space="preserve"> </w:t>
      </w:r>
      <w:r w:rsidRPr="00A67563">
        <w:rPr>
          <w:b/>
          <w:color w:val="000000" w:themeColor="text1"/>
          <w:kern w:val="0"/>
          <w:sz w:val="24"/>
        </w:rPr>
        <w:t>公平交易专项说明</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4.1</w:t>
      </w:r>
      <w:r w:rsidRPr="00A67563">
        <w:rPr>
          <w:color w:val="000000" w:themeColor="text1"/>
          <w:sz w:val="24"/>
        </w:rPr>
        <w:t>公平交易制度的执行情况</w:t>
      </w:r>
    </w:p>
    <w:p w:rsidR="00AB42E2" w:rsidRPr="00A67563" w:rsidRDefault="001F3C28" w:rsidP="00797DD2">
      <w:pPr>
        <w:spacing w:line="360" w:lineRule="auto"/>
        <w:ind w:firstLineChars="200" w:firstLine="480"/>
        <w:rPr>
          <w:color w:val="000000" w:themeColor="text1"/>
          <w:sz w:val="24"/>
        </w:rPr>
      </w:pPr>
      <w:r w:rsidRPr="00A67563">
        <w:rPr>
          <w:color w:val="000000" w:themeColor="text1"/>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w:t>
      </w:r>
      <w:r w:rsidRPr="00A67563">
        <w:rPr>
          <w:color w:val="000000" w:themeColor="text1"/>
          <w:sz w:val="24"/>
        </w:rPr>
        <w:t>.</w:t>
      </w:r>
      <w:r w:rsidR="00A32FDA" w:rsidRPr="00A67563">
        <w:rPr>
          <w:color w:val="000000" w:themeColor="text1"/>
          <w:sz w:val="24"/>
        </w:rPr>
        <w:t>2</w:t>
      </w:r>
      <w:r w:rsidRPr="00A67563">
        <w:rPr>
          <w:color w:val="000000" w:themeColor="text1"/>
          <w:sz w:val="24"/>
        </w:rPr>
        <w:t>异常交易行为的专项说明</w:t>
      </w:r>
    </w:p>
    <w:p w:rsidR="00DB0A33" w:rsidRDefault="00C63BFE">
      <w:pPr>
        <w:spacing w:line="360" w:lineRule="auto"/>
        <w:ind w:firstLineChars="200" w:firstLine="480"/>
        <w:rPr>
          <w:color w:val="000000" w:themeColor="text1"/>
          <w:sz w:val="24"/>
        </w:rPr>
      </w:pPr>
      <w:r>
        <w:rPr>
          <w:color w:val="000000" w:themeColor="text1"/>
          <w:sz w:val="24"/>
        </w:rPr>
        <w:t>本报告期内，公司旗下所有投资组合参与的交易所公开竞价交易中，同日反向交易成交较少的单边交易量超过该证券当日成交量的</w:t>
      </w:r>
      <w:r>
        <w:rPr>
          <w:color w:val="000000" w:themeColor="text1"/>
          <w:sz w:val="24"/>
        </w:rPr>
        <w:t>5%</w:t>
      </w:r>
      <w:r>
        <w:rPr>
          <w:color w:val="000000" w:themeColor="text1"/>
          <w:sz w:val="24"/>
        </w:rPr>
        <w:t>的交易共</w:t>
      </w:r>
      <w:r>
        <w:rPr>
          <w:color w:val="000000" w:themeColor="text1"/>
          <w:sz w:val="24"/>
        </w:rPr>
        <w:t>26</w:t>
      </w:r>
      <w:r>
        <w:rPr>
          <w:color w:val="000000" w:themeColor="text1"/>
          <w:sz w:val="24"/>
        </w:rPr>
        <w:t>次，均为指数量化投资组合因投资策略需要和其他组合发生的反向交易。</w:t>
      </w:r>
    </w:p>
    <w:p w:rsidR="001F3C28" w:rsidRPr="00A67563" w:rsidRDefault="001F3C28" w:rsidP="00797DD2">
      <w:pPr>
        <w:spacing w:line="360" w:lineRule="auto"/>
        <w:ind w:firstLineChars="200" w:firstLine="480"/>
        <w:rPr>
          <w:color w:val="000000" w:themeColor="text1"/>
          <w:sz w:val="24"/>
        </w:rPr>
      </w:pPr>
      <w:r w:rsidRPr="00A67563">
        <w:rPr>
          <w:color w:val="000000" w:themeColor="text1"/>
          <w:sz w:val="24"/>
        </w:rPr>
        <w:t>本报告期内，未发现本基金有可能导致不公平交易和利益输送的异常交易。</w:t>
      </w:r>
    </w:p>
    <w:p w:rsidR="0076518F" w:rsidRPr="00A67563" w:rsidRDefault="0076518F" w:rsidP="00A70E23">
      <w:pPr>
        <w:autoSpaceDE w:val="0"/>
        <w:autoSpaceDN w:val="0"/>
        <w:adjustRightInd w:val="0"/>
        <w:spacing w:line="360" w:lineRule="auto"/>
        <w:jc w:val="left"/>
        <w:rPr>
          <w:color w:val="000000" w:themeColor="text1"/>
          <w:kern w:val="0"/>
          <w:sz w:val="24"/>
        </w:rPr>
      </w:pPr>
    </w:p>
    <w:p w:rsidR="0009273D" w:rsidRPr="0009273D" w:rsidRDefault="0076518F" w:rsidP="0009273D">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A32FDA" w:rsidRPr="00A67563">
        <w:rPr>
          <w:b/>
          <w:color w:val="000000" w:themeColor="text1"/>
          <w:kern w:val="0"/>
          <w:sz w:val="24"/>
        </w:rPr>
        <w:t>5</w:t>
      </w:r>
      <w:r w:rsidR="0037337F">
        <w:rPr>
          <w:rFonts w:hint="eastAsia"/>
          <w:b/>
          <w:color w:val="000000" w:themeColor="text1"/>
          <w:kern w:val="0"/>
          <w:sz w:val="24"/>
        </w:rPr>
        <w:t xml:space="preserve"> </w:t>
      </w:r>
      <w:r w:rsidR="0009273D" w:rsidRPr="0009273D">
        <w:rPr>
          <w:rFonts w:hint="eastAsia"/>
          <w:b/>
          <w:color w:val="000000" w:themeColor="text1"/>
          <w:kern w:val="0"/>
          <w:sz w:val="24"/>
        </w:rPr>
        <w:t>报告期内基金的投资策略和业绩表现说明</w:t>
      </w:r>
    </w:p>
    <w:p w:rsidR="00DB0A33" w:rsidRDefault="00C63BFE">
      <w:pPr>
        <w:spacing w:line="360" w:lineRule="auto"/>
        <w:ind w:firstLineChars="200" w:firstLine="480"/>
        <w:rPr>
          <w:color w:val="000000" w:themeColor="text1"/>
          <w:sz w:val="24"/>
        </w:rPr>
      </w:pPr>
      <w:r>
        <w:rPr>
          <w:color w:val="000000" w:themeColor="text1"/>
          <w:sz w:val="24"/>
        </w:rPr>
        <w:t>回顾</w:t>
      </w:r>
      <w:r>
        <w:rPr>
          <w:color w:val="000000" w:themeColor="text1"/>
          <w:sz w:val="24"/>
        </w:rPr>
        <w:t>2019</w:t>
      </w:r>
      <w:r>
        <w:rPr>
          <w:color w:val="000000" w:themeColor="text1"/>
          <w:sz w:val="24"/>
        </w:rPr>
        <w:t>年三季度，全球经济增长动能放缓，美国经济面临的压力进一步加大，就业和制造业</w:t>
      </w:r>
      <w:r>
        <w:rPr>
          <w:color w:val="000000" w:themeColor="text1"/>
          <w:sz w:val="24"/>
        </w:rPr>
        <w:t>PMI</w:t>
      </w:r>
      <w:r>
        <w:rPr>
          <w:color w:val="000000" w:themeColor="text1"/>
          <w:sz w:val="24"/>
        </w:rPr>
        <w:t>等宏观经济指标不达预期，企业盈利增速预计放缓。美联储</w:t>
      </w:r>
      <w:r>
        <w:rPr>
          <w:color w:val="000000" w:themeColor="text1"/>
          <w:sz w:val="24"/>
        </w:rPr>
        <w:t>7</w:t>
      </w:r>
      <w:r>
        <w:rPr>
          <w:color w:val="000000" w:themeColor="text1"/>
          <w:sz w:val="24"/>
        </w:rPr>
        <w:t>月如期降息但指引偏鹰派，紧随其后的贸易摩擦升级推升了市场的避险情绪，美债收益率出现了倒挂的情形。</w:t>
      </w:r>
      <w:r>
        <w:rPr>
          <w:color w:val="000000" w:themeColor="text1"/>
          <w:sz w:val="24"/>
        </w:rPr>
        <w:t>9</w:t>
      </w:r>
      <w:r>
        <w:rPr>
          <w:color w:val="000000" w:themeColor="text1"/>
          <w:sz w:val="24"/>
        </w:rPr>
        <w:t>月以来，美联储再次降息</w:t>
      </w:r>
      <w:r>
        <w:rPr>
          <w:color w:val="000000" w:themeColor="text1"/>
          <w:sz w:val="24"/>
        </w:rPr>
        <w:t>0.25%</w:t>
      </w:r>
      <w:r>
        <w:rPr>
          <w:color w:val="000000" w:themeColor="text1"/>
          <w:sz w:val="24"/>
        </w:rPr>
        <w:t>，货币宽松节奏加快。中美贸易谈判前景仍然充满不确定性，叠加香港的紧张局势，压制了中概股的表现。</w:t>
      </w:r>
    </w:p>
    <w:p w:rsidR="00DB0A33" w:rsidRDefault="00C63BFE">
      <w:pPr>
        <w:spacing w:line="360" w:lineRule="auto"/>
        <w:ind w:firstLineChars="200" w:firstLine="480"/>
        <w:rPr>
          <w:color w:val="000000" w:themeColor="text1"/>
          <w:sz w:val="24"/>
        </w:rPr>
      </w:pPr>
      <w:r>
        <w:rPr>
          <w:color w:val="000000" w:themeColor="text1"/>
          <w:sz w:val="24"/>
        </w:rPr>
        <w:t>本基金是易方达中证海外互联</w:t>
      </w:r>
      <w:r>
        <w:rPr>
          <w:color w:val="000000" w:themeColor="text1"/>
          <w:sz w:val="24"/>
        </w:rPr>
        <w:t>ETF</w:t>
      </w:r>
      <w:r>
        <w:rPr>
          <w:color w:val="000000" w:themeColor="text1"/>
          <w:sz w:val="24"/>
        </w:rPr>
        <w:t>的联接基金，作为追踪中证海外中国互联网</w:t>
      </w:r>
      <w:r>
        <w:rPr>
          <w:color w:val="000000" w:themeColor="text1"/>
          <w:sz w:val="24"/>
        </w:rPr>
        <w:t>50</w:t>
      </w:r>
      <w:r>
        <w:rPr>
          <w:color w:val="000000" w:themeColor="text1"/>
          <w:sz w:val="24"/>
        </w:rPr>
        <w:t>指数的被动式海外指数基金，</w:t>
      </w:r>
      <w:r>
        <w:rPr>
          <w:color w:val="000000" w:themeColor="text1"/>
          <w:sz w:val="24"/>
        </w:rPr>
        <w:t>我们在操作中严格遵守基金合同，坚持既定的指数化投资策略，力求追踪误差最小化。</w:t>
      </w:r>
    </w:p>
    <w:p w:rsidR="00FD7298" w:rsidRPr="00A67563" w:rsidRDefault="0009273D" w:rsidP="00C14EF1">
      <w:pPr>
        <w:spacing w:line="360" w:lineRule="auto"/>
        <w:ind w:firstLineChars="200" w:firstLine="480"/>
        <w:rPr>
          <w:color w:val="000000" w:themeColor="text1"/>
          <w:sz w:val="24"/>
        </w:rPr>
      </w:pPr>
      <w:r w:rsidRPr="00C14EF1">
        <w:rPr>
          <w:color w:val="000000" w:themeColor="text1"/>
          <w:sz w:val="24"/>
        </w:rPr>
        <w:t>截至报告期末，本基金</w:t>
      </w:r>
      <w:r w:rsidRPr="00C14EF1">
        <w:rPr>
          <w:color w:val="000000" w:themeColor="text1"/>
          <w:sz w:val="24"/>
        </w:rPr>
        <w:t>A</w:t>
      </w:r>
      <w:r w:rsidRPr="00C14EF1">
        <w:rPr>
          <w:color w:val="000000" w:themeColor="text1"/>
          <w:sz w:val="24"/>
        </w:rPr>
        <w:t>类基金份额净值为</w:t>
      </w:r>
      <w:r w:rsidRPr="00C14EF1">
        <w:rPr>
          <w:color w:val="000000" w:themeColor="text1"/>
          <w:sz w:val="24"/>
        </w:rPr>
        <w:t>0.9575</w:t>
      </w:r>
      <w:r w:rsidRPr="00C14EF1">
        <w:rPr>
          <w:color w:val="000000" w:themeColor="text1"/>
          <w:sz w:val="24"/>
        </w:rPr>
        <w:t>元，本报告期份额净值增长率为</w:t>
      </w:r>
      <w:r w:rsidRPr="00C14EF1">
        <w:rPr>
          <w:color w:val="000000" w:themeColor="text1"/>
          <w:sz w:val="24"/>
        </w:rPr>
        <w:t>-1.75%</w:t>
      </w:r>
      <w:r w:rsidRPr="00C14EF1">
        <w:rPr>
          <w:color w:val="000000" w:themeColor="text1"/>
          <w:sz w:val="24"/>
        </w:rPr>
        <w:t>；</w:t>
      </w:r>
      <w:r w:rsidRPr="00C14EF1">
        <w:rPr>
          <w:color w:val="000000" w:themeColor="text1"/>
          <w:sz w:val="24"/>
        </w:rPr>
        <w:t>C</w:t>
      </w:r>
      <w:r w:rsidRPr="00C14EF1">
        <w:rPr>
          <w:color w:val="000000" w:themeColor="text1"/>
          <w:sz w:val="24"/>
        </w:rPr>
        <w:t>类基金份额净值为</w:t>
      </w:r>
      <w:r w:rsidRPr="00C14EF1">
        <w:rPr>
          <w:color w:val="000000" w:themeColor="text1"/>
          <w:sz w:val="24"/>
        </w:rPr>
        <w:t>0.9502</w:t>
      </w:r>
      <w:r w:rsidRPr="00C14EF1">
        <w:rPr>
          <w:color w:val="000000" w:themeColor="text1"/>
          <w:sz w:val="24"/>
        </w:rPr>
        <w:t>元，本报告期份额净值增长率为</w:t>
      </w:r>
      <w:r w:rsidRPr="00C14EF1">
        <w:rPr>
          <w:color w:val="000000" w:themeColor="text1"/>
          <w:sz w:val="24"/>
        </w:rPr>
        <w:t>-1.84%</w:t>
      </w:r>
      <w:r w:rsidRPr="00C14EF1">
        <w:rPr>
          <w:color w:val="000000" w:themeColor="text1"/>
          <w:sz w:val="24"/>
        </w:rPr>
        <w:t>；同期业绩比较基准收益率为</w:t>
      </w:r>
      <w:r w:rsidRPr="00C14EF1">
        <w:rPr>
          <w:color w:val="000000" w:themeColor="text1"/>
          <w:sz w:val="24"/>
        </w:rPr>
        <w:t>-1.41%</w:t>
      </w:r>
      <w:r w:rsidRPr="00C14EF1">
        <w:rPr>
          <w:color w:val="000000" w:themeColor="text1"/>
          <w:sz w:val="24"/>
        </w:rPr>
        <w:t>。年化跟踪误差</w:t>
      </w:r>
      <w:r w:rsidRPr="00C14EF1">
        <w:rPr>
          <w:color w:val="000000" w:themeColor="text1"/>
          <w:sz w:val="24"/>
        </w:rPr>
        <w:t>0.675%</w:t>
      </w:r>
      <w:r w:rsidRPr="00C14EF1">
        <w:rPr>
          <w:color w:val="000000" w:themeColor="text1"/>
          <w:sz w:val="24"/>
        </w:rPr>
        <w:t>，在合同规定的目标控制范围之内。</w:t>
      </w:r>
    </w:p>
    <w:p w:rsidR="00C736BB" w:rsidRPr="00A67563" w:rsidRDefault="00C736BB" w:rsidP="00A70E23">
      <w:pPr>
        <w:spacing w:line="360" w:lineRule="auto"/>
        <w:ind w:firstLineChars="200" w:firstLine="480"/>
        <w:rPr>
          <w:color w:val="000000" w:themeColor="text1"/>
          <w:sz w:val="24"/>
        </w:rPr>
      </w:pPr>
    </w:p>
    <w:p w:rsidR="0076518F" w:rsidRPr="00A67563"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§5  </w:t>
      </w:r>
      <w:r w:rsidRPr="00A67563">
        <w:rPr>
          <w:color w:val="000000" w:themeColor="text1"/>
          <w:kern w:val="0"/>
          <w:sz w:val="24"/>
          <w:szCs w:val="24"/>
        </w:rPr>
        <w:t>投资组合报告</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5.1 </w:t>
      </w:r>
      <w:r w:rsidRPr="002149AE">
        <w:rPr>
          <w:rFonts w:ascii="宋体" w:hAnsi="宋体" w:cs="Arial" w:hint="eastAsia"/>
          <w:b/>
          <w:color w:val="000000"/>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253"/>
        <w:gridCol w:w="2835"/>
        <w:gridCol w:w="1559"/>
      </w:tblGrid>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序号</w:t>
            </w:r>
          </w:p>
        </w:tc>
        <w:tc>
          <w:tcPr>
            <w:tcW w:w="4253"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项目</w:t>
            </w:r>
          </w:p>
        </w:tc>
        <w:tc>
          <w:tcPr>
            <w:tcW w:w="2835"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金额（人民币元）</w:t>
            </w:r>
          </w:p>
        </w:tc>
        <w:tc>
          <w:tcPr>
            <w:tcW w:w="1559"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占基金总资产的比例（</w:t>
            </w:r>
            <w:r w:rsidRPr="008043C8">
              <w:rPr>
                <w:color w:val="000000"/>
                <w:sz w:val="24"/>
              </w:rPr>
              <w:t>%</w:t>
            </w: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1</w:t>
            </w: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权益投资</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其中：普通股</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firstLineChars="300" w:firstLine="720"/>
              <w:jc w:val="left"/>
              <w:rPr>
                <w:color w:val="000000"/>
                <w:sz w:val="24"/>
              </w:rPr>
            </w:pPr>
            <w:r w:rsidRPr="008043C8">
              <w:rPr>
                <w:color w:val="000000"/>
                <w:sz w:val="24"/>
              </w:rPr>
              <w:t>存托凭证</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firstLineChars="300" w:firstLine="720"/>
              <w:jc w:val="left"/>
              <w:rPr>
                <w:color w:val="000000"/>
                <w:sz w:val="24"/>
              </w:rPr>
            </w:pPr>
            <w:r w:rsidRPr="008043C8">
              <w:rPr>
                <w:color w:val="000000"/>
                <w:sz w:val="24"/>
              </w:rPr>
              <w:t>优先股</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firstLineChars="300" w:firstLine="720"/>
              <w:jc w:val="left"/>
              <w:rPr>
                <w:color w:val="000000"/>
                <w:sz w:val="24"/>
              </w:rPr>
            </w:pPr>
            <w:r w:rsidRPr="008043C8">
              <w:rPr>
                <w:color w:val="000000"/>
                <w:sz w:val="24"/>
              </w:rPr>
              <w:t>房地产信托</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tcPr>
          <w:p w:rsidR="000C6832" w:rsidRPr="008043C8" w:rsidRDefault="000C6832" w:rsidP="000E1CD8">
            <w:pPr>
              <w:adjustRightInd w:val="0"/>
              <w:snapToGrid w:val="0"/>
              <w:spacing w:line="400" w:lineRule="exact"/>
              <w:jc w:val="center"/>
              <w:rPr>
                <w:color w:val="000000"/>
                <w:sz w:val="24"/>
              </w:rPr>
            </w:pPr>
            <w:r w:rsidRPr="008043C8">
              <w:rPr>
                <w:color w:val="000000"/>
                <w:sz w:val="24"/>
              </w:rPr>
              <w:t>2</w:t>
            </w:r>
          </w:p>
        </w:tc>
        <w:tc>
          <w:tcPr>
            <w:tcW w:w="4253" w:type="dxa"/>
          </w:tcPr>
          <w:p w:rsidR="000C6832" w:rsidRPr="008043C8" w:rsidRDefault="000C6832" w:rsidP="000E1CD8">
            <w:pPr>
              <w:adjustRightInd w:val="0"/>
              <w:snapToGrid w:val="0"/>
              <w:spacing w:line="400" w:lineRule="exact"/>
              <w:rPr>
                <w:color w:val="000000"/>
                <w:sz w:val="24"/>
              </w:rPr>
            </w:pPr>
            <w:r w:rsidRPr="008043C8">
              <w:rPr>
                <w:color w:val="000000"/>
                <w:sz w:val="24"/>
              </w:rPr>
              <w:t>基金投资</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98,877,922.71</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93.15</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3</w:t>
            </w: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固定收益投资</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其中：债券</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autoSpaceDE w:val="0"/>
              <w:autoSpaceDN w:val="0"/>
              <w:adjustRightInd w:val="0"/>
              <w:spacing w:before="29" w:line="360" w:lineRule="auto"/>
              <w:ind w:left="17" w:firstLineChars="300" w:firstLine="720"/>
              <w:jc w:val="left"/>
              <w:rPr>
                <w:color w:val="000000"/>
                <w:sz w:val="24"/>
              </w:rPr>
            </w:pPr>
            <w:r w:rsidRPr="008043C8">
              <w:rPr>
                <w:color w:val="000000"/>
                <w:sz w:val="24"/>
              </w:rPr>
              <w:t>资产支持证券</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4</w:t>
            </w: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金融衍生品投资</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tcPr>
          <w:p w:rsidR="000C6832" w:rsidRPr="008043C8" w:rsidRDefault="000C6832" w:rsidP="000E1CD8">
            <w:pPr>
              <w:adjustRightInd w:val="0"/>
              <w:snapToGrid w:val="0"/>
              <w:spacing w:line="400" w:lineRule="exact"/>
              <w:rPr>
                <w:color w:val="000000"/>
                <w:sz w:val="24"/>
              </w:rPr>
            </w:pPr>
            <w:r w:rsidRPr="008043C8">
              <w:rPr>
                <w:color w:val="000000"/>
                <w:sz w:val="24"/>
              </w:rPr>
              <w:t>其中：远期</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tcPr>
          <w:p w:rsidR="000C6832" w:rsidRPr="008043C8" w:rsidDel="00455464" w:rsidRDefault="000C6832" w:rsidP="000E1CD8">
            <w:pPr>
              <w:adjustRightInd w:val="0"/>
              <w:snapToGrid w:val="0"/>
              <w:spacing w:line="400" w:lineRule="exact"/>
              <w:ind w:firstLineChars="300" w:firstLine="720"/>
              <w:rPr>
                <w:color w:val="000000"/>
                <w:sz w:val="24"/>
              </w:rPr>
            </w:pPr>
            <w:r w:rsidRPr="008043C8">
              <w:rPr>
                <w:color w:val="000000"/>
                <w:sz w:val="24"/>
              </w:rPr>
              <w:t>期货</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tcPr>
          <w:p w:rsidR="000C6832" w:rsidRPr="008043C8" w:rsidRDefault="000C6832" w:rsidP="000E1CD8">
            <w:pPr>
              <w:adjustRightInd w:val="0"/>
              <w:snapToGrid w:val="0"/>
              <w:spacing w:line="400" w:lineRule="exact"/>
              <w:ind w:firstLineChars="300" w:firstLine="720"/>
              <w:rPr>
                <w:color w:val="000000"/>
                <w:sz w:val="24"/>
              </w:rPr>
            </w:pPr>
            <w:r w:rsidRPr="008043C8">
              <w:rPr>
                <w:color w:val="000000"/>
                <w:sz w:val="24"/>
              </w:rPr>
              <w:t>期权</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tcPr>
          <w:p w:rsidR="000C6832" w:rsidRPr="008043C8" w:rsidRDefault="000C6832" w:rsidP="000E1CD8">
            <w:pPr>
              <w:adjustRightInd w:val="0"/>
              <w:snapToGrid w:val="0"/>
              <w:spacing w:line="400" w:lineRule="exact"/>
              <w:ind w:firstLineChars="298" w:firstLine="715"/>
              <w:rPr>
                <w:color w:val="000000"/>
                <w:sz w:val="24"/>
              </w:rPr>
            </w:pPr>
            <w:r w:rsidRPr="008043C8">
              <w:rPr>
                <w:color w:val="000000"/>
                <w:sz w:val="24"/>
              </w:rPr>
              <w:t>权证</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5</w:t>
            </w: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买入返售金融资产</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其中：买断式回购的买入返售金融资产</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tcPr>
          <w:p w:rsidR="000C6832" w:rsidRPr="008043C8" w:rsidRDefault="000C6832" w:rsidP="000E1CD8">
            <w:pPr>
              <w:adjustRightInd w:val="0"/>
              <w:snapToGrid w:val="0"/>
              <w:spacing w:line="400" w:lineRule="exact"/>
              <w:jc w:val="center"/>
              <w:rPr>
                <w:color w:val="000000"/>
                <w:sz w:val="24"/>
              </w:rPr>
            </w:pPr>
            <w:r w:rsidRPr="008043C8">
              <w:rPr>
                <w:color w:val="000000"/>
                <w:sz w:val="24"/>
              </w:rPr>
              <w:t>6</w:t>
            </w:r>
          </w:p>
        </w:tc>
        <w:tc>
          <w:tcPr>
            <w:tcW w:w="4253" w:type="dxa"/>
          </w:tcPr>
          <w:p w:rsidR="000C6832" w:rsidRPr="008043C8" w:rsidRDefault="000C6832" w:rsidP="000E1CD8">
            <w:pPr>
              <w:adjustRightInd w:val="0"/>
              <w:snapToGrid w:val="0"/>
              <w:spacing w:line="400" w:lineRule="exact"/>
              <w:rPr>
                <w:color w:val="000000"/>
                <w:sz w:val="24"/>
              </w:rPr>
            </w:pPr>
            <w:r w:rsidRPr="008043C8">
              <w:rPr>
                <w:color w:val="000000"/>
                <w:sz w:val="24"/>
              </w:rPr>
              <w:t>货币市场工具</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7</w:t>
            </w: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银行存款和结算备付金合计</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5,830,205.86</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5.49</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8</w:t>
            </w:r>
          </w:p>
        </w:tc>
        <w:tc>
          <w:tcPr>
            <w:tcW w:w="4253" w:type="dxa"/>
            <w:vAlign w:val="center"/>
          </w:tcPr>
          <w:p w:rsidR="000C6832" w:rsidRPr="008043C8" w:rsidRDefault="000C6832" w:rsidP="000E1CD8">
            <w:pPr>
              <w:jc w:val="left"/>
              <w:rPr>
                <w:sz w:val="24"/>
              </w:rPr>
            </w:pPr>
            <w:r w:rsidRPr="008043C8">
              <w:rPr>
                <w:color w:val="000000"/>
                <w:sz w:val="24"/>
              </w:rPr>
              <w:t>其他资产</w:t>
            </w:r>
          </w:p>
        </w:tc>
        <w:tc>
          <w:tcPr>
            <w:tcW w:w="2835" w:type="dxa"/>
            <w:vAlign w:val="center"/>
          </w:tcPr>
          <w:p w:rsidR="000C6832" w:rsidRPr="008043C8" w:rsidRDefault="000C6832" w:rsidP="000E1CD8">
            <w:pPr>
              <w:jc w:val="right"/>
              <w:rPr>
                <w:color w:val="000000"/>
                <w:sz w:val="24"/>
              </w:rPr>
            </w:pPr>
            <w:r w:rsidRPr="008043C8">
              <w:rPr>
                <w:color w:val="000000"/>
                <w:sz w:val="24"/>
              </w:rPr>
              <w:t>1,446,189.12</w:t>
            </w:r>
          </w:p>
        </w:tc>
        <w:tc>
          <w:tcPr>
            <w:tcW w:w="1559" w:type="dxa"/>
            <w:vAlign w:val="center"/>
          </w:tcPr>
          <w:p w:rsidR="000C6832" w:rsidRPr="008043C8" w:rsidRDefault="000C6832" w:rsidP="000E1CD8">
            <w:pPr>
              <w:jc w:val="right"/>
              <w:rPr>
                <w:color w:val="000000"/>
                <w:sz w:val="24"/>
              </w:rPr>
            </w:pPr>
            <w:r w:rsidRPr="008043C8">
              <w:rPr>
                <w:color w:val="000000"/>
                <w:sz w:val="24"/>
              </w:rPr>
              <w:t>1.36</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9</w:t>
            </w:r>
          </w:p>
        </w:tc>
        <w:tc>
          <w:tcPr>
            <w:tcW w:w="4253" w:type="dxa"/>
            <w:vAlign w:val="center"/>
          </w:tcPr>
          <w:p w:rsidR="000C6832" w:rsidRPr="008043C8" w:rsidRDefault="000C6832" w:rsidP="000E1CD8">
            <w:pPr>
              <w:jc w:val="left"/>
              <w:rPr>
                <w:sz w:val="24"/>
              </w:rPr>
            </w:pPr>
            <w:r w:rsidRPr="008043C8">
              <w:rPr>
                <w:color w:val="000000"/>
                <w:sz w:val="24"/>
              </w:rPr>
              <w:t>合计</w:t>
            </w:r>
          </w:p>
        </w:tc>
        <w:tc>
          <w:tcPr>
            <w:tcW w:w="2835" w:type="dxa"/>
            <w:vAlign w:val="center"/>
          </w:tcPr>
          <w:p w:rsidR="000C6832" w:rsidRPr="008043C8" w:rsidRDefault="000C6832" w:rsidP="000E1CD8">
            <w:pPr>
              <w:jc w:val="right"/>
              <w:rPr>
                <w:color w:val="000000"/>
                <w:sz w:val="24"/>
              </w:rPr>
            </w:pPr>
            <w:r w:rsidRPr="008043C8">
              <w:rPr>
                <w:color w:val="000000"/>
                <w:sz w:val="24"/>
              </w:rPr>
              <w:t>106,154,317.69</w:t>
            </w:r>
          </w:p>
        </w:tc>
        <w:tc>
          <w:tcPr>
            <w:tcW w:w="1559" w:type="dxa"/>
            <w:vAlign w:val="center"/>
          </w:tcPr>
          <w:p w:rsidR="000C6832" w:rsidRPr="008043C8" w:rsidRDefault="000C6832" w:rsidP="000E1CD8">
            <w:pPr>
              <w:jc w:val="right"/>
              <w:rPr>
                <w:color w:val="000000"/>
                <w:sz w:val="24"/>
              </w:rPr>
            </w:pPr>
            <w:r w:rsidRPr="008043C8">
              <w:rPr>
                <w:color w:val="000000"/>
                <w:sz w:val="24"/>
              </w:rPr>
              <w:t>100.00</w:t>
            </w:r>
          </w:p>
        </w:tc>
      </w:tr>
    </w:tbl>
    <w:p w:rsidR="000C6832" w:rsidRPr="00E85E29" w:rsidRDefault="000C6832" w:rsidP="000C6832">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5.2</w:t>
      </w:r>
      <w:r w:rsidRPr="00E85E29">
        <w:rPr>
          <w:rFonts w:ascii="宋体" w:hAnsi="宋体" w:cs="Arial" w:hint="eastAsia"/>
          <w:b/>
          <w:kern w:val="0"/>
          <w:sz w:val="24"/>
        </w:rPr>
        <w:t>期末投资目标基金明细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061"/>
        <w:gridCol w:w="658"/>
        <w:gridCol w:w="1484"/>
        <w:gridCol w:w="1069"/>
        <w:gridCol w:w="1596"/>
        <w:gridCol w:w="988"/>
      </w:tblGrid>
      <w:tr w:rsidR="000C6832" w:rsidRPr="00E85E29" w:rsidTr="000E1CD8">
        <w:tc>
          <w:tcPr>
            <w:tcW w:w="1215"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序号</w:t>
            </w:r>
          </w:p>
        </w:tc>
        <w:tc>
          <w:tcPr>
            <w:tcW w:w="1216"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基金名称</w:t>
            </w:r>
          </w:p>
        </w:tc>
        <w:tc>
          <w:tcPr>
            <w:tcW w:w="1216"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基金类型</w:t>
            </w:r>
          </w:p>
        </w:tc>
        <w:tc>
          <w:tcPr>
            <w:tcW w:w="1216"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运作方式</w:t>
            </w:r>
          </w:p>
        </w:tc>
        <w:tc>
          <w:tcPr>
            <w:tcW w:w="1216"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管理人</w:t>
            </w:r>
          </w:p>
        </w:tc>
        <w:tc>
          <w:tcPr>
            <w:tcW w:w="1217"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公允价值</w:t>
            </w:r>
          </w:p>
        </w:tc>
        <w:tc>
          <w:tcPr>
            <w:tcW w:w="1217"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占基金资产净值比例（</w:t>
            </w:r>
            <w:r w:rsidRPr="008043C8">
              <w:rPr>
                <w:kern w:val="0"/>
                <w:sz w:val="24"/>
              </w:rPr>
              <w:t>%</w:t>
            </w:r>
            <w:r w:rsidRPr="008043C8">
              <w:rPr>
                <w:kern w:val="0"/>
                <w:sz w:val="24"/>
              </w:rPr>
              <w:t>）</w:t>
            </w:r>
          </w:p>
        </w:tc>
      </w:tr>
      <w:tr w:rsidR="00DB0A33">
        <w:tc>
          <w:tcPr>
            <w:tcW w:w="0" w:type="auto"/>
            <w:vAlign w:val="center"/>
          </w:tcPr>
          <w:p w:rsidR="00DB0A33" w:rsidRDefault="00C63BFE">
            <w:pPr>
              <w:jc w:val="center"/>
            </w:pPr>
            <w:r>
              <w:rPr>
                <w:color w:val="000000"/>
                <w:sz w:val="24"/>
              </w:rPr>
              <w:t>1</w:t>
            </w:r>
          </w:p>
        </w:tc>
        <w:tc>
          <w:tcPr>
            <w:tcW w:w="0" w:type="auto"/>
            <w:vAlign w:val="center"/>
          </w:tcPr>
          <w:p w:rsidR="00DB0A33" w:rsidRDefault="00C63BFE">
            <w:pPr>
              <w:jc w:val="center"/>
            </w:pPr>
            <w:r>
              <w:rPr>
                <w:color w:val="000000"/>
                <w:sz w:val="24"/>
              </w:rPr>
              <w:t>易方达中证海外中国互联网</w:t>
            </w:r>
            <w:r>
              <w:rPr>
                <w:color w:val="000000"/>
                <w:sz w:val="24"/>
              </w:rPr>
              <w:t>50</w:t>
            </w:r>
            <w:r>
              <w:rPr>
                <w:color w:val="000000"/>
                <w:sz w:val="24"/>
              </w:rPr>
              <w:t>交易型开放式指数证券投资基金</w:t>
            </w:r>
          </w:p>
        </w:tc>
        <w:tc>
          <w:tcPr>
            <w:tcW w:w="0" w:type="auto"/>
            <w:vAlign w:val="center"/>
          </w:tcPr>
          <w:p w:rsidR="00DB0A33" w:rsidRDefault="00C63BFE">
            <w:pPr>
              <w:jc w:val="center"/>
            </w:pPr>
            <w:r>
              <w:rPr>
                <w:color w:val="000000"/>
                <w:sz w:val="24"/>
              </w:rPr>
              <w:t>股票型</w:t>
            </w:r>
          </w:p>
        </w:tc>
        <w:tc>
          <w:tcPr>
            <w:tcW w:w="0" w:type="auto"/>
            <w:vAlign w:val="center"/>
          </w:tcPr>
          <w:p w:rsidR="00DB0A33" w:rsidRDefault="00C63BFE">
            <w:pPr>
              <w:jc w:val="center"/>
            </w:pPr>
            <w:r>
              <w:rPr>
                <w:color w:val="000000"/>
                <w:sz w:val="24"/>
              </w:rPr>
              <w:t>交易型开放式（</w:t>
            </w:r>
            <w:r>
              <w:rPr>
                <w:color w:val="000000"/>
                <w:sz w:val="24"/>
              </w:rPr>
              <w:t>ETF</w:t>
            </w:r>
            <w:r>
              <w:rPr>
                <w:color w:val="000000"/>
                <w:sz w:val="24"/>
              </w:rPr>
              <w:t>）</w:t>
            </w:r>
          </w:p>
        </w:tc>
        <w:tc>
          <w:tcPr>
            <w:tcW w:w="0" w:type="auto"/>
            <w:vAlign w:val="center"/>
          </w:tcPr>
          <w:p w:rsidR="00DB0A33" w:rsidRDefault="00C63BFE">
            <w:pPr>
              <w:jc w:val="center"/>
            </w:pPr>
            <w:r>
              <w:rPr>
                <w:color w:val="000000"/>
                <w:sz w:val="24"/>
              </w:rPr>
              <w:t>易方达基金管理有限公司</w:t>
            </w:r>
          </w:p>
        </w:tc>
        <w:tc>
          <w:tcPr>
            <w:tcW w:w="0" w:type="auto"/>
            <w:vAlign w:val="center"/>
          </w:tcPr>
          <w:p w:rsidR="00DB0A33" w:rsidRDefault="00C63BFE">
            <w:pPr>
              <w:jc w:val="right"/>
            </w:pPr>
            <w:r>
              <w:rPr>
                <w:color w:val="000000"/>
                <w:sz w:val="24"/>
              </w:rPr>
              <w:t>98,877,922.71</w:t>
            </w:r>
          </w:p>
        </w:tc>
        <w:tc>
          <w:tcPr>
            <w:tcW w:w="0" w:type="auto"/>
            <w:vAlign w:val="center"/>
          </w:tcPr>
          <w:p w:rsidR="00DB0A33" w:rsidRDefault="00C63BFE">
            <w:pPr>
              <w:jc w:val="right"/>
            </w:pPr>
            <w:r>
              <w:rPr>
                <w:color w:val="000000"/>
                <w:sz w:val="24"/>
              </w:rPr>
              <w:t>94.02</w:t>
            </w:r>
          </w:p>
        </w:tc>
      </w:tr>
    </w:tbl>
    <w:p w:rsidR="000C6832"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3</w:t>
      </w:r>
      <w:r w:rsidRPr="002149AE">
        <w:rPr>
          <w:rFonts w:ascii="宋体" w:hAnsi="宋体" w:cs="Arial" w:hint="eastAsia"/>
          <w:b/>
          <w:color w:val="000000"/>
          <w:kern w:val="0"/>
          <w:sz w:val="24"/>
        </w:rPr>
        <w:t>报告期末在各个国家（地区）证券市场的股票及存托凭证投资分布</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本基金本报告期末未持有权益投资。</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4</w:t>
      </w:r>
      <w:r w:rsidRPr="002149AE">
        <w:rPr>
          <w:rFonts w:ascii="宋体" w:hAnsi="宋体" w:cs="Arial" w:hint="eastAsia"/>
          <w:b/>
          <w:color w:val="000000"/>
          <w:kern w:val="0"/>
          <w:sz w:val="24"/>
        </w:rPr>
        <w:t>报告期末按行业分类的股票及存托凭证投资组合</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本基金本报告期末未持有权益投资。</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5</w:t>
      </w:r>
      <w:r w:rsidRPr="002149AE">
        <w:rPr>
          <w:rFonts w:ascii="宋体" w:hAnsi="宋体" w:cs="Arial" w:hint="eastAsia"/>
          <w:b/>
          <w:color w:val="000000"/>
          <w:kern w:val="0"/>
          <w:sz w:val="24"/>
        </w:rPr>
        <w:t>报告期末按公允价值占基金资产净值比例大小排序的前十名股票及存托凭证投资明细</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本基金本报告期末未持有权益投资。</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6</w:t>
      </w:r>
      <w:r w:rsidRPr="002149AE">
        <w:rPr>
          <w:rFonts w:ascii="宋体" w:hAnsi="宋体" w:cs="Arial" w:hint="eastAsia"/>
          <w:b/>
          <w:color w:val="000000"/>
          <w:kern w:val="0"/>
          <w:sz w:val="24"/>
        </w:rPr>
        <w:t>报告期末按债券信用等级分类的债券投资组合</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本基金本报告期末未持有债券。</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7</w:t>
      </w:r>
      <w:r>
        <w:rPr>
          <w:rFonts w:ascii="宋体" w:hAnsi="宋体" w:cs="Arial" w:hint="eastAsia"/>
          <w:b/>
          <w:color w:val="000000"/>
          <w:kern w:val="0"/>
          <w:sz w:val="24"/>
        </w:rPr>
        <w:t>报告期末按公允价值占基金资产净值比例大小排序</w:t>
      </w:r>
      <w:r w:rsidRPr="002149AE">
        <w:rPr>
          <w:rFonts w:ascii="宋体" w:hAnsi="宋体" w:cs="Arial" w:hint="eastAsia"/>
          <w:b/>
          <w:color w:val="000000"/>
          <w:kern w:val="0"/>
          <w:sz w:val="24"/>
        </w:rPr>
        <w:t>的前五名债券投资明细</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本基金本报告期末未持有债券。</w:t>
      </w:r>
    </w:p>
    <w:p w:rsidR="000C6832" w:rsidRPr="00EC4BA3"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8</w:t>
      </w:r>
      <w:r>
        <w:rPr>
          <w:rFonts w:ascii="宋体" w:hAnsi="宋体" w:cs="Arial" w:hint="eastAsia"/>
          <w:b/>
          <w:color w:val="000000"/>
          <w:kern w:val="0"/>
          <w:sz w:val="24"/>
        </w:rPr>
        <w:t>报告期末按公允价值占基金资产净值比例大小排序</w:t>
      </w:r>
      <w:r w:rsidRPr="00EC4BA3">
        <w:rPr>
          <w:rFonts w:ascii="宋体" w:hAnsi="宋体" w:cs="Arial" w:hint="eastAsia"/>
          <w:b/>
          <w:color w:val="000000"/>
          <w:kern w:val="0"/>
          <w:sz w:val="24"/>
        </w:rPr>
        <w:t>的前十名资产支持证券投资明细</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本基金本报告期末未持有资产支持证券。</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0E5244">
        <w:rPr>
          <w:rFonts w:ascii="宋体" w:hAnsi="宋体" w:cs="Arial" w:hint="eastAsia"/>
          <w:b/>
          <w:color w:val="000000"/>
          <w:kern w:val="0"/>
          <w:sz w:val="24"/>
        </w:rPr>
        <w:t>5.9</w:t>
      </w:r>
      <w:r>
        <w:rPr>
          <w:rFonts w:ascii="宋体" w:hAnsi="宋体" w:cs="Arial" w:hint="eastAsia"/>
          <w:b/>
          <w:color w:val="000000"/>
          <w:kern w:val="0"/>
          <w:sz w:val="24"/>
        </w:rPr>
        <w:t>报告期末按公允价值占基金资产净值比例大小排序</w:t>
      </w:r>
      <w:r w:rsidRPr="002149AE">
        <w:rPr>
          <w:rFonts w:ascii="宋体" w:hAnsi="宋体" w:cs="Arial" w:hint="eastAsia"/>
          <w:b/>
          <w:color w:val="000000"/>
          <w:kern w:val="0"/>
          <w:sz w:val="24"/>
        </w:rPr>
        <w:t>的前五名金融衍生品投资明细</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本基金本报告期末未持有金融衍生品。</w:t>
      </w:r>
    </w:p>
    <w:p w:rsidR="000C6832" w:rsidRPr="00EC4BA3" w:rsidRDefault="000C6832" w:rsidP="000C6832">
      <w:pPr>
        <w:autoSpaceDE w:val="0"/>
        <w:autoSpaceDN w:val="0"/>
        <w:adjustRightInd w:val="0"/>
        <w:spacing w:line="360" w:lineRule="auto"/>
        <w:jc w:val="left"/>
        <w:rPr>
          <w:rFonts w:ascii="宋体" w:cs="Arial"/>
          <w:b/>
          <w:color w:val="000000"/>
          <w:kern w:val="0"/>
          <w:sz w:val="24"/>
        </w:rPr>
      </w:pPr>
      <w:r w:rsidRPr="000E5244">
        <w:rPr>
          <w:rFonts w:ascii="宋体" w:hAnsi="宋体" w:cs="Arial" w:hint="eastAsia"/>
          <w:b/>
          <w:color w:val="000000"/>
          <w:kern w:val="0"/>
          <w:sz w:val="24"/>
        </w:rPr>
        <w:t>5.10报告期末</w:t>
      </w:r>
      <w:r w:rsidRPr="00EC4BA3">
        <w:rPr>
          <w:rFonts w:ascii="宋体" w:hAnsi="宋体" w:cs="Arial" w:hint="eastAsia"/>
          <w:b/>
          <w:color w:val="000000"/>
          <w:kern w:val="0"/>
          <w:sz w:val="24"/>
        </w:rPr>
        <w:t>按公允价值占基金资产净值比例大小排序的前十名基金投资明细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2080"/>
        <w:gridCol w:w="650"/>
        <w:gridCol w:w="1491"/>
        <w:gridCol w:w="1069"/>
        <w:gridCol w:w="1596"/>
        <w:gridCol w:w="978"/>
      </w:tblGrid>
      <w:tr w:rsidR="000C6832" w:rsidRPr="002149AE" w:rsidTr="000E1CD8">
        <w:tc>
          <w:tcPr>
            <w:tcW w:w="1215" w:type="dxa"/>
            <w:vAlign w:val="center"/>
          </w:tcPr>
          <w:p w:rsidR="000C6832" w:rsidRPr="008043C8" w:rsidRDefault="000C6832" w:rsidP="000E1CD8">
            <w:pPr>
              <w:spacing w:line="360" w:lineRule="auto"/>
              <w:jc w:val="center"/>
              <w:rPr>
                <w:sz w:val="24"/>
              </w:rPr>
            </w:pPr>
            <w:r w:rsidRPr="008043C8">
              <w:rPr>
                <w:sz w:val="24"/>
              </w:rPr>
              <w:t>序号</w:t>
            </w:r>
          </w:p>
        </w:tc>
        <w:tc>
          <w:tcPr>
            <w:tcW w:w="1216" w:type="dxa"/>
            <w:vAlign w:val="center"/>
          </w:tcPr>
          <w:p w:rsidR="000C6832" w:rsidRPr="008043C8" w:rsidRDefault="000C6832" w:rsidP="000E1CD8">
            <w:pPr>
              <w:spacing w:line="360" w:lineRule="auto"/>
              <w:rPr>
                <w:sz w:val="24"/>
              </w:rPr>
            </w:pPr>
            <w:r w:rsidRPr="008043C8">
              <w:rPr>
                <w:sz w:val="24"/>
              </w:rPr>
              <w:t>基金名称</w:t>
            </w:r>
          </w:p>
        </w:tc>
        <w:tc>
          <w:tcPr>
            <w:tcW w:w="1216" w:type="dxa"/>
            <w:vAlign w:val="center"/>
          </w:tcPr>
          <w:p w:rsidR="000C6832" w:rsidRPr="008043C8" w:rsidRDefault="000C6832" w:rsidP="000E1CD8">
            <w:pPr>
              <w:spacing w:line="360" w:lineRule="auto"/>
              <w:rPr>
                <w:sz w:val="24"/>
              </w:rPr>
            </w:pPr>
            <w:r w:rsidRPr="008043C8">
              <w:rPr>
                <w:sz w:val="24"/>
              </w:rPr>
              <w:t>基金类型</w:t>
            </w:r>
          </w:p>
        </w:tc>
        <w:tc>
          <w:tcPr>
            <w:tcW w:w="1216" w:type="dxa"/>
            <w:vAlign w:val="center"/>
          </w:tcPr>
          <w:p w:rsidR="000C6832" w:rsidRPr="008043C8" w:rsidRDefault="000C6832" w:rsidP="000E1CD8">
            <w:pPr>
              <w:spacing w:line="360" w:lineRule="auto"/>
              <w:jc w:val="center"/>
              <w:rPr>
                <w:sz w:val="24"/>
              </w:rPr>
            </w:pPr>
            <w:r w:rsidRPr="008043C8">
              <w:rPr>
                <w:sz w:val="24"/>
              </w:rPr>
              <w:t>运作方式</w:t>
            </w:r>
          </w:p>
        </w:tc>
        <w:tc>
          <w:tcPr>
            <w:tcW w:w="1216" w:type="dxa"/>
            <w:vAlign w:val="center"/>
          </w:tcPr>
          <w:p w:rsidR="000C6832" w:rsidRPr="008043C8" w:rsidRDefault="000C6832" w:rsidP="000E1CD8">
            <w:pPr>
              <w:spacing w:line="360" w:lineRule="auto"/>
              <w:jc w:val="center"/>
              <w:rPr>
                <w:sz w:val="24"/>
              </w:rPr>
            </w:pPr>
            <w:r w:rsidRPr="008043C8">
              <w:rPr>
                <w:sz w:val="24"/>
              </w:rPr>
              <w:t>管理人</w:t>
            </w:r>
          </w:p>
        </w:tc>
        <w:tc>
          <w:tcPr>
            <w:tcW w:w="1217" w:type="dxa"/>
            <w:vAlign w:val="center"/>
          </w:tcPr>
          <w:p w:rsidR="000C6832" w:rsidRPr="008043C8" w:rsidRDefault="000C6832" w:rsidP="000E1CD8">
            <w:pPr>
              <w:spacing w:line="360" w:lineRule="auto"/>
              <w:jc w:val="center"/>
              <w:rPr>
                <w:sz w:val="24"/>
              </w:rPr>
            </w:pPr>
            <w:r w:rsidRPr="008043C8">
              <w:rPr>
                <w:sz w:val="24"/>
              </w:rPr>
              <w:t>公允价值</w:t>
            </w:r>
          </w:p>
          <w:p w:rsidR="000C6832" w:rsidRPr="008043C8" w:rsidRDefault="000C6832" w:rsidP="000E1CD8">
            <w:pPr>
              <w:spacing w:line="360" w:lineRule="auto"/>
              <w:jc w:val="center"/>
              <w:rPr>
                <w:sz w:val="24"/>
              </w:rPr>
            </w:pPr>
            <w:r w:rsidRPr="008043C8">
              <w:rPr>
                <w:sz w:val="24"/>
              </w:rPr>
              <w:t>（人民币元）</w:t>
            </w:r>
          </w:p>
        </w:tc>
        <w:tc>
          <w:tcPr>
            <w:tcW w:w="1217" w:type="dxa"/>
            <w:vAlign w:val="center"/>
          </w:tcPr>
          <w:p w:rsidR="000C6832" w:rsidRPr="008043C8" w:rsidRDefault="000C6832" w:rsidP="000E1CD8">
            <w:pPr>
              <w:spacing w:line="360" w:lineRule="auto"/>
              <w:jc w:val="center"/>
              <w:rPr>
                <w:sz w:val="24"/>
              </w:rPr>
            </w:pPr>
            <w:r w:rsidRPr="008043C8">
              <w:rPr>
                <w:sz w:val="24"/>
              </w:rPr>
              <w:t>占基金资产净值比例（</w:t>
            </w:r>
            <w:r w:rsidRPr="008043C8">
              <w:rPr>
                <w:sz w:val="24"/>
              </w:rPr>
              <w:t>%</w:t>
            </w:r>
            <w:r w:rsidRPr="008043C8">
              <w:rPr>
                <w:sz w:val="24"/>
              </w:rPr>
              <w:t>）</w:t>
            </w:r>
          </w:p>
        </w:tc>
      </w:tr>
      <w:tr w:rsidR="00DB0A33">
        <w:tc>
          <w:tcPr>
            <w:tcW w:w="0" w:type="auto"/>
            <w:vAlign w:val="center"/>
          </w:tcPr>
          <w:p w:rsidR="00DB0A33" w:rsidRDefault="00C63BFE">
            <w:pPr>
              <w:jc w:val="center"/>
            </w:pPr>
            <w:r>
              <w:rPr>
                <w:color w:val="000000"/>
                <w:sz w:val="24"/>
              </w:rPr>
              <w:t>1</w:t>
            </w:r>
          </w:p>
        </w:tc>
        <w:tc>
          <w:tcPr>
            <w:tcW w:w="0" w:type="auto"/>
            <w:vAlign w:val="center"/>
          </w:tcPr>
          <w:p w:rsidR="00DB0A33" w:rsidRDefault="00C63BFE">
            <w:pPr>
              <w:jc w:val="center"/>
            </w:pPr>
            <w:r>
              <w:rPr>
                <w:color w:val="000000"/>
                <w:sz w:val="24"/>
              </w:rPr>
              <w:t>易方达中证海外中国互联网</w:t>
            </w:r>
            <w:r>
              <w:rPr>
                <w:color w:val="000000"/>
                <w:sz w:val="24"/>
              </w:rPr>
              <w:t>50</w:t>
            </w:r>
            <w:r>
              <w:rPr>
                <w:color w:val="000000"/>
                <w:sz w:val="24"/>
              </w:rPr>
              <w:t>交易型开放式指数证券投资基金</w:t>
            </w:r>
          </w:p>
        </w:tc>
        <w:tc>
          <w:tcPr>
            <w:tcW w:w="0" w:type="auto"/>
            <w:vAlign w:val="center"/>
          </w:tcPr>
          <w:p w:rsidR="00DB0A33" w:rsidRDefault="00C63BFE">
            <w:pPr>
              <w:jc w:val="center"/>
            </w:pPr>
            <w:r>
              <w:rPr>
                <w:color w:val="000000"/>
                <w:sz w:val="24"/>
              </w:rPr>
              <w:t>股票型</w:t>
            </w:r>
          </w:p>
        </w:tc>
        <w:tc>
          <w:tcPr>
            <w:tcW w:w="0" w:type="auto"/>
            <w:vAlign w:val="center"/>
          </w:tcPr>
          <w:p w:rsidR="00DB0A33" w:rsidRDefault="00C63BFE">
            <w:pPr>
              <w:jc w:val="center"/>
            </w:pPr>
            <w:r>
              <w:rPr>
                <w:color w:val="000000"/>
                <w:sz w:val="24"/>
              </w:rPr>
              <w:t>交易型开放式（</w:t>
            </w:r>
            <w:r>
              <w:rPr>
                <w:color w:val="000000"/>
                <w:sz w:val="24"/>
              </w:rPr>
              <w:t>ETF</w:t>
            </w:r>
            <w:r>
              <w:rPr>
                <w:color w:val="000000"/>
                <w:sz w:val="24"/>
              </w:rPr>
              <w:t>）</w:t>
            </w:r>
          </w:p>
        </w:tc>
        <w:tc>
          <w:tcPr>
            <w:tcW w:w="0" w:type="auto"/>
            <w:vAlign w:val="center"/>
          </w:tcPr>
          <w:p w:rsidR="00DB0A33" w:rsidRDefault="00C63BFE">
            <w:pPr>
              <w:jc w:val="center"/>
            </w:pPr>
            <w:r>
              <w:rPr>
                <w:color w:val="000000"/>
                <w:sz w:val="24"/>
              </w:rPr>
              <w:t>易方达基金管理有限公司</w:t>
            </w:r>
          </w:p>
        </w:tc>
        <w:tc>
          <w:tcPr>
            <w:tcW w:w="0" w:type="auto"/>
            <w:vAlign w:val="center"/>
          </w:tcPr>
          <w:p w:rsidR="00DB0A33" w:rsidRDefault="00C63BFE">
            <w:pPr>
              <w:jc w:val="right"/>
            </w:pPr>
            <w:r>
              <w:rPr>
                <w:color w:val="000000"/>
                <w:sz w:val="24"/>
              </w:rPr>
              <w:t>98,877,922.71</w:t>
            </w:r>
          </w:p>
        </w:tc>
        <w:tc>
          <w:tcPr>
            <w:tcW w:w="0" w:type="auto"/>
            <w:vAlign w:val="center"/>
          </w:tcPr>
          <w:p w:rsidR="00DB0A33" w:rsidRDefault="00C63BFE">
            <w:pPr>
              <w:jc w:val="right"/>
            </w:pPr>
            <w:r>
              <w:rPr>
                <w:color w:val="000000"/>
                <w:sz w:val="24"/>
              </w:rPr>
              <w:t>94.02</w:t>
            </w:r>
          </w:p>
        </w:tc>
      </w:tr>
    </w:tbl>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0E5244">
        <w:rPr>
          <w:rFonts w:ascii="宋体" w:hAnsi="宋体" w:cs="Arial" w:hint="eastAsia"/>
          <w:b/>
          <w:color w:val="000000"/>
          <w:kern w:val="0"/>
          <w:sz w:val="24"/>
        </w:rPr>
        <w:t>5</w:t>
      </w:r>
      <w:r w:rsidRPr="000E5244">
        <w:rPr>
          <w:rFonts w:ascii="宋体" w:hAnsi="宋体" w:cs="Arial"/>
          <w:b/>
          <w:color w:val="000000"/>
          <w:kern w:val="0"/>
          <w:sz w:val="24"/>
        </w:rPr>
        <w:t>.</w:t>
      </w:r>
      <w:r w:rsidRPr="000E5244">
        <w:rPr>
          <w:rFonts w:ascii="宋体" w:hAnsi="宋体" w:cs="Arial" w:hint="eastAsia"/>
          <w:b/>
          <w:color w:val="000000"/>
          <w:kern w:val="0"/>
          <w:sz w:val="24"/>
        </w:rPr>
        <w:t>11</w:t>
      </w:r>
      <w:r w:rsidRPr="002149AE">
        <w:rPr>
          <w:rFonts w:ascii="宋体" w:hAnsi="宋体" w:cs="Arial" w:hint="eastAsia"/>
          <w:b/>
          <w:color w:val="000000"/>
          <w:kern w:val="0"/>
          <w:sz w:val="24"/>
        </w:rPr>
        <w:t>投资组合报告附注</w:t>
      </w:r>
    </w:p>
    <w:p w:rsidR="000C6832" w:rsidRPr="0027576B" w:rsidRDefault="000C6832" w:rsidP="000C6832">
      <w:pPr>
        <w:widowControl/>
        <w:spacing w:line="360" w:lineRule="auto"/>
        <w:rPr>
          <w:rFonts w:ascii="宋体" w:hAnsi="宋体"/>
          <w:color w:val="000000"/>
          <w:sz w:val="24"/>
        </w:rPr>
      </w:pPr>
      <w:r>
        <w:rPr>
          <w:rFonts w:asciiTheme="minorEastAsia" w:eastAsiaTheme="minorEastAsia" w:hAnsiTheme="minorEastAsia" w:hint="eastAsia"/>
          <w:color w:val="000000"/>
          <w:sz w:val="24"/>
        </w:rPr>
        <w:t>5</w:t>
      </w:r>
      <w:r w:rsidRPr="0027576B">
        <w:rPr>
          <w:rFonts w:asciiTheme="minorEastAsia" w:eastAsiaTheme="minorEastAsia" w:hAnsiTheme="minorEastAsia"/>
          <w:color w:val="000000"/>
          <w:sz w:val="24"/>
        </w:rPr>
        <w:t>.11.1</w:t>
      </w:r>
      <w:r w:rsidRPr="008043C8">
        <w:rPr>
          <w:color w:val="000000"/>
          <w:sz w:val="24"/>
        </w:rPr>
        <w:t>本基金投资的前十名证券的发行主体本期没有出现被监管部门立案调查，或在报告编制日前一年内受到公开谴责、处罚的情形。</w:t>
      </w:r>
    </w:p>
    <w:p w:rsidR="000C6832" w:rsidRPr="008043C8" w:rsidRDefault="000C6832" w:rsidP="000C6832">
      <w:pPr>
        <w:widowControl/>
        <w:spacing w:line="360" w:lineRule="auto"/>
        <w:rPr>
          <w:rFonts w:ascii="Verdana" w:hAnsi="Verdana"/>
          <w:color w:val="000000"/>
          <w:sz w:val="24"/>
        </w:rPr>
      </w:pPr>
      <w:r>
        <w:rPr>
          <w:rFonts w:asciiTheme="minorEastAsia" w:eastAsiaTheme="minorEastAsia" w:hAnsiTheme="minorEastAsia" w:hint="eastAsia"/>
          <w:color w:val="000000"/>
          <w:sz w:val="24"/>
        </w:rPr>
        <w:t>5</w:t>
      </w:r>
      <w:r w:rsidRPr="0027576B">
        <w:rPr>
          <w:rFonts w:asciiTheme="minorEastAsia" w:eastAsiaTheme="minorEastAsia" w:hAnsiTheme="minorEastAsia"/>
          <w:color w:val="000000"/>
          <w:sz w:val="24"/>
        </w:rPr>
        <w:t>.11.2</w:t>
      </w:r>
      <w:r w:rsidRPr="008043C8">
        <w:rPr>
          <w:color w:val="000000"/>
          <w:sz w:val="24"/>
        </w:rPr>
        <w:t>本基金本报告期末未持有股票。</w:t>
      </w:r>
    </w:p>
    <w:p w:rsidR="000C6832" w:rsidRPr="006623F7" w:rsidRDefault="000C6832" w:rsidP="000C6832">
      <w:pPr>
        <w:autoSpaceDE w:val="0"/>
        <w:autoSpaceDN w:val="0"/>
        <w:adjustRightInd w:val="0"/>
        <w:spacing w:line="360" w:lineRule="auto"/>
        <w:jc w:val="left"/>
        <w:rPr>
          <w:rFonts w:ascii="宋体" w:cs="Arial"/>
          <w:color w:val="000000"/>
          <w:kern w:val="0"/>
          <w:sz w:val="24"/>
        </w:rPr>
      </w:pPr>
      <w:r w:rsidRPr="006623F7">
        <w:rPr>
          <w:rFonts w:ascii="宋体" w:hAnsi="宋体" w:cs="Arial"/>
          <w:color w:val="000000"/>
          <w:kern w:val="0"/>
          <w:sz w:val="24"/>
        </w:rPr>
        <w:t>5.1</w:t>
      </w:r>
      <w:r>
        <w:rPr>
          <w:rFonts w:ascii="宋体" w:hAnsi="宋体" w:cs="Arial" w:hint="eastAsia"/>
          <w:color w:val="000000"/>
          <w:kern w:val="0"/>
          <w:sz w:val="24"/>
        </w:rPr>
        <w:t>1</w:t>
      </w:r>
      <w:r w:rsidRPr="006623F7">
        <w:rPr>
          <w:rFonts w:ascii="宋体" w:hAnsi="宋体" w:cs="Arial"/>
          <w:color w:val="000000"/>
          <w:kern w:val="0"/>
          <w:sz w:val="24"/>
        </w:rPr>
        <w:t>.3</w:t>
      </w:r>
      <w:r w:rsidR="005827A3">
        <w:rPr>
          <w:rFonts w:hint="eastAsia"/>
          <w:b/>
          <w:color w:val="000000" w:themeColor="text1"/>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7"/>
              <w:jc w:val="center"/>
              <w:rPr>
                <w:color w:val="000000"/>
                <w:kern w:val="0"/>
                <w:sz w:val="24"/>
              </w:rPr>
            </w:pPr>
            <w:r w:rsidRPr="008043C8">
              <w:rPr>
                <w:color w:val="000000"/>
                <w:kern w:val="0"/>
                <w:sz w:val="24"/>
              </w:rPr>
              <w:t>序号</w:t>
            </w:r>
          </w:p>
        </w:tc>
        <w:tc>
          <w:tcPr>
            <w:tcW w:w="2903" w:type="dxa"/>
            <w:vAlign w:val="center"/>
          </w:tcPr>
          <w:p w:rsidR="000C6832" w:rsidRPr="008043C8" w:rsidRDefault="000C6832" w:rsidP="000E1CD8">
            <w:pPr>
              <w:autoSpaceDE w:val="0"/>
              <w:autoSpaceDN w:val="0"/>
              <w:adjustRightInd w:val="0"/>
              <w:spacing w:before="29" w:line="360" w:lineRule="auto"/>
              <w:ind w:left="17"/>
              <w:jc w:val="center"/>
              <w:rPr>
                <w:color w:val="000000"/>
                <w:kern w:val="0"/>
                <w:sz w:val="24"/>
              </w:rPr>
            </w:pPr>
            <w:r w:rsidRPr="008043C8">
              <w:rPr>
                <w:color w:val="000000"/>
                <w:kern w:val="0"/>
                <w:sz w:val="24"/>
              </w:rPr>
              <w:t>名称</w:t>
            </w:r>
          </w:p>
        </w:tc>
        <w:tc>
          <w:tcPr>
            <w:tcW w:w="4808" w:type="dxa"/>
            <w:vAlign w:val="center"/>
          </w:tcPr>
          <w:p w:rsidR="000C6832" w:rsidRPr="008043C8" w:rsidRDefault="000C6832" w:rsidP="000E1CD8">
            <w:pPr>
              <w:autoSpaceDE w:val="0"/>
              <w:autoSpaceDN w:val="0"/>
              <w:adjustRightInd w:val="0"/>
              <w:spacing w:before="29" w:line="360" w:lineRule="auto"/>
              <w:ind w:left="17"/>
              <w:jc w:val="center"/>
              <w:rPr>
                <w:color w:val="000000"/>
                <w:kern w:val="0"/>
                <w:sz w:val="24"/>
              </w:rPr>
            </w:pPr>
            <w:r w:rsidRPr="008043C8">
              <w:rPr>
                <w:color w:val="000000"/>
                <w:kern w:val="0"/>
                <w:sz w:val="24"/>
              </w:rPr>
              <w:t>金额（人民币元</w:t>
            </w:r>
            <w:r w:rsidRPr="008043C8">
              <w:rPr>
                <w:color w:val="000000"/>
                <w:kern w:val="0"/>
                <w:sz w:val="24"/>
              </w:rPr>
              <w:t>)</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kern w:val="0"/>
                <w:sz w:val="24"/>
              </w:rPr>
            </w:pPr>
            <w:r w:rsidRPr="008043C8">
              <w:rPr>
                <w:color w:val="000000"/>
                <w:sz w:val="24"/>
              </w:rPr>
              <w:t>1</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存出保证金</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20,315.88</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2</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应收证券清算款</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154,415.61</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3</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应收股利</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4</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应收利息</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1,087.40</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5</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应收申购款</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1,270,370.23</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6</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其他应收款</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7</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sz w:val="24"/>
              </w:rPr>
            </w:pPr>
            <w:r w:rsidRPr="008043C8">
              <w:rPr>
                <w:color w:val="000000"/>
                <w:sz w:val="24"/>
              </w:rPr>
              <w:t>待摊费用</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sz w:val="24"/>
              </w:rPr>
            </w:pPr>
            <w:r w:rsidRPr="008043C8">
              <w:rPr>
                <w:color w:val="000000"/>
                <w:sz w:val="24"/>
              </w:rPr>
              <w:t>-</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8</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其他</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9</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合计</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1,446,189.12</w:t>
            </w:r>
          </w:p>
        </w:tc>
      </w:tr>
    </w:tbl>
    <w:p w:rsidR="000C6832" w:rsidRPr="006623F7" w:rsidRDefault="000C6832" w:rsidP="000C6832">
      <w:pPr>
        <w:autoSpaceDE w:val="0"/>
        <w:autoSpaceDN w:val="0"/>
        <w:adjustRightInd w:val="0"/>
        <w:spacing w:line="360" w:lineRule="auto"/>
        <w:jc w:val="left"/>
        <w:rPr>
          <w:rFonts w:ascii="宋体" w:cs="Arial"/>
          <w:color w:val="000000"/>
          <w:kern w:val="0"/>
          <w:sz w:val="24"/>
        </w:rPr>
      </w:pPr>
      <w:r w:rsidRPr="006623F7">
        <w:rPr>
          <w:rFonts w:ascii="宋体" w:hAnsi="宋体" w:cs="Arial"/>
          <w:color w:val="000000"/>
          <w:kern w:val="0"/>
          <w:sz w:val="24"/>
        </w:rPr>
        <w:t>5.1</w:t>
      </w:r>
      <w:r>
        <w:rPr>
          <w:rFonts w:ascii="宋体" w:hAnsi="宋体" w:cs="Arial" w:hint="eastAsia"/>
          <w:color w:val="000000"/>
          <w:kern w:val="0"/>
          <w:sz w:val="24"/>
        </w:rPr>
        <w:t>1</w:t>
      </w:r>
      <w:r w:rsidRPr="006623F7">
        <w:rPr>
          <w:rFonts w:ascii="宋体" w:hAnsi="宋体" w:cs="Arial"/>
          <w:color w:val="000000"/>
          <w:kern w:val="0"/>
          <w:sz w:val="24"/>
        </w:rPr>
        <w:t>.4</w:t>
      </w:r>
      <w:r w:rsidRPr="006623F7">
        <w:rPr>
          <w:rFonts w:ascii="宋体" w:hAnsi="宋体" w:cs="Arial" w:hint="eastAsia"/>
          <w:color w:val="000000"/>
          <w:kern w:val="0"/>
          <w:sz w:val="24"/>
        </w:rPr>
        <w:t>报告期末持有的处于转股期的可转换债券明细</w:t>
      </w:r>
    </w:p>
    <w:p w:rsidR="000C6832" w:rsidRPr="00C9686C" w:rsidRDefault="000C6832" w:rsidP="000C6832">
      <w:pPr>
        <w:spacing w:line="360" w:lineRule="auto"/>
        <w:ind w:firstLineChars="200" w:firstLine="480"/>
        <w:rPr>
          <w:color w:val="000000"/>
          <w:sz w:val="24"/>
        </w:rPr>
      </w:pPr>
      <w:r w:rsidRPr="00C9686C">
        <w:rPr>
          <w:color w:val="000000"/>
          <w:sz w:val="24"/>
        </w:rPr>
        <w:t>本基金本报告期末未持有处于转股期的可转换债券。</w:t>
      </w:r>
    </w:p>
    <w:p w:rsidR="000C6832" w:rsidRPr="006623F7" w:rsidRDefault="000C6832" w:rsidP="000C6832">
      <w:pPr>
        <w:autoSpaceDE w:val="0"/>
        <w:autoSpaceDN w:val="0"/>
        <w:adjustRightInd w:val="0"/>
        <w:spacing w:line="360" w:lineRule="auto"/>
        <w:jc w:val="left"/>
        <w:rPr>
          <w:rFonts w:ascii="宋体" w:cs="Arial"/>
          <w:color w:val="000000"/>
          <w:kern w:val="0"/>
          <w:sz w:val="24"/>
        </w:rPr>
      </w:pPr>
      <w:r w:rsidRPr="006623F7">
        <w:rPr>
          <w:rFonts w:ascii="宋体" w:hAnsi="宋体" w:cs="Arial"/>
          <w:color w:val="000000"/>
          <w:kern w:val="0"/>
          <w:sz w:val="24"/>
        </w:rPr>
        <w:t>5.1</w:t>
      </w:r>
      <w:r>
        <w:rPr>
          <w:rFonts w:ascii="宋体" w:hAnsi="宋体" w:cs="Arial" w:hint="eastAsia"/>
          <w:color w:val="000000"/>
          <w:kern w:val="0"/>
          <w:sz w:val="24"/>
        </w:rPr>
        <w:t>1</w:t>
      </w:r>
      <w:r w:rsidRPr="006623F7">
        <w:rPr>
          <w:rFonts w:ascii="宋体" w:hAnsi="宋体" w:cs="Arial"/>
          <w:color w:val="000000"/>
          <w:kern w:val="0"/>
          <w:sz w:val="24"/>
        </w:rPr>
        <w:t xml:space="preserve">.5 </w:t>
      </w:r>
      <w:r w:rsidRPr="006623F7">
        <w:rPr>
          <w:rFonts w:ascii="宋体" w:hAnsi="宋体" w:cs="Arial" w:hint="eastAsia"/>
          <w:color w:val="000000"/>
          <w:kern w:val="0"/>
          <w:sz w:val="24"/>
        </w:rPr>
        <w:t>报告期末前十名股票中存在流通受限情况的说明</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本基金本报告期末未持有股票。</w:t>
      </w:r>
    </w:p>
    <w:p w:rsidR="0076518F" w:rsidRPr="00A67563"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§6  </w:t>
      </w:r>
      <w:r w:rsidRPr="00A67563">
        <w:rPr>
          <w:color w:val="000000" w:themeColor="text1"/>
          <w:kern w:val="0"/>
          <w:sz w:val="24"/>
          <w:szCs w:val="24"/>
        </w:rPr>
        <w:t>开放式基金份额变动</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单位：份</w:t>
      </w:r>
    </w:p>
    <w:tbl>
      <w:tblPr>
        <w:tblW w:w="8634" w:type="dxa"/>
        <w:jc w:val="center"/>
        <w:tblLayout w:type="fixed"/>
        <w:tblLook w:val="0000" w:firstRow="0" w:lastRow="0" w:firstColumn="0" w:lastColumn="0" w:noHBand="0" w:noVBand="0"/>
      </w:tblPr>
      <w:tblGrid>
        <w:gridCol w:w="3900"/>
        <w:gridCol w:w="2367"/>
        <w:gridCol w:w="2367"/>
      </w:tblGrid>
      <w:tr w:rsidR="0022505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65,710,611.92</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20,415,421.63</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36,745,935.52</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8,834,849.70</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11,199,370.79</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10,528,376.07</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91,257,176.65</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18,721,895.26</w:t>
            </w:r>
          </w:p>
        </w:tc>
      </w:tr>
    </w:tbl>
    <w:p w:rsidR="00322A5E" w:rsidRPr="00A67563" w:rsidRDefault="00322A5E" w:rsidP="002D6955">
      <w:pPr>
        <w:autoSpaceDE w:val="0"/>
        <w:autoSpaceDN w:val="0"/>
        <w:adjustRightInd w:val="0"/>
        <w:spacing w:line="360" w:lineRule="auto"/>
        <w:jc w:val="left"/>
        <w:rPr>
          <w:color w:val="000000" w:themeColor="text1"/>
          <w:sz w:val="24"/>
        </w:rPr>
      </w:pPr>
      <w:r w:rsidRPr="00A67563">
        <w:rPr>
          <w:color w:val="000000" w:themeColor="text1"/>
          <w:sz w:val="24"/>
        </w:rPr>
        <w:t>注：易方达中证海外中国互联网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份额变动含</w:t>
      </w:r>
      <w:r w:rsidRPr="00A67563">
        <w:rPr>
          <w:color w:val="000000" w:themeColor="text1"/>
          <w:sz w:val="24"/>
        </w:rPr>
        <w:t>A</w:t>
      </w:r>
      <w:r w:rsidRPr="00A67563">
        <w:rPr>
          <w:color w:val="000000" w:themeColor="text1"/>
          <w:sz w:val="24"/>
        </w:rPr>
        <w:t>类人民币份额及</w:t>
      </w:r>
      <w:r w:rsidRPr="00A67563">
        <w:rPr>
          <w:color w:val="000000" w:themeColor="text1"/>
          <w:sz w:val="24"/>
        </w:rPr>
        <w:t>A</w:t>
      </w:r>
      <w:r w:rsidRPr="00A67563">
        <w:rPr>
          <w:color w:val="000000" w:themeColor="text1"/>
          <w:sz w:val="24"/>
        </w:rPr>
        <w:t>类美元份额；易方达中证海外中国互联网</w:t>
      </w:r>
      <w:r w:rsidRPr="00A67563">
        <w:rPr>
          <w:color w:val="000000" w:themeColor="text1"/>
          <w:sz w:val="24"/>
        </w:rPr>
        <w:t>50ETF</w:t>
      </w:r>
      <w:r w:rsidRPr="00A67563">
        <w:rPr>
          <w:color w:val="000000" w:themeColor="text1"/>
          <w:sz w:val="24"/>
        </w:rPr>
        <w:t>联接（</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份额变动含</w:t>
      </w:r>
      <w:r w:rsidRPr="00A67563">
        <w:rPr>
          <w:color w:val="000000" w:themeColor="text1"/>
          <w:sz w:val="24"/>
        </w:rPr>
        <w:t>C</w:t>
      </w:r>
      <w:r w:rsidRPr="00A67563">
        <w:rPr>
          <w:color w:val="000000" w:themeColor="text1"/>
          <w:sz w:val="24"/>
        </w:rPr>
        <w:t>类人民币份额及</w:t>
      </w:r>
      <w:r w:rsidRPr="00A67563">
        <w:rPr>
          <w:color w:val="000000" w:themeColor="text1"/>
          <w:sz w:val="24"/>
        </w:rPr>
        <w:t>C</w:t>
      </w:r>
      <w:r w:rsidRPr="00A67563">
        <w:rPr>
          <w:color w:val="000000" w:themeColor="text1"/>
          <w:sz w:val="24"/>
        </w:rPr>
        <w:t>类美元份额。</w:t>
      </w:r>
    </w:p>
    <w:p w:rsidR="00BB5F3D" w:rsidRPr="00CB3783" w:rsidRDefault="00BB5F3D" w:rsidP="00CB3783">
      <w:pPr>
        <w:pStyle w:val="1"/>
        <w:spacing w:beforeLines="100" w:before="312" w:afterLines="100" w:after="312" w:line="360" w:lineRule="auto"/>
        <w:jc w:val="center"/>
        <w:rPr>
          <w:bCs w:val="0"/>
          <w:color w:val="000000" w:themeColor="text1"/>
          <w:kern w:val="2"/>
          <w:sz w:val="24"/>
          <w:szCs w:val="24"/>
        </w:rPr>
      </w:pPr>
      <w:r w:rsidRPr="00CB3783">
        <w:rPr>
          <w:bCs w:val="0"/>
          <w:color w:val="000000" w:themeColor="text1"/>
          <w:kern w:val="2"/>
          <w:sz w:val="24"/>
          <w:szCs w:val="24"/>
        </w:rPr>
        <w:t xml:space="preserve">§7  </w:t>
      </w:r>
      <w:r w:rsidRPr="00CB3783">
        <w:rPr>
          <w:bCs w:val="0"/>
          <w:color w:val="000000" w:themeColor="text1"/>
          <w:kern w:val="2"/>
          <w:sz w:val="24"/>
          <w:szCs w:val="24"/>
        </w:rPr>
        <w:t>基金管理人运用固有资金投资本基金</w:t>
      </w:r>
      <w:r w:rsidR="00CB3783" w:rsidRPr="00CB3783">
        <w:rPr>
          <w:rFonts w:hint="eastAsia"/>
          <w:bCs w:val="0"/>
          <w:color w:val="000000" w:themeColor="text1"/>
          <w:kern w:val="2"/>
          <w:sz w:val="24"/>
          <w:szCs w:val="24"/>
        </w:rPr>
        <w:t>交易明细</w:t>
      </w:r>
    </w:p>
    <w:p w:rsidR="005E64DA" w:rsidRPr="00A67563" w:rsidRDefault="00BB5F3D" w:rsidP="00A4111B">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本报告期内基金管理人未运用固有资金申购、赎回、买卖本基金份额。</w:t>
      </w:r>
    </w:p>
    <w:p w:rsidR="0076518F" w:rsidRPr="00A67563"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w:t>
      </w:r>
      <w:r w:rsidR="002711AA" w:rsidRPr="00A67563">
        <w:rPr>
          <w:color w:val="000000" w:themeColor="text1"/>
          <w:kern w:val="0"/>
          <w:sz w:val="24"/>
          <w:szCs w:val="24"/>
        </w:rPr>
        <w:t>8</w:t>
      </w:r>
      <w:r w:rsidR="00BD7FC1" w:rsidRPr="00A67563">
        <w:rPr>
          <w:bCs w:val="0"/>
          <w:color w:val="000000" w:themeColor="text1"/>
          <w:kern w:val="2"/>
          <w:sz w:val="24"/>
          <w:szCs w:val="24"/>
        </w:rPr>
        <w:t xml:space="preserve">  </w:t>
      </w:r>
      <w:r w:rsidRPr="00A67563">
        <w:rPr>
          <w:color w:val="000000" w:themeColor="text1"/>
          <w:kern w:val="0"/>
          <w:sz w:val="24"/>
          <w:szCs w:val="24"/>
        </w:rPr>
        <w:t>备查文件目录</w:t>
      </w: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1</w:t>
      </w:r>
      <w:r w:rsidR="008975BC" w:rsidRPr="00A67563">
        <w:rPr>
          <w:b/>
          <w:bCs/>
          <w:color w:val="000000" w:themeColor="text1"/>
          <w:kern w:val="0"/>
          <w:sz w:val="24"/>
        </w:rPr>
        <w:t xml:space="preserve"> </w:t>
      </w:r>
      <w:r w:rsidR="008975BC" w:rsidRPr="00A67563">
        <w:rPr>
          <w:b/>
          <w:bCs/>
          <w:color w:val="000000" w:themeColor="text1"/>
          <w:kern w:val="0"/>
          <w:sz w:val="24"/>
        </w:rPr>
        <w:t>备查文件目录</w:t>
      </w:r>
    </w:p>
    <w:p w:rsidR="00DB0A33" w:rsidRDefault="00C63BFE">
      <w:pPr>
        <w:spacing w:line="360" w:lineRule="auto"/>
        <w:ind w:firstLineChars="200" w:firstLine="480"/>
        <w:rPr>
          <w:color w:val="000000" w:themeColor="text1"/>
          <w:sz w:val="24"/>
        </w:rPr>
      </w:pPr>
      <w:r>
        <w:rPr>
          <w:color w:val="000000" w:themeColor="text1"/>
          <w:sz w:val="24"/>
        </w:rPr>
        <w:t>1.</w:t>
      </w:r>
      <w:r>
        <w:rPr>
          <w:color w:val="000000" w:themeColor="text1"/>
          <w:sz w:val="24"/>
        </w:rPr>
        <w:t>中国证监会注册易方达中证海外中国互联网</w:t>
      </w:r>
      <w:r>
        <w:rPr>
          <w:color w:val="000000" w:themeColor="text1"/>
          <w:sz w:val="24"/>
        </w:rPr>
        <w:t>50</w:t>
      </w:r>
      <w:r>
        <w:rPr>
          <w:color w:val="000000" w:themeColor="text1"/>
          <w:sz w:val="24"/>
        </w:rPr>
        <w:t>交易型开放式指数证券投资基金联接基金募集的文件；</w:t>
      </w:r>
    </w:p>
    <w:p w:rsidR="00DB0A33" w:rsidRDefault="00C63BFE">
      <w:pPr>
        <w:spacing w:line="360" w:lineRule="auto"/>
        <w:ind w:firstLineChars="200" w:firstLine="480"/>
        <w:rPr>
          <w:color w:val="000000" w:themeColor="text1"/>
          <w:sz w:val="24"/>
        </w:rPr>
      </w:pPr>
      <w:r>
        <w:rPr>
          <w:color w:val="000000" w:themeColor="text1"/>
          <w:sz w:val="24"/>
        </w:rPr>
        <w:t>2.</w:t>
      </w:r>
      <w:r>
        <w:rPr>
          <w:color w:val="000000" w:themeColor="text1"/>
          <w:sz w:val="24"/>
        </w:rPr>
        <w:t>《易方达中证海外中国互联网</w:t>
      </w:r>
      <w:r>
        <w:rPr>
          <w:color w:val="000000" w:themeColor="text1"/>
          <w:sz w:val="24"/>
        </w:rPr>
        <w:t>50</w:t>
      </w:r>
      <w:r>
        <w:rPr>
          <w:color w:val="000000" w:themeColor="text1"/>
          <w:sz w:val="24"/>
        </w:rPr>
        <w:t>交易型开放式指数证券投资基金联接基金基金合同》；</w:t>
      </w:r>
      <w:r>
        <w:rPr>
          <w:color w:val="000000" w:themeColor="text1"/>
          <w:sz w:val="24"/>
        </w:rPr>
        <w:t xml:space="preserve"> </w:t>
      </w:r>
    </w:p>
    <w:p w:rsidR="00DB0A33" w:rsidRDefault="00C63BFE">
      <w:pPr>
        <w:spacing w:line="360" w:lineRule="auto"/>
        <w:ind w:firstLineChars="200" w:firstLine="480"/>
        <w:rPr>
          <w:color w:val="000000" w:themeColor="text1"/>
          <w:sz w:val="24"/>
        </w:rPr>
      </w:pPr>
      <w:r>
        <w:rPr>
          <w:color w:val="000000" w:themeColor="text1"/>
          <w:sz w:val="24"/>
        </w:rPr>
        <w:t>3.</w:t>
      </w:r>
      <w:r>
        <w:rPr>
          <w:color w:val="000000" w:themeColor="text1"/>
          <w:sz w:val="24"/>
        </w:rPr>
        <w:t>《易方达中证海外中国互联网</w:t>
      </w:r>
      <w:r>
        <w:rPr>
          <w:color w:val="000000" w:themeColor="text1"/>
          <w:sz w:val="24"/>
        </w:rPr>
        <w:t>50</w:t>
      </w:r>
      <w:r>
        <w:rPr>
          <w:color w:val="000000" w:themeColor="text1"/>
          <w:sz w:val="24"/>
        </w:rPr>
        <w:t>交易型开放式指数证券投资基金联接基金托管协议》；</w:t>
      </w:r>
    </w:p>
    <w:p w:rsidR="00DB0A33" w:rsidRDefault="00C63BFE">
      <w:pPr>
        <w:spacing w:line="360" w:lineRule="auto"/>
        <w:ind w:firstLineChars="200" w:firstLine="480"/>
        <w:rPr>
          <w:color w:val="000000" w:themeColor="text1"/>
          <w:sz w:val="24"/>
        </w:rPr>
      </w:pPr>
      <w:r>
        <w:rPr>
          <w:color w:val="000000" w:themeColor="text1"/>
          <w:sz w:val="24"/>
        </w:rPr>
        <w:t>4.</w:t>
      </w:r>
      <w:r>
        <w:rPr>
          <w:color w:val="000000" w:themeColor="text1"/>
          <w:sz w:val="24"/>
        </w:rPr>
        <w:t>《易方达基金管理有限公司开放式基金业务规则》；</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5.</w:t>
      </w:r>
      <w:r w:rsidRPr="00A67563">
        <w:rPr>
          <w:color w:val="000000" w:themeColor="text1"/>
          <w:sz w:val="24"/>
        </w:rPr>
        <w:t>基金管理人业务资格批件和营业执照。</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2</w:t>
      </w:r>
      <w:r w:rsidR="008975BC" w:rsidRPr="00A67563">
        <w:rPr>
          <w:b/>
          <w:bCs/>
          <w:color w:val="000000" w:themeColor="text1"/>
          <w:kern w:val="0"/>
          <w:sz w:val="24"/>
        </w:rPr>
        <w:t xml:space="preserve"> </w:t>
      </w:r>
      <w:r w:rsidR="008975BC" w:rsidRPr="00A67563">
        <w:rPr>
          <w:b/>
          <w:bCs/>
          <w:color w:val="000000" w:themeColor="text1"/>
          <w:kern w:val="0"/>
          <w:sz w:val="24"/>
        </w:rPr>
        <w:t>存放地点</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广州市天河区珠江新城珠江东路</w:t>
      </w:r>
      <w:r w:rsidRPr="00A67563">
        <w:rPr>
          <w:color w:val="000000" w:themeColor="text1"/>
          <w:sz w:val="24"/>
        </w:rPr>
        <w:t>30</w:t>
      </w:r>
      <w:r w:rsidRPr="00A67563">
        <w:rPr>
          <w:color w:val="000000" w:themeColor="text1"/>
          <w:sz w:val="24"/>
        </w:rPr>
        <w:t>号广州银行大厦</w:t>
      </w:r>
      <w:r w:rsidRPr="00A67563">
        <w:rPr>
          <w:color w:val="000000" w:themeColor="text1"/>
          <w:sz w:val="24"/>
        </w:rPr>
        <w:t>40-43</w:t>
      </w:r>
      <w:r w:rsidRPr="00A67563">
        <w:rPr>
          <w:color w:val="000000" w:themeColor="text1"/>
          <w:sz w:val="24"/>
        </w:rPr>
        <w:t>楼。</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3</w:t>
      </w:r>
      <w:r w:rsidR="008975BC" w:rsidRPr="00A67563">
        <w:rPr>
          <w:b/>
          <w:bCs/>
          <w:color w:val="000000" w:themeColor="text1"/>
          <w:kern w:val="0"/>
          <w:sz w:val="24"/>
        </w:rPr>
        <w:t xml:space="preserve"> </w:t>
      </w:r>
      <w:r w:rsidR="008975BC" w:rsidRPr="00A67563">
        <w:rPr>
          <w:b/>
          <w:bCs/>
          <w:color w:val="000000" w:themeColor="text1"/>
          <w:kern w:val="0"/>
          <w:sz w:val="24"/>
        </w:rPr>
        <w:t>查阅方式</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投资者可在营业时间免费查阅，也可按工本费购买复印件。</w:t>
      </w:r>
    </w:p>
    <w:p w:rsidR="0076518F" w:rsidRPr="00A67563" w:rsidRDefault="0076518F" w:rsidP="008B6A4A">
      <w:pPr>
        <w:spacing w:line="360" w:lineRule="auto"/>
        <w:ind w:firstLineChars="200" w:firstLine="480"/>
        <w:rPr>
          <w:color w:val="000000" w:themeColor="text1"/>
          <w:sz w:val="24"/>
        </w:rPr>
      </w:pPr>
    </w:p>
    <w:p w:rsidR="008A2EC6" w:rsidRPr="00A67563" w:rsidRDefault="008A2EC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76518F" w:rsidRPr="00A67563" w:rsidRDefault="0076518F" w:rsidP="008B6A4A">
      <w:pPr>
        <w:spacing w:line="360" w:lineRule="auto"/>
        <w:ind w:firstLineChars="200" w:firstLine="480"/>
        <w:rPr>
          <w:color w:val="000000" w:themeColor="text1"/>
          <w:sz w:val="24"/>
        </w:rPr>
      </w:pPr>
    </w:p>
    <w:p w:rsidR="008975BC" w:rsidRPr="00A67563" w:rsidRDefault="008975BC" w:rsidP="000C7596">
      <w:pPr>
        <w:spacing w:line="360" w:lineRule="auto"/>
        <w:jc w:val="right"/>
        <w:rPr>
          <w:b/>
          <w:bCs/>
          <w:color w:val="000000" w:themeColor="text1"/>
          <w:sz w:val="24"/>
        </w:rPr>
      </w:pPr>
      <w:r w:rsidRPr="00A67563">
        <w:rPr>
          <w:b/>
          <w:bCs/>
          <w:color w:val="000000" w:themeColor="text1"/>
          <w:sz w:val="24"/>
        </w:rPr>
        <w:t>易方达基金管理有限公司</w:t>
      </w:r>
    </w:p>
    <w:p w:rsidR="0076518F" w:rsidRPr="00A67563" w:rsidRDefault="00623556" w:rsidP="000C7596">
      <w:pPr>
        <w:spacing w:line="360" w:lineRule="auto"/>
        <w:jc w:val="right"/>
        <w:rPr>
          <w:b/>
          <w:bCs/>
          <w:color w:val="000000" w:themeColor="text1"/>
          <w:sz w:val="24"/>
        </w:rPr>
      </w:pPr>
      <w:r w:rsidRPr="00A67563">
        <w:rPr>
          <w:b/>
          <w:bCs/>
          <w:color w:val="000000" w:themeColor="text1"/>
          <w:sz w:val="24"/>
        </w:rPr>
        <w:t>二〇一九年十月二十四日</w:t>
      </w:r>
    </w:p>
    <w:sectPr w:rsidR="0076518F" w:rsidRPr="00A67563" w:rsidSect="00DB4450">
      <w:headerReference w:type="even" r:id="rId11"/>
      <w:footerReference w:type="even" r:id="rId12"/>
      <w:footerReference w:type="default" r:id="rId13"/>
      <w:headerReference w:type="first" r:id="rId14"/>
      <w:footerReference w:type="first" r:id="rId1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14A" w:rsidRDefault="0028114A">
      <w:r>
        <w:separator/>
      </w:r>
    </w:p>
  </w:endnote>
  <w:endnote w:type="continuationSeparator" w:id="0">
    <w:p w:rsidR="0028114A" w:rsidRDefault="0028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1D0DB0" w:rsidRDefault="00845292" w:rsidP="00B918B8">
    <w:pPr>
      <w:pStyle w:val="a6"/>
      <w:jc w:val="center"/>
    </w:pPr>
    <w:r>
      <w:rPr>
        <w:rFonts w:hint="eastAsia"/>
        <w:kern w:val="0"/>
        <w:szCs w:val="21"/>
      </w:rPr>
      <w:t>第</w:t>
    </w:r>
    <w:r w:rsidR="008A75CA">
      <w:rPr>
        <w:kern w:val="0"/>
        <w:szCs w:val="21"/>
      </w:rPr>
      <w:fldChar w:fldCharType="begin"/>
    </w:r>
    <w:r>
      <w:rPr>
        <w:kern w:val="0"/>
        <w:szCs w:val="21"/>
      </w:rPr>
      <w:instrText xml:space="preserve"> PAGE </w:instrText>
    </w:r>
    <w:r w:rsidR="008A75CA">
      <w:rPr>
        <w:kern w:val="0"/>
        <w:szCs w:val="21"/>
      </w:rPr>
      <w:fldChar w:fldCharType="separate"/>
    </w:r>
    <w:r w:rsidR="00C63BFE">
      <w:rPr>
        <w:noProof/>
        <w:kern w:val="0"/>
        <w:szCs w:val="21"/>
      </w:rPr>
      <w:t>1</w:t>
    </w:r>
    <w:r w:rsidR="008A75CA">
      <w:rPr>
        <w:kern w:val="0"/>
        <w:szCs w:val="21"/>
      </w:rPr>
      <w:fldChar w:fldCharType="end"/>
    </w:r>
    <w:r>
      <w:rPr>
        <w:rFonts w:hint="eastAsia"/>
        <w:kern w:val="0"/>
        <w:szCs w:val="21"/>
      </w:rPr>
      <w:t>页共</w:t>
    </w:r>
    <w:r w:rsidR="008A75CA">
      <w:rPr>
        <w:kern w:val="0"/>
        <w:szCs w:val="21"/>
      </w:rPr>
      <w:fldChar w:fldCharType="begin"/>
    </w:r>
    <w:r>
      <w:rPr>
        <w:kern w:val="0"/>
        <w:szCs w:val="21"/>
      </w:rPr>
      <w:instrText xml:space="preserve"> NUMPAGES </w:instrText>
    </w:r>
    <w:r w:rsidR="008A75CA">
      <w:rPr>
        <w:kern w:val="0"/>
        <w:szCs w:val="21"/>
      </w:rPr>
      <w:fldChar w:fldCharType="separate"/>
    </w:r>
    <w:r w:rsidR="00C63BFE">
      <w:rPr>
        <w:noProof/>
        <w:kern w:val="0"/>
        <w:szCs w:val="21"/>
      </w:rPr>
      <w:t>3</w:t>
    </w:r>
    <w:r w:rsidR="008A75CA">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A75CA">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end"/>
    </w:r>
  </w:p>
  <w:p w:rsidR="00845292" w:rsidRDefault="0084529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A75CA">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separate"/>
    </w:r>
    <w:r w:rsidR="00C63BFE">
      <w:rPr>
        <w:rStyle w:val="a7"/>
        <w:noProof/>
      </w:rPr>
      <w:t>15</w:t>
    </w:r>
    <w:r>
      <w:rPr>
        <w:rStyle w:val="a7"/>
      </w:rPr>
      <w:fldChar w:fldCharType="end"/>
    </w:r>
  </w:p>
  <w:p w:rsidR="00845292" w:rsidRDefault="0084529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14A" w:rsidRDefault="0028114A">
      <w:r>
        <w:separator/>
      </w:r>
    </w:p>
  </w:footnote>
  <w:footnote w:type="continuationSeparator" w:id="0">
    <w:p w:rsidR="0028114A" w:rsidRDefault="00281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6669C9" w:rsidRDefault="00845292" w:rsidP="001D1356">
    <w:pPr>
      <w:pStyle w:val="a9"/>
      <w:pBdr>
        <w:bottom w:val="single" w:sz="6" w:space="0" w:color="auto"/>
      </w:pBdr>
      <w:jc w:val="right"/>
    </w:pPr>
    <w:r w:rsidRPr="006669C9">
      <w:t>易方达中证海外中国互联网</w:t>
    </w:r>
    <w:r w:rsidRPr="006669C9">
      <w:t>50</w:t>
    </w:r>
    <w:r w:rsidRPr="006669C9">
      <w:t>交易型开放式指数证券投资基金联接基金</w:t>
    </w:r>
    <w:r w:rsidRPr="006669C9">
      <w:t>2019</w:t>
    </w:r>
    <w:r w:rsidRPr="006669C9">
      <w:t>年第</w:t>
    </w:r>
    <w:r w:rsidRPr="006669C9">
      <w:t>3</w:t>
    </w:r>
    <w:r w:rsidRPr="006669C9">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10A83"/>
    <w:rsid w:val="00010A8E"/>
    <w:rsid w:val="00010AC3"/>
    <w:rsid w:val="00011D4F"/>
    <w:rsid w:val="00011E10"/>
    <w:rsid w:val="00011EB5"/>
    <w:rsid w:val="00017581"/>
    <w:rsid w:val="00017739"/>
    <w:rsid w:val="00020583"/>
    <w:rsid w:val="00021DD4"/>
    <w:rsid w:val="00023BE7"/>
    <w:rsid w:val="00026BFF"/>
    <w:rsid w:val="000306F0"/>
    <w:rsid w:val="0003091A"/>
    <w:rsid w:val="00037FCF"/>
    <w:rsid w:val="00041AB5"/>
    <w:rsid w:val="000421B8"/>
    <w:rsid w:val="00042C9C"/>
    <w:rsid w:val="00043ABF"/>
    <w:rsid w:val="000445E4"/>
    <w:rsid w:val="00045AE7"/>
    <w:rsid w:val="000510AB"/>
    <w:rsid w:val="00055668"/>
    <w:rsid w:val="00055AF1"/>
    <w:rsid w:val="000565DC"/>
    <w:rsid w:val="00063A8D"/>
    <w:rsid w:val="00064AE3"/>
    <w:rsid w:val="00066524"/>
    <w:rsid w:val="00067332"/>
    <w:rsid w:val="00070CD1"/>
    <w:rsid w:val="00070DD6"/>
    <w:rsid w:val="0007171B"/>
    <w:rsid w:val="00081D05"/>
    <w:rsid w:val="000876A0"/>
    <w:rsid w:val="00087CF7"/>
    <w:rsid w:val="0009273D"/>
    <w:rsid w:val="00094876"/>
    <w:rsid w:val="00095912"/>
    <w:rsid w:val="00095CE0"/>
    <w:rsid w:val="000965F7"/>
    <w:rsid w:val="000965FC"/>
    <w:rsid w:val="00096933"/>
    <w:rsid w:val="00097230"/>
    <w:rsid w:val="000A09BE"/>
    <w:rsid w:val="000A457E"/>
    <w:rsid w:val="000A521D"/>
    <w:rsid w:val="000A549A"/>
    <w:rsid w:val="000A55BD"/>
    <w:rsid w:val="000A72F2"/>
    <w:rsid w:val="000B0C56"/>
    <w:rsid w:val="000B3274"/>
    <w:rsid w:val="000B3E43"/>
    <w:rsid w:val="000C11E0"/>
    <w:rsid w:val="000C1723"/>
    <w:rsid w:val="000C1B20"/>
    <w:rsid w:val="000C4107"/>
    <w:rsid w:val="000C41AE"/>
    <w:rsid w:val="000C45E7"/>
    <w:rsid w:val="000C6832"/>
    <w:rsid w:val="000C6876"/>
    <w:rsid w:val="000C7596"/>
    <w:rsid w:val="000D01F4"/>
    <w:rsid w:val="000D121F"/>
    <w:rsid w:val="000D123A"/>
    <w:rsid w:val="000D1519"/>
    <w:rsid w:val="000E1F7C"/>
    <w:rsid w:val="000E3B88"/>
    <w:rsid w:val="000E3F11"/>
    <w:rsid w:val="000E4456"/>
    <w:rsid w:val="000F175F"/>
    <w:rsid w:val="000F17D1"/>
    <w:rsid w:val="000F60FF"/>
    <w:rsid w:val="000F635F"/>
    <w:rsid w:val="000F6C61"/>
    <w:rsid w:val="00100A7C"/>
    <w:rsid w:val="00100C12"/>
    <w:rsid w:val="001049B6"/>
    <w:rsid w:val="001051C6"/>
    <w:rsid w:val="0010694D"/>
    <w:rsid w:val="0011177A"/>
    <w:rsid w:val="00112E27"/>
    <w:rsid w:val="0011345C"/>
    <w:rsid w:val="00114B31"/>
    <w:rsid w:val="00116E31"/>
    <w:rsid w:val="00120EAF"/>
    <w:rsid w:val="00120FAF"/>
    <w:rsid w:val="0012150F"/>
    <w:rsid w:val="00121683"/>
    <w:rsid w:val="0012304E"/>
    <w:rsid w:val="00123B10"/>
    <w:rsid w:val="001248EF"/>
    <w:rsid w:val="001257C7"/>
    <w:rsid w:val="00126DDF"/>
    <w:rsid w:val="001270BF"/>
    <w:rsid w:val="00127BAC"/>
    <w:rsid w:val="001326FC"/>
    <w:rsid w:val="00142A56"/>
    <w:rsid w:val="00143B45"/>
    <w:rsid w:val="00144DF5"/>
    <w:rsid w:val="00145A97"/>
    <w:rsid w:val="00146485"/>
    <w:rsid w:val="00150AD6"/>
    <w:rsid w:val="001542CC"/>
    <w:rsid w:val="00154ADA"/>
    <w:rsid w:val="0015531A"/>
    <w:rsid w:val="0016041C"/>
    <w:rsid w:val="00163B27"/>
    <w:rsid w:val="00165317"/>
    <w:rsid w:val="00171BAD"/>
    <w:rsid w:val="00172B84"/>
    <w:rsid w:val="001756A1"/>
    <w:rsid w:val="001761EE"/>
    <w:rsid w:val="00176EAA"/>
    <w:rsid w:val="0017725A"/>
    <w:rsid w:val="00177C4B"/>
    <w:rsid w:val="00180BBB"/>
    <w:rsid w:val="0018325A"/>
    <w:rsid w:val="00184DA0"/>
    <w:rsid w:val="00186199"/>
    <w:rsid w:val="0018734E"/>
    <w:rsid w:val="001928F7"/>
    <w:rsid w:val="00194537"/>
    <w:rsid w:val="00194F40"/>
    <w:rsid w:val="00196CE2"/>
    <w:rsid w:val="001A21A9"/>
    <w:rsid w:val="001A59D8"/>
    <w:rsid w:val="001A5FA6"/>
    <w:rsid w:val="001A7932"/>
    <w:rsid w:val="001B28D0"/>
    <w:rsid w:val="001B2F0C"/>
    <w:rsid w:val="001C37F6"/>
    <w:rsid w:val="001C46E1"/>
    <w:rsid w:val="001C5C03"/>
    <w:rsid w:val="001C6288"/>
    <w:rsid w:val="001C7D5D"/>
    <w:rsid w:val="001D0F6A"/>
    <w:rsid w:val="001D1356"/>
    <w:rsid w:val="001D21BC"/>
    <w:rsid w:val="001D2AF9"/>
    <w:rsid w:val="001D2FA5"/>
    <w:rsid w:val="001D3187"/>
    <w:rsid w:val="001D35E0"/>
    <w:rsid w:val="001D369F"/>
    <w:rsid w:val="001D4F52"/>
    <w:rsid w:val="001D5045"/>
    <w:rsid w:val="001D5A44"/>
    <w:rsid w:val="001D724B"/>
    <w:rsid w:val="001E11D3"/>
    <w:rsid w:val="001E227F"/>
    <w:rsid w:val="001E2A6A"/>
    <w:rsid w:val="001E3DC2"/>
    <w:rsid w:val="001E4ABC"/>
    <w:rsid w:val="001E56FF"/>
    <w:rsid w:val="001E5C6B"/>
    <w:rsid w:val="001F03E1"/>
    <w:rsid w:val="001F0629"/>
    <w:rsid w:val="001F26C1"/>
    <w:rsid w:val="001F3C28"/>
    <w:rsid w:val="001F3CC6"/>
    <w:rsid w:val="001F4530"/>
    <w:rsid w:val="002010DE"/>
    <w:rsid w:val="00202968"/>
    <w:rsid w:val="00202C32"/>
    <w:rsid w:val="00203AEF"/>
    <w:rsid w:val="00206F8C"/>
    <w:rsid w:val="00211A26"/>
    <w:rsid w:val="002125F7"/>
    <w:rsid w:val="00214463"/>
    <w:rsid w:val="00214756"/>
    <w:rsid w:val="002149AE"/>
    <w:rsid w:val="00215CF2"/>
    <w:rsid w:val="00221174"/>
    <w:rsid w:val="0022166D"/>
    <w:rsid w:val="002224FF"/>
    <w:rsid w:val="00222E8C"/>
    <w:rsid w:val="002236BC"/>
    <w:rsid w:val="00223DBB"/>
    <w:rsid w:val="00225051"/>
    <w:rsid w:val="002273CA"/>
    <w:rsid w:val="00232846"/>
    <w:rsid w:val="00233B7F"/>
    <w:rsid w:val="002347A7"/>
    <w:rsid w:val="002359EB"/>
    <w:rsid w:val="002363AB"/>
    <w:rsid w:val="0024260D"/>
    <w:rsid w:val="00245012"/>
    <w:rsid w:val="0024504E"/>
    <w:rsid w:val="0024651F"/>
    <w:rsid w:val="0025158D"/>
    <w:rsid w:val="0025281A"/>
    <w:rsid w:val="00253D3C"/>
    <w:rsid w:val="00254F37"/>
    <w:rsid w:val="00255292"/>
    <w:rsid w:val="00256097"/>
    <w:rsid w:val="00256156"/>
    <w:rsid w:val="00260200"/>
    <w:rsid w:val="00261DB3"/>
    <w:rsid w:val="002648D8"/>
    <w:rsid w:val="002655D4"/>
    <w:rsid w:val="00265865"/>
    <w:rsid w:val="00267D54"/>
    <w:rsid w:val="002711AA"/>
    <w:rsid w:val="00273F86"/>
    <w:rsid w:val="002758B5"/>
    <w:rsid w:val="00276834"/>
    <w:rsid w:val="002774F0"/>
    <w:rsid w:val="00280566"/>
    <w:rsid w:val="0028114A"/>
    <w:rsid w:val="00281DBD"/>
    <w:rsid w:val="00284519"/>
    <w:rsid w:val="0028459B"/>
    <w:rsid w:val="00284C5F"/>
    <w:rsid w:val="00285ABF"/>
    <w:rsid w:val="002873F0"/>
    <w:rsid w:val="00291151"/>
    <w:rsid w:val="002964F9"/>
    <w:rsid w:val="00297B13"/>
    <w:rsid w:val="00297E05"/>
    <w:rsid w:val="00297E9F"/>
    <w:rsid w:val="002A0FA2"/>
    <w:rsid w:val="002A1F14"/>
    <w:rsid w:val="002A2678"/>
    <w:rsid w:val="002A2E01"/>
    <w:rsid w:val="002A398F"/>
    <w:rsid w:val="002A530F"/>
    <w:rsid w:val="002A5C6B"/>
    <w:rsid w:val="002A5D31"/>
    <w:rsid w:val="002A714F"/>
    <w:rsid w:val="002B14C2"/>
    <w:rsid w:val="002B1851"/>
    <w:rsid w:val="002B250D"/>
    <w:rsid w:val="002B27FF"/>
    <w:rsid w:val="002B3A0A"/>
    <w:rsid w:val="002B4320"/>
    <w:rsid w:val="002B6793"/>
    <w:rsid w:val="002C042C"/>
    <w:rsid w:val="002C1726"/>
    <w:rsid w:val="002C21A6"/>
    <w:rsid w:val="002C2678"/>
    <w:rsid w:val="002C26D5"/>
    <w:rsid w:val="002C5777"/>
    <w:rsid w:val="002D31BB"/>
    <w:rsid w:val="002D32E3"/>
    <w:rsid w:val="002D6955"/>
    <w:rsid w:val="002E0FEB"/>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1104D"/>
    <w:rsid w:val="00311094"/>
    <w:rsid w:val="0031598C"/>
    <w:rsid w:val="00316339"/>
    <w:rsid w:val="003204E9"/>
    <w:rsid w:val="00321E8C"/>
    <w:rsid w:val="00322A5E"/>
    <w:rsid w:val="00322A86"/>
    <w:rsid w:val="00323AE8"/>
    <w:rsid w:val="00324548"/>
    <w:rsid w:val="003251F4"/>
    <w:rsid w:val="003303E3"/>
    <w:rsid w:val="00332937"/>
    <w:rsid w:val="003329EA"/>
    <w:rsid w:val="0033649D"/>
    <w:rsid w:val="003371D0"/>
    <w:rsid w:val="003376D5"/>
    <w:rsid w:val="003407A5"/>
    <w:rsid w:val="00341188"/>
    <w:rsid w:val="0034147B"/>
    <w:rsid w:val="00345F56"/>
    <w:rsid w:val="00350238"/>
    <w:rsid w:val="003508B0"/>
    <w:rsid w:val="0035109C"/>
    <w:rsid w:val="00351F0A"/>
    <w:rsid w:val="003526A6"/>
    <w:rsid w:val="0035432B"/>
    <w:rsid w:val="00356D17"/>
    <w:rsid w:val="003570F4"/>
    <w:rsid w:val="00361E7E"/>
    <w:rsid w:val="00363E15"/>
    <w:rsid w:val="00370AA4"/>
    <w:rsid w:val="00371FF4"/>
    <w:rsid w:val="0037337F"/>
    <w:rsid w:val="003745DA"/>
    <w:rsid w:val="0037468D"/>
    <w:rsid w:val="00375147"/>
    <w:rsid w:val="00376A15"/>
    <w:rsid w:val="00376E96"/>
    <w:rsid w:val="00377520"/>
    <w:rsid w:val="00380D36"/>
    <w:rsid w:val="00380FB5"/>
    <w:rsid w:val="003822D3"/>
    <w:rsid w:val="00386630"/>
    <w:rsid w:val="00390B25"/>
    <w:rsid w:val="00395BC9"/>
    <w:rsid w:val="00396E32"/>
    <w:rsid w:val="00397156"/>
    <w:rsid w:val="00397616"/>
    <w:rsid w:val="00397960"/>
    <w:rsid w:val="003A30B8"/>
    <w:rsid w:val="003A3BC4"/>
    <w:rsid w:val="003A458A"/>
    <w:rsid w:val="003B2F13"/>
    <w:rsid w:val="003B405E"/>
    <w:rsid w:val="003B57D3"/>
    <w:rsid w:val="003C1F58"/>
    <w:rsid w:val="003C66C3"/>
    <w:rsid w:val="003C6BB7"/>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59C4"/>
    <w:rsid w:val="003F7C45"/>
    <w:rsid w:val="0040132C"/>
    <w:rsid w:val="00401FEA"/>
    <w:rsid w:val="004027BA"/>
    <w:rsid w:val="0040469F"/>
    <w:rsid w:val="00405085"/>
    <w:rsid w:val="0040617F"/>
    <w:rsid w:val="004061D9"/>
    <w:rsid w:val="004066FC"/>
    <w:rsid w:val="00407C10"/>
    <w:rsid w:val="004113B4"/>
    <w:rsid w:val="00414827"/>
    <w:rsid w:val="00416C10"/>
    <w:rsid w:val="00420007"/>
    <w:rsid w:val="00421C77"/>
    <w:rsid w:val="00424EF3"/>
    <w:rsid w:val="004261BD"/>
    <w:rsid w:val="004268BB"/>
    <w:rsid w:val="00431047"/>
    <w:rsid w:val="00431B86"/>
    <w:rsid w:val="004339D9"/>
    <w:rsid w:val="004408EC"/>
    <w:rsid w:val="00440E5F"/>
    <w:rsid w:val="00441E6A"/>
    <w:rsid w:val="00443C8F"/>
    <w:rsid w:val="00452481"/>
    <w:rsid w:val="004567C5"/>
    <w:rsid w:val="00457804"/>
    <w:rsid w:val="00462B61"/>
    <w:rsid w:val="00464283"/>
    <w:rsid w:val="004646BF"/>
    <w:rsid w:val="00464744"/>
    <w:rsid w:val="004665E3"/>
    <w:rsid w:val="00466B17"/>
    <w:rsid w:val="004705EB"/>
    <w:rsid w:val="004721EF"/>
    <w:rsid w:val="004731F1"/>
    <w:rsid w:val="004745CC"/>
    <w:rsid w:val="00477111"/>
    <w:rsid w:val="0047798A"/>
    <w:rsid w:val="00480BC8"/>
    <w:rsid w:val="00481265"/>
    <w:rsid w:val="004814BF"/>
    <w:rsid w:val="00482956"/>
    <w:rsid w:val="0048587E"/>
    <w:rsid w:val="00487C2B"/>
    <w:rsid w:val="0049297D"/>
    <w:rsid w:val="004929F2"/>
    <w:rsid w:val="004958BE"/>
    <w:rsid w:val="00495A03"/>
    <w:rsid w:val="0049659A"/>
    <w:rsid w:val="004966FE"/>
    <w:rsid w:val="00497079"/>
    <w:rsid w:val="00497E38"/>
    <w:rsid w:val="004A0BD6"/>
    <w:rsid w:val="004A1493"/>
    <w:rsid w:val="004A1BBA"/>
    <w:rsid w:val="004A3039"/>
    <w:rsid w:val="004A3E3C"/>
    <w:rsid w:val="004A7FBA"/>
    <w:rsid w:val="004B0E6D"/>
    <w:rsid w:val="004B16E8"/>
    <w:rsid w:val="004B254D"/>
    <w:rsid w:val="004B327C"/>
    <w:rsid w:val="004B38A1"/>
    <w:rsid w:val="004B3F56"/>
    <w:rsid w:val="004B6250"/>
    <w:rsid w:val="004B76B1"/>
    <w:rsid w:val="004C0057"/>
    <w:rsid w:val="004C0541"/>
    <w:rsid w:val="004C05F3"/>
    <w:rsid w:val="004C2C46"/>
    <w:rsid w:val="004C52A1"/>
    <w:rsid w:val="004C7235"/>
    <w:rsid w:val="004C7955"/>
    <w:rsid w:val="004C7C9D"/>
    <w:rsid w:val="004D047F"/>
    <w:rsid w:val="004D3971"/>
    <w:rsid w:val="004D3D96"/>
    <w:rsid w:val="004D650F"/>
    <w:rsid w:val="004E2133"/>
    <w:rsid w:val="004E60FB"/>
    <w:rsid w:val="004F16AD"/>
    <w:rsid w:val="004F6565"/>
    <w:rsid w:val="004F779C"/>
    <w:rsid w:val="004F7846"/>
    <w:rsid w:val="005000D4"/>
    <w:rsid w:val="00501BB1"/>
    <w:rsid w:val="00505BE7"/>
    <w:rsid w:val="00506786"/>
    <w:rsid w:val="00506D57"/>
    <w:rsid w:val="00507F26"/>
    <w:rsid w:val="00510CAF"/>
    <w:rsid w:val="005128C5"/>
    <w:rsid w:val="0051478B"/>
    <w:rsid w:val="0051566A"/>
    <w:rsid w:val="00515D7B"/>
    <w:rsid w:val="005166E9"/>
    <w:rsid w:val="0052009E"/>
    <w:rsid w:val="00521EDE"/>
    <w:rsid w:val="00525E59"/>
    <w:rsid w:val="005318CC"/>
    <w:rsid w:val="005346F1"/>
    <w:rsid w:val="005349B1"/>
    <w:rsid w:val="005374BC"/>
    <w:rsid w:val="00543367"/>
    <w:rsid w:val="00543BFA"/>
    <w:rsid w:val="0054649D"/>
    <w:rsid w:val="00547D9C"/>
    <w:rsid w:val="00547DA1"/>
    <w:rsid w:val="00550511"/>
    <w:rsid w:val="0055513C"/>
    <w:rsid w:val="00560C94"/>
    <w:rsid w:val="0056291C"/>
    <w:rsid w:val="00565A63"/>
    <w:rsid w:val="00566588"/>
    <w:rsid w:val="00571BD3"/>
    <w:rsid w:val="0057275D"/>
    <w:rsid w:val="005749DF"/>
    <w:rsid w:val="005800A9"/>
    <w:rsid w:val="00580488"/>
    <w:rsid w:val="0058074D"/>
    <w:rsid w:val="005827A3"/>
    <w:rsid w:val="00582FAD"/>
    <w:rsid w:val="00583489"/>
    <w:rsid w:val="005837E4"/>
    <w:rsid w:val="00584F63"/>
    <w:rsid w:val="00587B92"/>
    <w:rsid w:val="005908C0"/>
    <w:rsid w:val="00590FE4"/>
    <w:rsid w:val="005914B6"/>
    <w:rsid w:val="00591D9C"/>
    <w:rsid w:val="00592EFF"/>
    <w:rsid w:val="00597057"/>
    <w:rsid w:val="00597D8B"/>
    <w:rsid w:val="005A128A"/>
    <w:rsid w:val="005A140B"/>
    <w:rsid w:val="005A1C30"/>
    <w:rsid w:val="005A2929"/>
    <w:rsid w:val="005A2C00"/>
    <w:rsid w:val="005A3295"/>
    <w:rsid w:val="005A44E4"/>
    <w:rsid w:val="005A46FF"/>
    <w:rsid w:val="005A6BFC"/>
    <w:rsid w:val="005A704A"/>
    <w:rsid w:val="005B011E"/>
    <w:rsid w:val="005B2E84"/>
    <w:rsid w:val="005B3103"/>
    <w:rsid w:val="005B6AC7"/>
    <w:rsid w:val="005B6CA6"/>
    <w:rsid w:val="005B7B0E"/>
    <w:rsid w:val="005C5409"/>
    <w:rsid w:val="005C69AC"/>
    <w:rsid w:val="005C722E"/>
    <w:rsid w:val="005C7FD4"/>
    <w:rsid w:val="005D01A4"/>
    <w:rsid w:val="005D45B3"/>
    <w:rsid w:val="005D4CEB"/>
    <w:rsid w:val="005E0EAB"/>
    <w:rsid w:val="005E2501"/>
    <w:rsid w:val="005E64DA"/>
    <w:rsid w:val="005F04E6"/>
    <w:rsid w:val="005F43B9"/>
    <w:rsid w:val="005F58F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0D76"/>
    <w:rsid w:val="0063181A"/>
    <w:rsid w:val="00637258"/>
    <w:rsid w:val="00642072"/>
    <w:rsid w:val="006440ED"/>
    <w:rsid w:val="00645293"/>
    <w:rsid w:val="00646237"/>
    <w:rsid w:val="00651B78"/>
    <w:rsid w:val="00652263"/>
    <w:rsid w:val="00652881"/>
    <w:rsid w:val="0065601A"/>
    <w:rsid w:val="00656776"/>
    <w:rsid w:val="00661974"/>
    <w:rsid w:val="00662D4B"/>
    <w:rsid w:val="00664551"/>
    <w:rsid w:val="00664F49"/>
    <w:rsid w:val="006658FA"/>
    <w:rsid w:val="006669C9"/>
    <w:rsid w:val="0066726C"/>
    <w:rsid w:val="006674BD"/>
    <w:rsid w:val="006676A0"/>
    <w:rsid w:val="00670857"/>
    <w:rsid w:val="00671124"/>
    <w:rsid w:val="006727B0"/>
    <w:rsid w:val="0067307E"/>
    <w:rsid w:val="00686EC0"/>
    <w:rsid w:val="00687AD5"/>
    <w:rsid w:val="00691153"/>
    <w:rsid w:val="00695251"/>
    <w:rsid w:val="00695ADE"/>
    <w:rsid w:val="00695C0D"/>
    <w:rsid w:val="00696356"/>
    <w:rsid w:val="006A1DAE"/>
    <w:rsid w:val="006A2C8E"/>
    <w:rsid w:val="006A42D6"/>
    <w:rsid w:val="006A72C6"/>
    <w:rsid w:val="006B02DA"/>
    <w:rsid w:val="006B077E"/>
    <w:rsid w:val="006B1FD1"/>
    <w:rsid w:val="006B2065"/>
    <w:rsid w:val="006B2F2B"/>
    <w:rsid w:val="006B3940"/>
    <w:rsid w:val="006B47D1"/>
    <w:rsid w:val="006C0411"/>
    <w:rsid w:val="006C124D"/>
    <w:rsid w:val="006C168D"/>
    <w:rsid w:val="006C1D52"/>
    <w:rsid w:val="006C4E16"/>
    <w:rsid w:val="006C55C8"/>
    <w:rsid w:val="006C5E36"/>
    <w:rsid w:val="006C642C"/>
    <w:rsid w:val="006C6FC6"/>
    <w:rsid w:val="006D00D5"/>
    <w:rsid w:val="006E34B7"/>
    <w:rsid w:val="006F4CD8"/>
    <w:rsid w:val="00700B57"/>
    <w:rsid w:val="00701F44"/>
    <w:rsid w:val="00703E8A"/>
    <w:rsid w:val="007058F8"/>
    <w:rsid w:val="00706F31"/>
    <w:rsid w:val="00710335"/>
    <w:rsid w:val="00711522"/>
    <w:rsid w:val="007124FE"/>
    <w:rsid w:val="00713186"/>
    <w:rsid w:val="00713757"/>
    <w:rsid w:val="00717772"/>
    <w:rsid w:val="00721AF1"/>
    <w:rsid w:val="0072280F"/>
    <w:rsid w:val="00722B5E"/>
    <w:rsid w:val="0072708F"/>
    <w:rsid w:val="00730500"/>
    <w:rsid w:val="00732D1D"/>
    <w:rsid w:val="00736034"/>
    <w:rsid w:val="00736479"/>
    <w:rsid w:val="0073681C"/>
    <w:rsid w:val="00741EBE"/>
    <w:rsid w:val="00746130"/>
    <w:rsid w:val="00746A40"/>
    <w:rsid w:val="00750358"/>
    <w:rsid w:val="007513AC"/>
    <w:rsid w:val="00751763"/>
    <w:rsid w:val="00755CDF"/>
    <w:rsid w:val="00757A4C"/>
    <w:rsid w:val="0076093C"/>
    <w:rsid w:val="00763925"/>
    <w:rsid w:val="00764A94"/>
    <w:rsid w:val="0076518F"/>
    <w:rsid w:val="007651E5"/>
    <w:rsid w:val="007670DC"/>
    <w:rsid w:val="0077111A"/>
    <w:rsid w:val="00772721"/>
    <w:rsid w:val="007756ED"/>
    <w:rsid w:val="007870FC"/>
    <w:rsid w:val="00787CD0"/>
    <w:rsid w:val="00791053"/>
    <w:rsid w:val="00791A3A"/>
    <w:rsid w:val="00791BB9"/>
    <w:rsid w:val="00794196"/>
    <w:rsid w:val="00794251"/>
    <w:rsid w:val="00796EC9"/>
    <w:rsid w:val="00797637"/>
    <w:rsid w:val="00797DD2"/>
    <w:rsid w:val="007A13C1"/>
    <w:rsid w:val="007A3680"/>
    <w:rsid w:val="007A59B8"/>
    <w:rsid w:val="007A75F5"/>
    <w:rsid w:val="007B2862"/>
    <w:rsid w:val="007B662A"/>
    <w:rsid w:val="007B73ED"/>
    <w:rsid w:val="007D1292"/>
    <w:rsid w:val="007D28C9"/>
    <w:rsid w:val="007D3CC8"/>
    <w:rsid w:val="007D5584"/>
    <w:rsid w:val="007D62A3"/>
    <w:rsid w:val="007D62F9"/>
    <w:rsid w:val="007D63A4"/>
    <w:rsid w:val="007E1AA2"/>
    <w:rsid w:val="007E303C"/>
    <w:rsid w:val="007E4C1F"/>
    <w:rsid w:val="007F0759"/>
    <w:rsid w:val="007F25C0"/>
    <w:rsid w:val="007F26D5"/>
    <w:rsid w:val="007F5F52"/>
    <w:rsid w:val="007F768B"/>
    <w:rsid w:val="007F77C6"/>
    <w:rsid w:val="008003A1"/>
    <w:rsid w:val="008006B7"/>
    <w:rsid w:val="00800FDB"/>
    <w:rsid w:val="00802081"/>
    <w:rsid w:val="00806461"/>
    <w:rsid w:val="0081096D"/>
    <w:rsid w:val="00810EAD"/>
    <w:rsid w:val="00811833"/>
    <w:rsid w:val="008118B6"/>
    <w:rsid w:val="008174D4"/>
    <w:rsid w:val="00820FE6"/>
    <w:rsid w:val="00821A66"/>
    <w:rsid w:val="00822476"/>
    <w:rsid w:val="00822882"/>
    <w:rsid w:val="00825F68"/>
    <w:rsid w:val="00826B12"/>
    <w:rsid w:val="008277FF"/>
    <w:rsid w:val="00835408"/>
    <w:rsid w:val="00837CEF"/>
    <w:rsid w:val="00840035"/>
    <w:rsid w:val="008428A9"/>
    <w:rsid w:val="00844112"/>
    <w:rsid w:val="00844929"/>
    <w:rsid w:val="00845292"/>
    <w:rsid w:val="008456C9"/>
    <w:rsid w:val="0084611D"/>
    <w:rsid w:val="00850C62"/>
    <w:rsid w:val="00852E6D"/>
    <w:rsid w:val="00861D07"/>
    <w:rsid w:val="008620ED"/>
    <w:rsid w:val="00863011"/>
    <w:rsid w:val="00865075"/>
    <w:rsid w:val="008673EE"/>
    <w:rsid w:val="0086748F"/>
    <w:rsid w:val="00867510"/>
    <w:rsid w:val="008712A3"/>
    <w:rsid w:val="00871E07"/>
    <w:rsid w:val="00872CE4"/>
    <w:rsid w:val="00877B62"/>
    <w:rsid w:val="00877D98"/>
    <w:rsid w:val="00881015"/>
    <w:rsid w:val="008810B0"/>
    <w:rsid w:val="00881617"/>
    <w:rsid w:val="008819B6"/>
    <w:rsid w:val="00881AAC"/>
    <w:rsid w:val="0088256A"/>
    <w:rsid w:val="008836B7"/>
    <w:rsid w:val="008841D3"/>
    <w:rsid w:val="00884359"/>
    <w:rsid w:val="00887DE6"/>
    <w:rsid w:val="00890172"/>
    <w:rsid w:val="008911D2"/>
    <w:rsid w:val="00893048"/>
    <w:rsid w:val="00894C2A"/>
    <w:rsid w:val="008975BC"/>
    <w:rsid w:val="00897708"/>
    <w:rsid w:val="00897D88"/>
    <w:rsid w:val="00897E6F"/>
    <w:rsid w:val="008A2EC6"/>
    <w:rsid w:val="008A2F16"/>
    <w:rsid w:val="008A6D69"/>
    <w:rsid w:val="008A75CA"/>
    <w:rsid w:val="008B0A73"/>
    <w:rsid w:val="008B1823"/>
    <w:rsid w:val="008B2C17"/>
    <w:rsid w:val="008B2EAD"/>
    <w:rsid w:val="008B6A4A"/>
    <w:rsid w:val="008B6E16"/>
    <w:rsid w:val="008B7110"/>
    <w:rsid w:val="008C2029"/>
    <w:rsid w:val="008C503E"/>
    <w:rsid w:val="008C50F5"/>
    <w:rsid w:val="008C61D6"/>
    <w:rsid w:val="008C64F1"/>
    <w:rsid w:val="008C71EB"/>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F85"/>
    <w:rsid w:val="00922D49"/>
    <w:rsid w:val="0092502E"/>
    <w:rsid w:val="00925E37"/>
    <w:rsid w:val="00925EDD"/>
    <w:rsid w:val="00927D0E"/>
    <w:rsid w:val="009309DA"/>
    <w:rsid w:val="0093260B"/>
    <w:rsid w:val="00936688"/>
    <w:rsid w:val="00936891"/>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779FD"/>
    <w:rsid w:val="00981963"/>
    <w:rsid w:val="00983C82"/>
    <w:rsid w:val="00984520"/>
    <w:rsid w:val="0098545C"/>
    <w:rsid w:val="00985BF7"/>
    <w:rsid w:val="00990071"/>
    <w:rsid w:val="00991EA9"/>
    <w:rsid w:val="00992BA2"/>
    <w:rsid w:val="00992F83"/>
    <w:rsid w:val="00993250"/>
    <w:rsid w:val="00993D1A"/>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C77A0"/>
    <w:rsid w:val="009D1EA4"/>
    <w:rsid w:val="009D27AA"/>
    <w:rsid w:val="009D4991"/>
    <w:rsid w:val="009D5BB5"/>
    <w:rsid w:val="009D696D"/>
    <w:rsid w:val="009D6DAB"/>
    <w:rsid w:val="009D6ED2"/>
    <w:rsid w:val="009E0F1A"/>
    <w:rsid w:val="009E140D"/>
    <w:rsid w:val="009E1E55"/>
    <w:rsid w:val="009E3391"/>
    <w:rsid w:val="009E4465"/>
    <w:rsid w:val="009E6401"/>
    <w:rsid w:val="009E6C54"/>
    <w:rsid w:val="009E6D44"/>
    <w:rsid w:val="009F2A25"/>
    <w:rsid w:val="009F5235"/>
    <w:rsid w:val="009F531A"/>
    <w:rsid w:val="009F6550"/>
    <w:rsid w:val="009F786E"/>
    <w:rsid w:val="00A00902"/>
    <w:rsid w:val="00A039FF"/>
    <w:rsid w:val="00A05ACE"/>
    <w:rsid w:val="00A10A9C"/>
    <w:rsid w:val="00A14AE3"/>
    <w:rsid w:val="00A16675"/>
    <w:rsid w:val="00A22CD6"/>
    <w:rsid w:val="00A22D4B"/>
    <w:rsid w:val="00A234EC"/>
    <w:rsid w:val="00A2417A"/>
    <w:rsid w:val="00A27804"/>
    <w:rsid w:val="00A32FDA"/>
    <w:rsid w:val="00A35A8D"/>
    <w:rsid w:val="00A36AB5"/>
    <w:rsid w:val="00A37DDA"/>
    <w:rsid w:val="00A4111B"/>
    <w:rsid w:val="00A411D1"/>
    <w:rsid w:val="00A41566"/>
    <w:rsid w:val="00A421B6"/>
    <w:rsid w:val="00A43389"/>
    <w:rsid w:val="00A43C40"/>
    <w:rsid w:val="00A43E71"/>
    <w:rsid w:val="00A45753"/>
    <w:rsid w:val="00A47B15"/>
    <w:rsid w:val="00A47E47"/>
    <w:rsid w:val="00A5045F"/>
    <w:rsid w:val="00A52F84"/>
    <w:rsid w:val="00A56AA4"/>
    <w:rsid w:val="00A56B05"/>
    <w:rsid w:val="00A57678"/>
    <w:rsid w:val="00A60E2F"/>
    <w:rsid w:val="00A63127"/>
    <w:rsid w:val="00A63284"/>
    <w:rsid w:val="00A64CB8"/>
    <w:rsid w:val="00A67018"/>
    <w:rsid w:val="00A672F3"/>
    <w:rsid w:val="00A673DC"/>
    <w:rsid w:val="00A67563"/>
    <w:rsid w:val="00A7076E"/>
    <w:rsid w:val="00A707AE"/>
    <w:rsid w:val="00A709BE"/>
    <w:rsid w:val="00A70E23"/>
    <w:rsid w:val="00A7162E"/>
    <w:rsid w:val="00A72D71"/>
    <w:rsid w:val="00A75705"/>
    <w:rsid w:val="00A7634D"/>
    <w:rsid w:val="00A77C69"/>
    <w:rsid w:val="00A82C02"/>
    <w:rsid w:val="00A83953"/>
    <w:rsid w:val="00A840C5"/>
    <w:rsid w:val="00A903B6"/>
    <w:rsid w:val="00A90F4F"/>
    <w:rsid w:val="00A947AA"/>
    <w:rsid w:val="00A96748"/>
    <w:rsid w:val="00A96FD9"/>
    <w:rsid w:val="00AA1B53"/>
    <w:rsid w:val="00AA3556"/>
    <w:rsid w:val="00AA35FD"/>
    <w:rsid w:val="00AA3DB7"/>
    <w:rsid w:val="00AA72C6"/>
    <w:rsid w:val="00AA7F64"/>
    <w:rsid w:val="00AB2DFA"/>
    <w:rsid w:val="00AB3012"/>
    <w:rsid w:val="00AB321C"/>
    <w:rsid w:val="00AB3DEF"/>
    <w:rsid w:val="00AB42E2"/>
    <w:rsid w:val="00AB688F"/>
    <w:rsid w:val="00AB75EA"/>
    <w:rsid w:val="00AB7AA2"/>
    <w:rsid w:val="00AC3EB9"/>
    <w:rsid w:val="00AC4BC1"/>
    <w:rsid w:val="00AC588F"/>
    <w:rsid w:val="00AC5E4B"/>
    <w:rsid w:val="00AD04BD"/>
    <w:rsid w:val="00AD1A03"/>
    <w:rsid w:val="00AD7214"/>
    <w:rsid w:val="00AE1066"/>
    <w:rsid w:val="00AE19D8"/>
    <w:rsid w:val="00AE4518"/>
    <w:rsid w:val="00AE5D7F"/>
    <w:rsid w:val="00AE79F0"/>
    <w:rsid w:val="00AE7D44"/>
    <w:rsid w:val="00AF4FE7"/>
    <w:rsid w:val="00AF6EC1"/>
    <w:rsid w:val="00AF7CF5"/>
    <w:rsid w:val="00B00331"/>
    <w:rsid w:val="00B0116D"/>
    <w:rsid w:val="00B01A80"/>
    <w:rsid w:val="00B07C27"/>
    <w:rsid w:val="00B10DE1"/>
    <w:rsid w:val="00B10FF8"/>
    <w:rsid w:val="00B111B9"/>
    <w:rsid w:val="00B203C4"/>
    <w:rsid w:val="00B22995"/>
    <w:rsid w:val="00B22A61"/>
    <w:rsid w:val="00B22E81"/>
    <w:rsid w:val="00B23996"/>
    <w:rsid w:val="00B23CB2"/>
    <w:rsid w:val="00B2561A"/>
    <w:rsid w:val="00B25A64"/>
    <w:rsid w:val="00B26B91"/>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7142"/>
    <w:rsid w:val="00B7766E"/>
    <w:rsid w:val="00B77F5A"/>
    <w:rsid w:val="00B80A2C"/>
    <w:rsid w:val="00B81F60"/>
    <w:rsid w:val="00B83F8E"/>
    <w:rsid w:val="00B841AC"/>
    <w:rsid w:val="00B865B0"/>
    <w:rsid w:val="00B90780"/>
    <w:rsid w:val="00B918B8"/>
    <w:rsid w:val="00B9240D"/>
    <w:rsid w:val="00B94BB8"/>
    <w:rsid w:val="00B94C15"/>
    <w:rsid w:val="00B95E5A"/>
    <w:rsid w:val="00BA22A8"/>
    <w:rsid w:val="00BA3E48"/>
    <w:rsid w:val="00BA5FB8"/>
    <w:rsid w:val="00BB1EB3"/>
    <w:rsid w:val="00BB2678"/>
    <w:rsid w:val="00BB531E"/>
    <w:rsid w:val="00BB5F3D"/>
    <w:rsid w:val="00BC040A"/>
    <w:rsid w:val="00BC2343"/>
    <w:rsid w:val="00BC5A18"/>
    <w:rsid w:val="00BC76D5"/>
    <w:rsid w:val="00BD18B8"/>
    <w:rsid w:val="00BD30C8"/>
    <w:rsid w:val="00BD31D1"/>
    <w:rsid w:val="00BD3EB4"/>
    <w:rsid w:val="00BD5C65"/>
    <w:rsid w:val="00BD7FC1"/>
    <w:rsid w:val="00BE01CA"/>
    <w:rsid w:val="00BE4973"/>
    <w:rsid w:val="00BE6018"/>
    <w:rsid w:val="00BF1DD5"/>
    <w:rsid w:val="00BF1F57"/>
    <w:rsid w:val="00BF3EA0"/>
    <w:rsid w:val="00BF4086"/>
    <w:rsid w:val="00BF426C"/>
    <w:rsid w:val="00BF460D"/>
    <w:rsid w:val="00BF58D0"/>
    <w:rsid w:val="00BF7D6A"/>
    <w:rsid w:val="00C00D1C"/>
    <w:rsid w:val="00C00EFD"/>
    <w:rsid w:val="00C013E1"/>
    <w:rsid w:val="00C01611"/>
    <w:rsid w:val="00C01C01"/>
    <w:rsid w:val="00C02C6D"/>
    <w:rsid w:val="00C02D59"/>
    <w:rsid w:val="00C030B6"/>
    <w:rsid w:val="00C03284"/>
    <w:rsid w:val="00C04855"/>
    <w:rsid w:val="00C050D7"/>
    <w:rsid w:val="00C05B5F"/>
    <w:rsid w:val="00C0667A"/>
    <w:rsid w:val="00C07303"/>
    <w:rsid w:val="00C104CC"/>
    <w:rsid w:val="00C130C1"/>
    <w:rsid w:val="00C14EF1"/>
    <w:rsid w:val="00C152FE"/>
    <w:rsid w:val="00C16739"/>
    <w:rsid w:val="00C218F0"/>
    <w:rsid w:val="00C22CCE"/>
    <w:rsid w:val="00C23BA2"/>
    <w:rsid w:val="00C25D0C"/>
    <w:rsid w:val="00C32AF2"/>
    <w:rsid w:val="00C33204"/>
    <w:rsid w:val="00C338EB"/>
    <w:rsid w:val="00C33E2E"/>
    <w:rsid w:val="00C3465D"/>
    <w:rsid w:val="00C379E9"/>
    <w:rsid w:val="00C37E98"/>
    <w:rsid w:val="00C42431"/>
    <w:rsid w:val="00C439FB"/>
    <w:rsid w:val="00C43F23"/>
    <w:rsid w:val="00C45314"/>
    <w:rsid w:val="00C4675D"/>
    <w:rsid w:val="00C50011"/>
    <w:rsid w:val="00C503D3"/>
    <w:rsid w:val="00C62509"/>
    <w:rsid w:val="00C63BFE"/>
    <w:rsid w:val="00C645E6"/>
    <w:rsid w:val="00C64D82"/>
    <w:rsid w:val="00C64FBC"/>
    <w:rsid w:val="00C65A83"/>
    <w:rsid w:val="00C67DCB"/>
    <w:rsid w:val="00C736BB"/>
    <w:rsid w:val="00C737E8"/>
    <w:rsid w:val="00C80F23"/>
    <w:rsid w:val="00C81151"/>
    <w:rsid w:val="00C81746"/>
    <w:rsid w:val="00C82A96"/>
    <w:rsid w:val="00C82CC6"/>
    <w:rsid w:val="00C850A3"/>
    <w:rsid w:val="00C856E5"/>
    <w:rsid w:val="00C85C32"/>
    <w:rsid w:val="00C87568"/>
    <w:rsid w:val="00C87BB7"/>
    <w:rsid w:val="00C90DB6"/>
    <w:rsid w:val="00C9394F"/>
    <w:rsid w:val="00C93B1A"/>
    <w:rsid w:val="00C9504A"/>
    <w:rsid w:val="00C96275"/>
    <w:rsid w:val="00C96F5F"/>
    <w:rsid w:val="00CA1A4F"/>
    <w:rsid w:val="00CA3977"/>
    <w:rsid w:val="00CA5927"/>
    <w:rsid w:val="00CA79EC"/>
    <w:rsid w:val="00CB3783"/>
    <w:rsid w:val="00CB39C2"/>
    <w:rsid w:val="00CB44DE"/>
    <w:rsid w:val="00CB4C8C"/>
    <w:rsid w:val="00CB6782"/>
    <w:rsid w:val="00CB7629"/>
    <w:rsid w:val="00CC00EC"/>
    <w:rsid w:val="00CC080A"/>
    <w:rsid w:val="00CC3C04"/>
    <w:rsid w:val="00CC4396"/>
    <w:rsid w:val="00CD5216"/>
    <w:rsid w:val="00CE2741"/>
    <w:rsid w:val="00CE3C13"/>
    <w:rsid w:val="00CE4499"/>
    <w:rsid w:val="00CE5277"/>
    <w:rsid w:val="00CE6358"/>
    <w:rsid w:val="00CE7FC6"/>
    <w:rsid w:val="00CF0C6C"/>
    <w:rsid w:val="00CF2D54"/>
    <w:rsid w:val="00CF622A"/>
    <w:rsid w:val="00D01324"/>
    <w:rsid w:val="00D02BA5"/>
    <w:rsid w:val="00D03538"/>
    <w:rsid w:val="00D03B67"/>
    <w:rsid w:val="00D049B8"/>
    <w:rsid w:val="00D0516C"/>
    <w:rsid w:val="00D05EE7"/>
    <w:rsid w:val="00D068D0"/>
    <w:rsid w:val="00D078D1"/>
    <w:rsid w:val="00D129A8"/>
    <w:rsid w:val="00D12FB9"/>
    <w:rsid w:val="00D13987"/>
    <w:rsid w:val="00D200BD"/>
    <w:rsid w:val="00D22399"/>
    <w:rsid w:val="00D310E8"/>
    <w:rsid w:val="00D33751"/>
    <w:rsid w:val="00D36F6E"/>
    <w:rsid w:val="00D37343"/>
    <w:rsid w:val="00D4205E"/>
    <w:rsid w:val="00D46CA6"/>
    <w:rsid w:val="00D565EC"/>
    <w:rsid w:val="00D61982"/>
    <w:rsid w:val="00D6226F"/>
    <w:rsid w:val="00D6267A"/>
    <w:rsid w:val="00D674CF"/>
    <w:rsid w:val="00D678DF"/>
    <w:rsid w:val="00D67D12"/>
    <w:rsid w:val="00D70923"/>
    <w:rsid w:val="00D74F09"/>
    <w:rsid w:val="00D754C0"/>
    <w:rsid w:val="00D75673"/>
    <w:rsid w:val="00D7585A"/>
    <w:rsid w:val="00D80618"/>
    <w:rsid w:val="00D82494"/>
    <w:rsid w:val="00D84A4B"/>
    <w:rsid w:val="00D85E13"/>
    <w:rsid w:val="00D8669F"/>
    <w:rsid w:val="00D92168"/>
    <w:rsid w:val="00D940B5"/>
    <w:rsid w:val="00D95318"/>
    <w:rsid w:val="00D95CB0"/>
    <w:rsid w:val="00D9766F"/>
    <w:rsid w:val="00D977C0"/>
    <w:rsid w:val="00DA00A3"/>
    <w:rsid w:val="00DA13F3"/>
    <w:rsid w:val="00DA27D4"/>
    <w:rsid w:val="00DA2DE3"/>
    <w:rsid w:val="00DA716A"/>
    <w:rsid w:val="00DB0A33"/>
    <w:rsid w:val="00DB1841"/>
    <w:rsid w:val="00DB1F4F"/>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3B3"/>
    <w:rsid w:val="00DE6DF1"/>
    <w:rsid w:val="00DF0726"/>
    <w:rsid w:val="00DF63FA"/>
    <w:rsid w:val="00E012CC"/>
    <w:rsid w:val="00E02B71"/>
    <w:rsid w:val="00E02DEB"/>
    <w:rsid w:val="00E042A1"/>
    <w:rsid w:val="00E104FA"/>
    <w:rsid w:val="00E1082A"/>
    <w:rsid w:val="00E11166"/>
    <w:rsid w:val="00E13182"/>
    <w:rsid w:val="00E15383"/>
    <w:rsid w:val="00E1738C"/>
    <w:rsid w:val="00E174D4"/>
    <w:rsid w:val="00E22D28"/>
    <w:rsid w:val="00E230E3"/>
    <w:rsid w:val="00E27344"/>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50C2"/>
    <w:rsid w:val="00E76B86"/>
    <w:rsid w:val="00E81AFF"/>
    <w:rsid w:val="00E8342F"/>
    <w:rsid w:val="00E847A7"/>
    <w:rsid w:val="00E87C2F"/>
    <w:rsid w:val="00E906B4"/>
    <w:rsid w:val="00E9095B"/>
    <w:rsid w:val="00E90CF1"/>
    <w:rsid w:val="00E9399B"/>
    <w:rsid w:val="00E94008"/>
    <w:rsid w:val="00E94762"/>
    <w:rsid w:val="00E96B52"/>
    <w:rsid w:val="00EA2244"/>
    <w:rsid w:val="00EA411E"/>
    <w:rsid w:val="00EA5FC0"/>
    <w:rsid w:val="00EA6FA7"/>
    <w:rsid w:val="00EB067F"/>
    <w:rsid w:val="00EB1F02"/>
    <w:rsid w:val="00EB51FD"/>
    <w:rsid w:val="00EB5BC5"/>
    <w:rsid w:val="00EB72C1"/>
    <w:rsid w:val="00EC086C"/>
    <w:rsid w:val="00EC42D0"/>
    <w:rsid w:val="00EC4BA3"/>
    <w:rsid w:val="00EC5CE6"/>
    <w:rsid w:val="00EC638F"/>
    <w:rsid w:val="00EE2ACE"/>
    <w:rsid w:val="00EE4874"/>
    <w:rsid w:val="00EE53EA"/>
    <w:rsid w:val="00EE79A6"/>
    <w:rsid w:val="00EE7FB4"/>
    <w:rsid w:val="00EF0A46"/>
    <w:rsid w:val="00EF0D26"/>
    <w:rsid w:val="00EF0D86"/>
    <w:rsid w:val="00EF22FE"/>
    <w:rsid w:val="00EF76AC"/>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6130"/>
    <w:rsid w:val="00F40444"/>
    <w:rsid w:val="00F423BD"/>
    <w:rsid w:val="00F432FF"/>
    <w:rsid w:val="00F4715C"/>
    <w:rsid w:val="00F512C0"/>
    <w:rsid w:val="00F51C16"/>
    <w:rsid w:val="00F54869"/>
    <w:rsid w:val="00F556B2"/>
    <w:rsid w:val="00F57187"/>
    <w:rsid w:val="00F574E5"/>
    <w:rsid w:val="00F5754B"/>
    <w:rsid w:val="00F576DE"/>
    <w:rsid w:val="00F63BF7"/>
    <w:rsid w:val="00F65617"/>
    <w:rsid w:val="00F666BC"/>
    <w:rsid w:val="00F70316"/>
    <w:rsid w:val="00F710BE"/>
    <w:rsid w:val="00F72CEF"/>
    <w:rsid w:val="00F736D2"/>
    <w:rsid w:val="00F7564C"/>
    <w:rsid w:val="00F76220"/>
    <w:rsid w:val="00F769BE"/>
    <w:rsid w:val="00F76A66"/>
    <w:rsid w:val="00F813A0"/>
    <w:rsid w:val="00F82E6B"/>
    <w:rsid w:val="00F951CF"/>
    <w:rsid w:val="00F97B71"/>
    <w:rsid w:val="00FA1925"/>
    <w:rsid w:val="00FA2DDA"/>
    <w:rsid w:val="00FA34CA"/>
    <w:rsid w:val="00FA3CC8"/>
    <w:rsid w:val="00FA4A55"/>
    <w:rsid w:val="00FA4D4F"/>
    <w:rsid w:val="00FA54E8"/>
    <w:rsid w:val="00FA5CA2"/>
    <w:rsid w:val="00FB0D88"/>
    <w:rsid w:val="00FB26B3"/>
    <w:rsid w:val="00FB2D17"/>
    <w:rsid w:val="00FB2F69"/>
    <w:rsid w:val="00FB39F7"/>
    <w:rsid w:val="00FB3BCA"/>
    <w:rsid w:val="00FB45FF"/>
    <w:rsid w:val="00FB47E0"/>
    <w:rsid w:val="00FB5CB1"/>
    <w:rsid w:val="00FB5D97"/>
    <w:rsid w:val="00FB7363"/>
    <w:rsid w:val="00FC1CA5"/>
    <w:rsid w:val="00FC2979"/>
    <w:rsid w:val="00FC45F4"/>
    <w:rsid w:val="00FD1C3C"/>
    <w:rsid w:val="00FD3480"/>
    <w:rsid w:val="00FD38A8"/>
    <w:rsid w:val="00FD6AC8"/>
    <w:rsid w:val="00FD7298"/>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DDC8FE90-8744-4052-B4D1-8A6CF48C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uiPriority w:val="99"/>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uiPriority w:val="99"/>
    <w:rsid w:val="00C503D3"/>
    <w:rPr>
      <w:kern w:val="2"/>
      <w:sz w:val="24"/>
    </w:rPr>
  </w:style>
  <w:style w:type="character" w:styleId="af8">
    <w:name w:val="Strong"/>
    <w:basedOn w:val="a1"/>
    <w:uiPriority w:val="22"/>
    <w:qFormat/>
    <w:rsid w:val="009779FD"/>
    <w:rPr>
      <w:b/>
      <w:bCs/>
    </w:rPr>
  </w:style>
  <w:style w:type="character" w:customStyle="1" w:styleId="t1">
    <w:name w:val="t1"/>
    <w:uiPriority w:val="99"/>
    <w:rsid w:val="000C6832"/>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198422717">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 w:id="21332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165</TotalTime>
  <Pages>3</Pages>
  <Words>1187</Words>
  <Characters>6771</Characters>
  <Application>Microsoft Office Word</Application>
  <DocSecurity>0</DocSecurity>
  <Lines>56</Lines>
  <Paragraphs>15</Paragraphs>
  <ScaleCrop>false</ScaleCrop>
  <Company>TRT. Ltd. Co.</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68</cp:revision>
  <cp:lastPrinted>2019-10-16T13:55:00Z</cp:lastPrinted>
  <dcterms:created xsi:type="dcterms:W3CDTF">2014-12-16T02:40:00Z</dcterms:created>
  <dcterms:modified xsi:type="dcterms:W3CDTF">2019-10-16T13:55:00Z</dcterms:modified>
</cp:coreProperties>
</file>