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易方达安瑞短债债券型证券投资基金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157659" w:rsidRDefault="00495B17">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157659" w:rsidRDefault="00495B17">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157659" w:rsidRDefault="00495B17">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157659" w:rsidRDefault="00495B17">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157659" w:rsidRDefault="00495B17">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易方达安瑞短债债券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006319</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11</w:t>
            </w:r>
            <w:r w:rsidRPr="00C30CFF">
              <w:rPr>
                <w:color w:val="000000"/>
                <w:kern w:val="0"/>
                <w:sz w:val="24"/>
              </w:rPr>
              <w:t>月</w:t>
            </w:r>
            <w:r w:rsidRPr="00C30CFF">
              <w:rPr>
                <w:color w:val="000000"/>
                <w:kern w:val="0"/>
                <w:sz w:val="24"/>
              </w:rPr>
              <w:t>14</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2,320,826,631.47</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本基金主要投资短期债券，在严格控制风险和保持较高流动性的基础上，力求获得超越业绩比较基准的投资回报。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取积极管理的投资策略，主要投资短期债券，控制基金净值的波动。本基金在研究国内外的宏观经济走势、货币政策变化趋势、市场资金供求状况的基础上，预测未来收益率曲线变动趋势，积极调整本基金的组合久期；运用统计和数量分析技</w:t>
            </w:r>
            <w:r w:rsidRPr="00C30CFF">
              <w:rPr>
                <w:color w:val="000000"/>
                <w:kern w:val="0"/>
                <w:sz w:val="24"/>
              </w:rPr>
              <w:lastRenderedPageBreak/>
              <w:t>术，预测收益率期限结构的变化方式，确定期限结构配置策略以及各期限固定收益品种的配置比例；对不同类型固定收益品种的信用风险、税赋水平、市场流动性、市场风险等因素进行分析，研究同期限固定收益投资品种的利差和变化趋势，制定类属配置策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中债综合财富（</w:t>
            </w:r>
            <w:r w:rsidRPr="00C30CFF">
              <w:rPr>
                <w:color w:val="000000"/>
                <w:kern w:val="0"/>
                <w:sz w:val="24"/>
              </w:rPr>
              <w:t>1</w:t>
            </w:r>
            <w:r w:rsidRPr="00C30CFF">
              <w:rPr>
                <w:color w:val="000000"/>
                <w:kern w:val="0"/>
                <w:sz w:val="24"/>
              </w:rPr>
              <w:t>年以下）指数收益率</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易方达安瑞短债债券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易方达安瑞短债债券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006319</w:t>
            </w:r>
          </w:p>
        </w:tc>
        <w:tc>
          <w:tcPr>
            <w:tcW w:w="2790" w:type="dxa"/>
            <w:vAlign w:val="center"/>
          </w:tcPr>
          <w:p w:rsidR="00F016DD" w:rsidRPr="00C30CFF" w:rsidRDefault="00F016DD" w:rsidP="00950413">
            <w:pPr>
              <w:jc w:val="left"/>
              <w:rPr>
                <w:color w:val="000000"/>
                <w:sz w:val="24"/>
              </w:rPr>
            </w:pPr>
            <w:r w:rsidRPr="00C30CFF">
              <w:rPr>
                <w:color w:val="000000"/>
                <w:sz w:val="24"/>
              </w:rPr>
              <w:t>006320</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850,124,989.15</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1,470,701,642.32</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易方达安瑞短债债券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易方达安瑞短债债券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7,860,141.01</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7,623,778.34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7,285,047.59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7,061,625.18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0.0089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0.0085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854,275,811.70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1,475,703,347.36</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1.0049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1.0034</w:t>
            </w:r>
          </w:p>
        </w:tc>
      </w:tr>
    </w:tbl>
    <w:p w:rsidR="00157659" w:rsidRDefault="00495B17">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易方达安瑞短债债券A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157659">
        <w:tc>
          <w:tcPr>
            <w:tcW w:w="1290" w:type="dxa"/>
            <w:vAlign w:val="center"/>
          </w:tcPr>
          <w:p w:rsidR="00157659" w:rsidRDefault="00495B17">
            <w:pPr>
              <w:jc w:val="left"/>
            </w:pPr>
            <w:r>
              <w:rPr>
                <w:color w:val="000000"/>
                <w:sz w:val="24"/>
              </w:rPr>
              <w:t>过去三个月</w:t>
            </w:r>
          </w:p>
        </w:tc>
        <w:tc>
          <w:tcPr>
            <w:tcW w:w="1291" w:type="dxa"/>
            <w:vAlign w:val="center"/>
          </w:tcPr>
          <w:p w:rsidR="00157659" w:rsidRDefault="00495B17">
            <w:pPr>
              <w:jc w:val="center"/>
            </w:pPr>
            <w:r>
              <w:rPr>
                <w:color w:val="000000"/>
                <w:sz w:val="24"/>
              </w:rPr>
              <w:t>0.89%</w:t>
            </w:r>
          </w:p>
        </w:tc>
        <w:tc>
          <w:tcPr>
            <w:tcW w:w="1291" w:type="dxa"/>
            <w:vAlign w:val="center"/>
          </w:tcPr>
          <w:p w:rsidR="00157659" w:rsidRDefault="00495B17">
            <w:pPr>
              <w:jc w:val="center"/>
            </w:pPr>
            <w:r>
              <w:rPr>
                <w:color w:val="000000"/>
                <w:sz w:val="24"/>
              </w:rPr>
              <w:t>0.01%</w:t>
            </w:r>
          </w:p>
        </w:tc>
        <w:tc>
          <w:tcPr>
            <w:tcW w:w="1291" w:type="dxa"/>
            <w:vAlign w:val="center"/>
          </w:tcPr>
          <w:p w:rsidR="00157659" w:rsidRDefault="00495B17">
            <w:pPr>
              <w:jc w:val="center"/>
            </w:pPr>
            <w:r>
              <w:rPr>
                <w:color w:val="000000"/>
                <w:sz w:val="24"/>
              </w:rPr>
              <w:t>0.78%</w:t>
            </w:r>
          </w:p>
        </w:tc>
        <w:tc>
          <w:tcPr>
            <w:tcW w:w="1291" w:type="dxa"/>
            <w:vAlign w:val="center"/>
          </w:tcPr>
          <w:p w:rsidR="00157659" w:rsidRDefault="00495B17">
            <w:pPr>
              <w:jc w:val="center"/>
            </w:pPr>
            <w:r>
              <w:rPr>
                <w:color w:val="000000"/>
                <w:sz w:val="24"/>
              </w:rPr>
              <w:t>0.01%</w:t>
            </w:r>
          </w:p>
        </w:tc>
        <w:tc>
          <w:tcPr>
            <w:tcW w:w="1291" w:type="dxa"/>
            <w:vAlign w:val="center"/>
          </w:tcPr>
          <w:p w:rsidR="00157659" w:rsidRDefault="00495B17">
            <w:pPr>
              <w:jc w:val="center"/>
            </w:pPr>
            <w:r>
              <w:rPr>
                <w:color w:val="000000"/>
                <w:sz w:val="24"/>
              </w:rPr>
              <w:t>0.11%</w:t>
            </w:r>
          </w:p>
        </w:tc>
        <w:tc>
          <w:tcPr>
            <w:tcW w:w="1291" w:type="dxa"/>
            <w:vAlign w:val="center"/>
          </w:tcPr>
          <w:p w:rsidR="00157659" w:rsidRDefault="00495B17">
            <w:pPr>
              <w:jc w:val="center"/>
            </w:pPr>
            <w:r>
              <w:rPr>
                <w:color w:val="000000"/>
                <w:sz w:val="24"/>
              </w:rPr>
              <w:t>0.00%</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易方达安瑞短债债券C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157659">
        <w:tc>
          <w:tcPr>
            <w:tcW w:w="1290" w:type="dxa"/>
            <w:vAlign w:val="center"/>
          </w:tcPr>
          <w:p w:rsidR="00157659" w:rsidRDefault="00495B17">
            <w:pPr>
              <w:jc w:val="left"/>
            </w:pPr>
            <w:r>
              <w:rPr>
                <w:color w:val="000000"/>
                <w:sz w:val="24"/>
              </w:rPr>
              <w:t>过去三个月</w:t>
            </w:r>
          </w:p>
        </w:tc>
        <w:tc>
          <w:tcPr>
            <w:tcW w:w="1291" w:type="dxa"/>
            <w:vAlign w:val="center"/>
          </w:tcPr>
          <w:p w:rsidR="00157659" w:rsidRDefault="00495B17">
            <w:pPr>
              <w:jc w:val="center"/>
            </w:pPr>
            <w:r>
              <w:rPr>
                <w:color w:val="000000"/>
                <w:sz w:val="24"/>
              </w:rPr>
              <w:t>0.86%</w:t>
            </w:r>
          </w:p>
        </w:tc>
        <w:tc>
          <w:tcPr>
            <w:tcW w:w="1291" w:type="dxa"/>
            <w:vAlign w:val="center"/>
          </w:tcPr>
          <w:p w:rsidR="00157659" w:rsidRDefault="00495B17">
            <w:pPr>
              <w:jc w:val="center"/>
            </w:pPr>
            <w:r>
              <w:rPr>
                <w:color w:val="000000"/>
                <w:sz w:val="24"/>
              </w:rPr>
              <w:t>0.01%</w:t>
            </w:r>
          </w:p>
        </w:tc>
        <w:tc>
          <w:tcPr>
            <w:tcW w:w="1291" w:type="dxa"/>
            <w:vAlign w:val="center"/>
          </w:tcPr>
          <w:p w:rsidR="00157659" w:rsidRDefault="00495B17">
            <w:pPr>
              <w:jc w:val="center"/>
            </w:pPr>
            <w:r>
              <w:rPr>
                <w:color w:val="000000"/>
                <w:sz w:val="24"/>
              </w:rPr>
              <w:t>0.78%</w:t>
            </w:r>
          </w:p>
        </w:tc>
        <w:tc>
          <w:tcPr>
            <w:tcW w:w="1291" w:type="dxa"/>
            <w:vAlign w:val="center"/>
          </w:tcPr>
          <w:p w:rsidR="00157659" w:rsidRDefault="00495B17">
            <w:pPr>
              <w:jc w:val="center"/>
            </w:pPr>
            <w:r>
              <w:rPr>
                <w:color w:val="000000"/>
                <w:sz w:val="24"/>
              </w:rPr>
              <w:t>0.01%</w:t>
            </w:r>
          </w:p>
        </w:tc>
        <w:tc>
          <w:tcPr>
            <w:tcW w:w="1291" w:type="dxa"/>
            <w:vAlign w:val="center"/>
          </w:tcPr>
          <w:p w:rsidR="00157659" w:rsidRDefault="00495B17">
            <w:pPr>
              <w:jc w:val="center"/>
            </w:pPr>
            <w:r>
              <w:rPr>
                <w:color w:val="000000"/>
                <w:sz w:val="24"/>
              </w:rPr>
              <w:t>0.08%</w:t>
            </w:r>
          </w:p>
        </w:tc>
        <w:tc>
          <w:tcPr>
            <w:tcW w:w="1291" w:type="dxa"/>
            <w:vAlign w:val="center"/>
          </w:tcPr>
          <w:p w:rsidR="00157659" w:rsidRDefault="00495B17">
            <w:pPr>
              <w:jc w:val="center"/>
            </w:pPr>
            <w:r>
              <w:rPr>
                <w:color w:val="000000"/>
                <w:sz w:val="24"/>
              </w:rPr>
              <w:t>0.00%</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易方达安瑞短债债券型证券投资基金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11</w:t>
      </w:r>
      <w:r w:rsidRPr="00FA472B">
        <w:rPr>
          <w:rFonts w:ascii="Times New Roman" w:hAnsi="Times New Roman"/>
          <w:sz w:val="24"/>
          <w:szCs w:val="24"/>
        </w:rPr>
        <w:t>月</w:t>
      </w:r>
      <w:r w:rsidRPr="00FA472B">
        <w:rPr>
          <w:rFonts w:ascii="Times New Roman" w:hAnsi="Times New Roman"/>
          <w:sz w:val="24"/>
          <w:szCs w:val="24"/>
        </w:rPr>
        <w:t>14</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易方达安瑞短债债券</w:t>
      </w:r>
      <w:r w:rsidRPr="00611CB2">
        <w:rPr>
          <w:color w:val="000000"/>
          <w:sz w:val="24"/>
        </w:rPr>
        <w:t>A</w:t>
      </w:r>
    </w:p>
    <w:p w:rsidR="00F016DD" w:rsidRPr="0078105B" w:rsidRDefault="00495B17"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易方达安瑞短债债券</w:t>
      </w:r>
      <w:r w:rsidRPr="00611CB2">
        <w:rPr>
          <w:color w:val="000000"/>
          <w:sz w:val="24"/>
        </w:rPr>
        <w:t>C</w:t>
      </w:r>
    </w:p>
    <w:p w:rsidR="00F016DD" w:rsidRPr="0078105B" w:rsidRDefault="00495B17"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157659" w:rsidRDefault="00495B17">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2018</w:t>
      </w:r>
      <w:r>
        <w:rPr>
          <w:color w:val="000000"/>
          <w:sz w:val="24"/>
        </w:rPr>
        <w:t>年</w:t>
      </w:r>
      <w:r>
        <w:rPr>
          <w:color w:val="000000"/>
          <w:sz w:val="24"/>
        </w:rPr>
        <w:t>11</w:t>
      </w:r>
      <w:r>
        <w:rPr>
          <w:color w:val="000000"/>
          <w:sz w:val="24"/>
        </w:rPr>
        <w:t>月</w:t>
      </w:r>
      <w:r>
        <w:rPr>
          <w:color w:val="000000"/>
          <w:sz w:val="24"/>
        </w:rPr>
        <w:t>14</w:t>
      </w:r>
      <w:r>
        <w:rPr>
          <w:color w:val="000000"/>
          <w:sz w:val="24"/>
        </w:rPr>
        <w:t>日生效，截至报告期末本基金合同生效未满一年。</w:t>
      </w:r>
    </w:p>
    <w:p w:rsidR="00157659" w:rsidRDefault="00495B17">
      <w:pPr>
        <w:spacing w:line="360" w:lineRule="auto"/>
        <w:ind w:firstLineChars="200" w:firstLine="480"/>
        <w:rPr>
          <w:color w:val="000000"/>
          <w:sz w:val="24"/>
        </w:rPr>
      </w:pPr>
      <w:r>
        <w:rPr>
          <w:color w:val="000000"/>
          <w:sz w:val="24"/>
        </w:rPr>
        <w:t>2.</w:t>
      </w:r>
      <w:r>
        <w:rPr>
          <w:color w:val="000000"/>
          <w:sz w:val="24"/>
        </w:rPr>
        <w:t>按基金合同和招募说明书的约定，本基金的建仓期为六个月，建仓期结束时投资一家公司发行的证券市值超过基金资产净值的</w:t>
      </w:r>
      <w:r>
        <w:rPr>
          <w:color w:val="000000"/>
          <w:sz w:val="24"/>
        </w:rPr>
        <w:t>10</w:t>
      </w:r>
      <w:r>
        <w:rPr>
          <w:color w:val="000000"/>
          <w:sz w:val="24"/>
        </w:rPr>
        <w:t>％，为被动超标，已在规定的期限内调整完毕，其他各项资产配置比例符合基金合同（第十二部分二、投资范围，三、投资策略和四、投资限制）的有关约定。</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3.21%</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3.06%</w:t>
      </w:r>
      <w:r w:rsidRPr="00DF18FE">
        <w:rPr>
          <w:color w:val="000000"/>
          <w:sz w:val="24"/>
        </w:rPr>
        <w:t>，同期业绩比较基准收益率为</w:t>
      </w:r>
      <w:r w:rsidRPr="00DF18FE">
        <w:rPr>
          <w:color w:val="000000"/>
          <w:sz w:val="24"/>
        </w:rPr>
        <w:t>2.93%</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157659">
        <w:tc>
          <w:tcPr>
            <w:tcW w:w="567" w:type="dxa"/>
            <w:vAlign w:val="center"/>
          </w:tcPr>
          <w:p w:rsidR="00157659" w:rsidRDefault="00495B17">
            <w:pPr>
              <w:jc w:val="center"/>
            </w:pPr>
            <w:r>
              <w:rPr>
                <w:color w:val="000000"/>
                <w:sz w:val="24"/>
              </w:rPr>
              <w:t>石大怿</w:t>
            </w:r>
          </w:p>
        </w:tc>
        <w:tc>
          <w:tcPr>
            <w:tcW w:w="2835" w:type="dxa"/>
            <w:vAlign w:val="center"/>
          </w:tcPr>
          <w:p w:rsidR="00157659" w:rsidRDefault="00495B17">
            <w:pPr>
              <w:jc w:val="center"/>
            </w:pPr>
            <w:r>
              <w:rPr>
                <w:color w:val="000000"/>
                <w:sz w:val="24"/>
              </w:rPr>
              <w:t>本基金的基金经理、易方达掌柜季季盈理财债券型证券投资基金的基金经理、易方达月月利理财债券型证券投资基金的基金经理、易方达易理财货币市场基金的基金经理、易方达现金增利货币市场基金的基金经理、易方达天天增利货币市场基金的基金经理、易方达天天理财货币市场基金的基金经理、易方达天天发货币市场基金的基金经理、易方达龙宝货币市场基金的基金经理、易方达货币市场基金的基金经理、易方达财富快线货币市场基金的基金经理、易方达保证金收益货币市场基金的基金经理、易方达恒安定期开放债券型发起式证券投资基金的基金经理助理</w:t>
            </w:r>
          </w:p>
        </w:tc>
        <w:tc>
          <w:tcPr>
            <w:tcW w:w="851" w:type="dxa"/>
            <w:vAlign w:val="center"/>
          </w:tcPr>
          <w:p w:rsidR="00157659" w:rsidRDefault="00495B17">
            <w:pPr>
              <w:jc w:val="center"/>
            </w:pPr>
            <w:r>
              <w:rPr>
                <w:color w:val="000000"/>
                <w:sz w:val="24"/>
              </w:rPr>
              <w:t>2018-1</w:t>
            </w:r>
            <w:r>
              <w:rPr>
                <w:color w:val="000000"/>
                <w:sz w:val="24"/>
              </w:rPr>
              <w:t>1-14</w:t>
            </w:r>
          </w:p>
        </w:tc>
        <w:tc>
          <w:tcPr>
            <w:tcW w:w="850" w:type="dxa"/>
            <w:vAlign w:val="center"/>
          </w:tcPr>
          <w:p w:rsidR="00157659" w:rsidRDefault="00495B17">
            <w:pPr>
              <w:jc w:val="center"/>
            </w:pPr>
            <w:r>
              <w:rPr>
                <w:color w:val="000000"/>
                <w:sz w:val="24"/>
              </w:rPr>
              <w:t>-</w:t>
            </w:r>
          </w:p>
        </w:tc>
        <w:tc>
          <w:tcPr>
            <w:tcW w:w="851" w:type="dxa"/>
            <w:vAlign w:val="center"/>
          </w:tcPr>
          <w:p w:rsidR="00157659" w:rsidRDefault="00495B17">
            <w:pPr>
              <w:jc w:val="center"/>
            </w:pPr>
            <w:r>
              <w:rPr>
                <w:color w:val="000000"/>
                <w:sz w:val="24"/>
              </w:rPr>
              <w:t>10</w:t>
            </w:r>
            <w:r>
              <w:rPr>
                <w:color w:val="000000"/>
                <w:sz w:val="24"/>
              </w:rPr>
              <w:t>年</w:t>
            </w:r>
          </w:p>
        </w:tc>
        <w:tc>
          <w:tcPr>
            <w:tcW w:w="2977" w:type="dxa"/>
            <w:vAlign w:val="center"/>
          </w:tcPr>
          <w:p w:rsidR="00157659" w:rsidRDefault="00495B17">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r w:rsidR="00157659">
        <w:tc>
          <w:tcPr>
            <w:tcW w:w="567" w:type="dxa"/>
            <w:vAlign w:val="center"/>
          </w:tcPr>
          <w:p w:rsidR="00157659" w:rsidRDefault="00495B17">
            <w:pPr>
              <w:jc w:val="center"/>
            </w:pPr>
            <w:r>
              <w:rPr>
                <w:color w:val="000000"/>
                <w:sz w:val="24"/>
              </w:rPr>
              <w:t>王晓晨</w:t>
            </w:r>
          </w:p>
        </w:tc>
        <w:tc>
          <w:tcPr>
            <w:tcW w:w="2835" w:type="dxa"/>
            <w:vAlign w:val="center"/>
          </w:tcPr>
          <w:p w:rsidR="00157659" w:rsidRDefault="00495B17">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w:t>
            </w:r>
            <w:r>
              <w:rPr>
                <w:color w:val="000000"/>
                <w:sz w:val="24"/>
              </w:rPr>
              <w:lastRenderedPageBreak/>
              <w:t>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w:t>
            </w:r>
            <w:r>
              <w:rPr>
                <w:color w:val="000000"/>
                <w:sz w:val="24"/>
              </w:rPr>
              <w:t>级信用债债券型证券投资基金的基金经理、易方达双债增强债券型证券投资基金的基金经理、易方达恒益定期开放债券型发起式证券投资基金的基金经理（自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w:t>
            </w:r>
            <w:r>
              <w:rPr>
                <w:color w:val="000000"/>
                <w:sz w:val="24"/>
              </w:rPr>
              <w:t>产管理（香港）有限公司固定收益投资决策委员会委员</w:t>
            </w:r>
          </w:p>
        </w:tc>
        <w:tc>
          <w:tcPr>
            <w:tcW w:w="851" w:type="dxa"/>
            <w:vAlign w:val="center"/>
          </w:tcPr>
          <w:p w:rsidR="00157659" w:rsidRDefault="00495B17">
            <w:pPr>
              <w:jc w:val="center"/>
            </w:pPr>
            <w:r>
              <w:rPr>
                <w:color w:val="000000"/>
                <w:sz w:val="24"/>
              </w:rPr>
              <w:lastRenderedPageBreak/>
              <w:t>2018-11-14</w:t>
            </w:r>
          </w:p>
        </w:tc>
        <w:tc>
          <w:tcPr>
            <w:tcW w:w="850" w:type="dxa"/>
            <w:vAlign w:val="center"/>
          </w:tcPr>
          <w:p w:rsidR="00157659" w:rsidRDefault="00495B17">
            <w:pPr>
              <w:jc w:val="center"/>
            </w:pPr>
            <w:r>
              <w:rPr>
                <w:color w:val="000000"/>
                <w:sz w:val="24"/>
              </w:rPr>
              <w:t>-</w:t>
            </w:r>
          </w:p>
        </w:tc>
        <w:tc>
          <w:tcPr>
            <w:tcW w:w="851" w:type="dxa"/>
            <w:vAlign w:val="center"/>
          </w:tcPr>
          <w:p w:rsidR="00157659" w:rsidRDefault="00495B17">
            <w:pPr>
              <w:jc w:val="center"/>
            </w:pPr>
            <w:r>
              <w:rPr>
                <w:color w:val="000000"/>
                <w:sz w:val="24"/>
              </w:rPr>
              <w:t>16</w:t>
            </w:r>
            <w:r>
              <w:rPr>
                <w:color w:val="000000"/>
                <w:sz w:val="24"/>
              </w:rPr>
              <w:t>年</w:t>
            </w:r>
          </w:p>
        </w:tc>
        <w:tc>
          <w:tcPr>
            <w:tcW w:w="2977" w:type="dxa"/>
            <w:vAlign w:val="center"/>
          </w:tcPr>
          <w:p w:rsidR="00157659" w:rsidRDefault="00495B17">
            <w:r>
              <w:rPr>
                <w:color w:val="000000"/>
                <w:sz w:val="24"/>
              </w:rPr>
              <w:t>硕士研究生，曾任易方达基金管理有限公司集中交易室债券交易员、债券交易主管、固定收益总部总经理助理、固定收益基金投资部副总经理、易方达货币市场基</w:t>
            </w:r>
            <w:r>
              <w:rPr>
                <w:color w:val="000000"/>
                <w:sz w:val="24"/>
              </w:rPr>
              <w:lastRenderedPageBreak/>
              <w:t>金基金经理、易方达保证金收益货币市场基金基金经理、易方达保本一号混合型证券投资基金基金经理。</w:t>
            </w:r>
          </w:p>
        </w:tc>
      </w:tr>
    </w:tbl>
    <w:p w:rsidR="00157659" w:rsidRDefault="00495B17">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w:t>
      </w:r>
      <w:r>
        <w:rPr>
          <w:color w:val="000000"/>
          <w:sz w:val="24"/>
        </w:rPr>
        <w:lastRenderedPageBreak/>
        <w:t>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w:t>
      </w:r>
      <w:r>
        <w:rPr>
          <w:color w:val="000000"/>
          <w:sz w:val="24"/>
        </w:rPr>
        <w:t>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157659" w:rsidRDefault="00495B17">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157659" w:rsidRDefault="00495B17">
      <w:pPr>
        <w:spacing w:line="360" w:lineRule="auto"/>
        <w:ind w:firstLineChars="200" w:firstLine="480"/>
        <w:rPr>
          <w:color w:val="000000"/>
          <w:sz w:val="24"/>
        </w:rPr>
      </w:pPr>
      <w:r>
        <w:rPr>
          <w:color w:val="000000"/>
          <w:sz w:val="24"/>
        </w:rPr>
        <w:t>2019</w:t>
      </w:r>
      <w:r>
        <w:rPr>
          <w:color w:val="000000"/>
          <w:sz w:val="24"/>
        </w:rPr>
        <w:t>年三季度，债券市场呈现先涨后跌的走势，经济基本面、通胀走势和政策预期变化是驱动债券市场的核心因素。</w:t>
      </w:r>
      <w:r>
        <w:rPr>
          <w:color w:val="000000"/>
          <w:sz w:val="24"/>
        </w:rPr>
        <w:t>7</w:t>
      </w:r>
      <w:r>
        <w:rPr>
          <w:color w:val="000000"/>
          <w:sz w:val="24"/>
        </w:rPr>
        <w:t>月，市场资金面的波动加大，回购利率抬升显著，但是在海外市场货币政策宽松、国内制造业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月，市场资金面趋于平稳，尽管有中美贸易摩擦加剧、基本面数据不及预期等因素的影响，但受专项债扩容、货</w:t>
      </w:r>
      <w:r>
        <w:rPr>
          <w:color w:val="000000"/>
          <w:sz w:val="24"/>
        </w:rPr>
        <w:lastRenderedPageBreak/>
        <w:t>币政策宽松预期转弱、海外债券收益率反弹等因素影响，债券市场仍出现小幅震荡上行的行情。</w:t>
      </w:r>
      <w:r>
        <w:rPr>
          <w:color w:val="000000"/>
          <w:sz w:val="24"/>
        </w:rPr>
        <w:t>9</w:t>
      </w:r>
      <w:r>
        <w:rPr>
          <w:color w:val="000000"/>
          <w:sz w:val="24"/>
        </w:rPr>
        <w:t>月，临近季度末，通胀预期升温、货币宽松预期下降、逆周期调</w:t>
      </w:r>
      <w:r>
        <w:rPr>
          <w:color w:val="000000"/>
          <w:sz w:val="24"/>
        </w:rPr>
        <w:t>节加码等因素导致债券市场延续了震荡调整的行情。总体来看，三季度债券市场收益率整体以下行为主，信用债跟随利率债走势，收益率总体呈下行趋势，中票收益率下行幅度大于城投债，信用利差多数呈收窄趋势。</w:t>
      </w:r>
    </w:p>
    <w:p w:rsidR="00F016DD" w:rsidRPr="00DF18FE" w:rsidRDefault="00F016DD" w:rsidP="00DF18FE">
      <w:pPr>
        <w:spacing w:line="360" w:lineRule="auto"/>
        <w:ind w:firstLineChars="200" w:firstLine="480"/>
        <w:rPr>
          <w:color w:val="000000"/>
          <w:sz w:val="24"/>
        </w:rPr>
      </w:pPr>
      <w:r w:rsidRPr="00DF18FE">
        <w:rPr>
          <w:color w:val="000000"/>
          <w:sz w:val="24"/>
        </w:rPr>
        <w:t>操作方面，报告期内基金以剩余期限一年以内的高等级信用债、同业存单为主要配置资产。在三季度本基金适当提高了组合的剩余期限，维持了中等水平的杠杆。总体来看，本基金在三季度取得了较好的收益率。</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1.0049</w:t>
      </w:r>
      <w:r w:rsidRPr="00DF18FE">
        <w:rPr>
          <w:color w:val="000000"/>
          <w:sz w:val="24"/>
        </w:rPr>
        <w:t>元，本报告期份额净值增长率为</w:t>
      </w:r>
      <w:r w:rsidRPr="00DF18FE">
        <w:rPr>
          <w:color w:val="000000"/>
          <w:sz w:val="24"/>
        </w:rPr>
        <w:t>0.89%</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1.0034</w:t>
      </w:r>
      <w:r w:rsidRPr="00DF18FE">
        <w:rPr>
          <w:color w:val="000000"/>
          <w:sz w:val="24"/>
        </w:rPr>
        <w:t>元，本报告期份额净值增长率为</w:t>
      </w:r>
      <w:r w:rsidRPr="00DF18FE">
        <w:rPr>
          <w:color w:val="000000"/>
          <w:sz w:val="24"/>
        </w:rPr>
        <w:t>0.86%</w:t>
      </w:r>
      <w:r w:rsidRPr="00DF18FE">
        <w:rPr>
          <w:color w:val="000000"/>
          <w:sz w:val="24"/>
        </w:rPr>
        <w:t>；同期业绩比较基准收益率为</w:t>
      </w:r>
      <w:r w:rsidRPr="00DF18FE">
        <w:rPr>
          <w:color w:val="000000"/>
          <w:sz w:val="24"/>
        </w:rPr>
        <w:t>0.78%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2,676,042,400.00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96.86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2,624,725,300.00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95.00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51,317,100.00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1.86</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11,252,421.16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0.41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75,461,081.97</w:t>
            </w:r>
          </w:p>
        </w:tc>
        <w:tc>
          <w:tcPr>
            <w:tcW w:w="1843" w:type="dxa"/>
            <w:vAlign w:val="center"/>
          </w:tcPr>
          <w:p w:rsidR="00F016DD" w:rsidRPr="00FA472B" w:rsidRDefault="00F016DD" w:rsidP="00F4518C">
            <w:pPr>
              <w:jc w:val="right"/>
              <w:rPr>
                <w:color w:val="000000"/>
                <w:sz w:val="24"/>
              </w:rPr>
            </w:pPr>
            <w:r w:rsidRPr="00FA472B">
              <w:rPr>
                <w:color w:val="000000"/>
                <w:sz w:val="24"/>
              </w:rPr>
              <w:t>2.73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2,762,755,903.13</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120,076,000.00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5.15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120,076,000.00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5.15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447,348,300.00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19.20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812,673,000.00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34.88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1,176,693,000.00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50.50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67,935,000.00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2,624,725,300.00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112.65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157659">
        <w:tc>
          <w:tcPr>
            <w:tcW w:w="802" w:type="dxa"/>
            <w:vAlign w:val="center"/>
          </w:tcPr>
          <w:p w:rsidR="00157659" w:rsidRDefault="00495B17">
            <w:pPr>
              <w:jc w:val="center"/>
            </w:pPr>
            <w:r>
              <w:rPr>
                <w:color w:val="000000"/>
                <w:sz w:val="24"/>
              </w:rPr>
              <w:t>1</w:t>
            </w:r>
          </w:p>
        </w:tc>
        <w:tc>
          <w:tcPr>
            <w:tcW w:w="1559" w:type="dxa"/>
            <w:vAlign w:val="center"/>
          </w:tcPr>
          <w:p w:rsidR="00157659" w:rsidRDefault="00495B17">
            <w:pPr>
              <w:jc w:val="center"/>
            </w:pPr>
            <w:r>
              <w:rPr>
                <w:color w:val="000000"/>
                <w:sz w:val="24"/>
              </w:rPr>
              <w:t>011900577</w:t>
            </w:r>
          </w:p>
        </w:tc>
        <w:tc>
          <w:tcPr>
            <w:tcW w:w="1985" w:type="dxa"/>
            <w:vAlign w:val="center"/>
          </w:tcPr>
          <w:p w:rsidR="00157659" w:rsidRDefault="00495B17">
            <w:pPr>
              <w:jc w:val="center"/>
            </w:pPr>
            <w:r>
              <w:rPr>
                <w:color w:val="000000"/>
                <w:sz w:val="24"/>
              </w:rPr>
              <w:t>19</w:t>
            </w:r>
            <w:r>
              <w:rPr>
                <w:color w:val="000000"/>
                <w:sz w:val="24"/>
              </w:rPr>
              <w:t>厦国贸</w:t>
            </w:r>
            <w:r>
              <w:rPr>
                <w:color w:val="000000"/>
                <w:sz w:val="24"/>
              </w:rPr>
              <w:t>SCP004</w:t>
            </w:r>
          </w:p>
        </w:tc>
        <w:tc>
          <w:tcPr>
            <w:tcW w:w="1559" w:type="dxa"/>
            <w:vAlign w:val="center"/>
          </w:tcPr>
          <w:p w:rsidR="00157659" w:rsidRDefault="00495B17">
            <w:pPr>
              <w:jc w:val="right"/>
            </w:pPr>
            <w:r>
              <w:rPr>
                <w:color w:val="000000"/>
                <w:sz w:val="24"/>
              </w:rPr>
              <w:t>1,000,000</w:t>
            </w:r>
          </w:p>
        </w:tc>
        <w:tc>
          <w:tcPr>
            <w:tcW w:w="2126" w:type="dxa"/>
            <w:vAlign w:val="center"/>
          </w:tcPr>
          <w:p w:rsidR="00157659" w:rsidRDefault="00495B17">
            <w:pPr>
              <w:jc w:val="right"/>
            </w:pPr>
            <w:r>
              <w:rPr>
                <w:color w:val="000000"/>
                <w:sz w:val="24"/>
              </w:rPr>
              <w:t>100,320,000.00</w:t>
            </w:r>
          </w:p>
        </w:tc>
        <w:tc>
          <w:tcPr>
            <w:tcW w:w="990" w:type="dxa"/>
            <w:vAlign w:val="center"/>
          </w:tcPr>
          <w:p w:rsidR="00157659" w:rsidRDefault="00495B17">
            <w:pPr>
              <w:jc w:val="right"/>
            </w:pPr>
            <w:r>
              <w:rPr>
                <w:color w:val="000000"/>
                <w:sz w:val="24"/>
              </w:rPr>
              <w:t>4.31</w:t>
            </w:r>
          </w:p>
        </w:tc>
      </w:tr>
      <w:tr w:rsidR="00157659">
        <w:tc>
          <w:tcPr>
            <w:tcW w:w="802" w:type="dxa"/>
            <w:vAlign w:val="center"/>
          </w:tcPr>
          <w:p w:rsidR="00157659" w:rsidRDefault="00495B17">
            <w:pPr>
              <w:jc w:val="center"/>
            </w:pPr>
            <w:r>
              <w:rPr>
                <w:color w:val="000000"/>
                <w:sz w:val="24"/>
              </w:rPr>
              <w:t>2</w:t>
            </w:r>
          </w:p>
        </w:tc>
        <w:tc>
          <w:tcPr>
            <w:tcW w:w="1559" w:type="dxa"/>
            <w:vAlign w:val="center"/>
          </w:tcPr>
          <w:p w:rsidR="00157659" w:rsidRDefault="00495B17">
            <w:pPr>
              <w:jc w:val="center"/>
            </w:pPr>
            <w:r>
              <w:rPr>
                <w:color w:val="000000"/>
                <w:sz w:val="24"/>
              </w:rPr>
              <w:t>011900458</w:t>
            </w:r>
          </w:p>
        </w:tc>
        <w:tc>
          <w:tcPr>
            <w:tcW w:w="1985" w:type="dxa"/>
            <w:vAlign w:val="center"/>
          </w:tcPr>
          <w:p w:rsidR="00157659" w:rsidRDefault="00495B17">
            <w:pPr>
              <w:jc w:val="center"/>
            </w:pPr>
            <w:r>
              <w:rPr>
                <w:color w:val="000000"/>
                <w:sz w:val="24"/>
              </w:rPr>
              <w:t>19</w:t>
            </w:r>
            <w:r>
              <w:rPr>
                <w:color w:val="000000"/>
                <w:sz w:val="24"/>
              </w:rPr>
              <w:t>金地</w:t>
            </w:r>
            <w:r>
              <w:rPr>
                <w:color w:val="000000"/>
                <w:sz w:val="24"/>
              </w:rPr>
              <w:t>SCP001</w:t>
            </w:r>
          </w:p>
        </w:tc>
        <w:tc>
          <w:tcPr>
            <w:tcW w:w="1559" w:type="dxa"/>
            <w:vAlign w:val="center"/>
          </w:tcPr>
          <w:p w:rsidR="00157659" w:rsidRDefault="00495B17">
            <w:pPr>
              <w:jc w:val="right"/>
            </w:pPr>
            <w:r>
              <w:rPr>
                <w:color w:val="000000"/>
                <w:sz w:val="24"/>
              </w:rPr>
              <w:t>800,000</w:t>
            </w:r>
          </w:p>
        </w:tc>
        <w:tc>
          <w:tcPr>
            <w:tcW w:w="2126" w:type="dxa"/>
            <w:vAlign w:val="center"/>
          </w:tcPr>
          <w:p w:rsidR="00157659" w:rsidRDefault="00495B17">
            <w:pPr>
              <w:jc w:val="right"/>
            </w:pPr>
            <w:r>
              <w:rPr>
                <w:color w:val="000000"/>
                <w:sz w:val="24"/>
              </w:rPr>
              <w:t>80,312,000.00</w:t>
            </w:r>
          </w:p>
        </w:tc>
        <w:tc>
          <w:tcPr>
            <w:tcW w:w="990" w:type="dxa"/>
            <w:vAlign w:val="center"/>
          </w:tcPr>
          <w:p w:rsidR="00157659" w:rsidRDefault="00495B17">
            <w:pPr>
              <w:jc w:val="right"/>
            </w:pPr>
            <w:r>
              <w:rPr>
                <w:color w:val="000000"/>
                <w:sz w:val="24"/>
              </w:rPr>
              <w:t>3.45</w:t>
            </w:r>
          </w:p>
        </w:tc>
      </w:tr>
      <w:tr w:rsidR="00157659">
        <w:tc>
          <w:tcPr>
            <w:tcW w:w="802" w:type="dxa"/>
            <w:vAlign w:val="center"/>
          </w:tcPr>
          <w:p w:rsidR="00157659" w:rsidRDefault="00495B17">
            <w:pPr>
              <w:jc w:val="center"/>
            </w:pPr>
            <w:r>
              <w:rPr>
                <w:color w:val="000000"/>
                <w:sz w:val="24"/>
              </w:rPr>
              <w:lastRenderedPageBreak/>
              <w:t>3</w:t>
            </w:r>
          </w:p>
        </w:tc>
        <w:tc>
          <w:tcPr>
            <w:tcW w:w="1559" w:type="dxa"/>
            <w:vAlign w:val="center"/>
          </w:tcPr>
          <w:p w:rsidR="00157659" w:rsidRDefault="00495B17">
            <w:pPr>
              <w:jc w:val="center"/>
            </w:pPr>
            <w:r>
              <w:rPr>
                <w:color w:val="000000"/>
                <w:sz w:val="24"/>
              </w:rPr>
              <w:t>011902003</w:t>
            </w:r>
          </w:p>
        </w:tc>
        <w:tc>
          <w:tcPr>
            <w:tcW w:w="1985" w:type="dxa"/>
            <w:vAlign w:val="center"/>
          </w:tcPr>
          <w:p w:rsidR="00157659" w:rsidRDefault="00495B17">
            <w:pPr>
              <w:jc w:val="center"/>
            </w:pPr>
            <w:r>
              <w:rPr>
                <w:color w:val="000000"/>
                <w:sz w:val="24"/>
              </w:rPr>
              <w:t>19</w:t>
            </w:r>
            <w:r>
              <w:rPr>
                <w:color w:val="000000"/>
                <w:sz w:val="24"/>
              </w:rPr>
              <w:t>中远海发</w:t>
            </w:r>
            <w:r>
              <w:rPr>
                <w:color w:val="000000"/>
                <w:sz w:val="24"/>
              </w:rPr>
              <w:t>SCP004</w:t>
            </w:r>
          </w:p>
        </w:tc>
        <w:tc>
          <w:tcPr>
            <w:tcW w:w="1559" w:type="dxa"/>
            <w:vAlign w:val="center"/>
          </w:tcPr>
          <w:p w:rsidR="00157659" w:rsidRDefault="00495B17">
            <w:pPr>
              <w:jc w:val="right"/>
            </w:pPr>
            <w:r>
              <w:rPr>
                <w:color w:val="000000"/>
                <w:sz w:val="24"/>
              </w:rPr>
              <w:t>800,000</w:t>
            </w:r>
          </w:p>
        </w:tc>
        <w:tc>
          <w:tcPr>
            <w:tcW w:w="2126" w:type="dxa"/>
            <w:vAlign w:val="center"/>
          </w:tcPr>
          <w:p w:rsidR="00157659" w:rsidRDefault="00495B17">
            <w:pPr>
              <w:jc w:val="right"/>
            </w:pPr>
            <w:r>
              <w:rPr>
                <w:color w:val="000000"/>
                <w:sz w:val="24"/>
              </w:rPr>
              <w:t>79,976,000.00</w:t>
            </w:r>
          </w:p>
        </w:tc>
        <w:tc>
          <w:tcPr>
            <w:tcW w:w="990" w:type="dxa"/>
            <w:vAlign w:val="center"/>
          </w:tcPr>
          <w:p w:rsidR="00157659" w:rsidRDefault="00495B17">
            <w:pPr>
              <w:jc w:val="right"/>
            </w:pPr>
            <w:r>
              <w:rPr>
                <w:color w:val="000000"/>
                <w:sz w:val="24"/>
              </w:rPr>
              <w:t>3.43</w:t>
            </w:r>
          </w:p>
        </w:tc>
      </w:tr>
      <w:tr w:rsidR="00157659">
        <w:tc>
          <w:tcPr>
            <w:tcW w:w="802" w:type="dxa"/>
            <w:vAlign w:val="center"/>
          </w:tcPr>
          <w:p w:rsidR="00157659" w:rsidRDefault="00495B17">
            <w:pPr>
              <w:jc w:val="center"/>
            </w:pPr>
            <w:r>
              <w:rPr>
                <w:color w:val="000000"/>
                <w:sz w:val="24"/>
              </w:rPr>
              <w:t>4</w:t>
            </w:r>
          </w:p>
        </w:tc>
        <w:tc>
          <w:tcPr>
            <w:tcW w:w="1559" w:type="dxa"/>
            <w:vAlign w:val="center"/>
          </w:tcPr>
          <w:p w:rsidR="00157659" w:rsidRDefault="00495B17">
            <w:pPr>
              <w:jc w:val="center"/>
            </w:pPr>
            <w:r>
              <w:rPr>
                <w:color w:val="000000"/>
                <w:sz w:val="24"/>
              </w:rPr>
              <w:t>190302</w:t>
            </w:r>
          </w:p>
        </w:tc>
        <w:tc>
          <w:tcPr>
            <w:tcW w:w="1985" w:type="dxa"/>
            <w:vAlign w:val="center"/>
          </w:tcPr>
          <w:p w:rsidR="00157659" w:rsidRDefault="00495B17">
            <w:pPr>
              <w:jc w:val="center"/>
            </w:pPr>
            <w:r>
              <w:rPr>
                <w:color w:val="000000"/>
                <w:sz w:val="24"/>
              </w:rPr>
              <w:t>19</w:t>
            </w:r>
            <w:r>
              <w:rPr>
                <w:color w:val="000000"/>
                <w:sz w:val="24"/>
              </w:rPr>
              <w:t>进出</w:t>
            </w:r>
            <w:r>
              <w:rPr>
                <w:color w:val="000000"/>
                <w:sz w:val="24"/>
              </w:rPr>
              <w:t>02</w:t>
            </w:r>
          </w:p>
        </w:tc>
        <w:tc>
          <w:tcPr>
            <w:tcW w:w="1559" w:type="dxa"/>
            <w:vAlign w:val="center"/>
          </w:tcPr>
          <w:p w:rsidR="00157659" w:rsidRDefault="00495B17">
            <w:pPr>
              <w:jc w:val="right"/>
            </w:pPr>
            <w:r>
              <w:rPr>
                <w:color w:val="000000"/>
                <w:sz w:val="24"/>
              </w:rPr>
              <w:t>800,000</w:t>
            </w:r>
          </w:p>
        </w:tc>
        <w:tc>
          <w:tcPr>
            <w:tcW w:w="2126" w:type="dxa"/>
            <w:vAlign w:val="center"/>
          </w:tcPr>
          <w:p w:rsidR="00157659" w:rsidRDefault="00495B17">
            <w:pPr>
              <w:jc w:val="right"/>
            </w:pPr>
            <w:r>
              <w:rPr>
                <w:color w:val="000000"/>
                <w:sz w:val="24"/>
              </w:rPr>
              <w:t>79,968,000.00</w:t>
            </w:r>
          </w:p>
        </w:tc>
        <w:tc>
          <w:tcPr>
            <w:tcW w:w="990" w:type="dxa"/>
            <w:vAlign w:val="center"/>
          </w:tcPr>
          <w:p w:rsidR="00157659" w:rsidRDefault="00495B17">
            <w:pPr>
              <w:jc w:val="right"/>
            </w:pPr>
            <w:r>
              <w:rPr>
                <w:color w:val="000000"/>
                <w:sz w:val="24"/>
              </w:rPr>
              <w:t>3.43</w:t>
            </w:r>
          </w:p>
        </w:tc>
      </w:tr>
      <w:tr w:rsidR="00157659">
        <w:tc>
          <w:tcPr>
            <w:tcW w:w="802" w:type="dxa"/>
            <w:vAlign w:val="center"/>
          </w:tcPr>
          <w:p w:rsidR="00157659" w:rsidRDefault="00495B17">
            <w:pPr>
              <w:jc w:val="center"/>
            </w:pPr>
            <w:r>
              <w:rPr>
                <w:color w:val="000000"/>
                <w:sz w:val="24"/>
              </w:rPr>
              <w:t>5</w:t>
            </w:r>
          </w:p>
        </w:tc>
        <w:tc>
          <w:tcPr>
            <w:tcW w:w="1559" w:type="dxa"/>
            <w:vAlign w:val="center"/>
          </w:tcPr>
          <w:p w:rsidR="00157659" w:rsidRDefault="00495B17">
            <w:pPr>
              <w:jc w:val="center"/>
            </w:pPr>
            <w:r>
              <w:rPr>
                <w:color w:val="000000"/>
                <w:sz w:val="24"/>
              </w:rPr>
              <w:t>011900554</w:t>
            </w:r>
          </w:p>
        </w:tc>
        <w:tc>
          <w:tcPr>
            <w:tcW w:w="1985" w:type="dxa"/>
            <w:vAlign w:val="center"/>
          </w:tcPr>
          <w:p w:rsidR="00157659" w:rsidRDefault="00495B17">
            <w:pPr>
              <w:jc w:val="center"/>
            </w:pPr>
            <w:r>
              <w:rPr>
                <w:color w:val="000000"/>
                <w:sz w:val="24"/>
              </w:rPr>
              <w:t>19</w:t>
            </w:r>
            <w:r>
              <w:rPr>
                <w:color w:val="000000"/>
                <w:sz w:val="24"/>
              </w:rPr>
              <w:t>南新工</w:t>
            </w:r>
            <w:r>
              <w:rPr>
                <w:color w:val="000000"/>
                <w:sz w:val="24"/>
              </w:rPr>
              <w:t>SCP002</w:t>
            </w:r>
          </w:p>
        </w:tc>
        <w:tc>
          <w:tcPr>
            <w:tcW w:w="1559" w:type="dxa"/>
            <w:vAlign w:val="center"/>
          </w:tcPr>
          <w:p w:rsidR="00157659" w:rsidRDefault="00495B17">
            <w:pPr>
              <w:jc w:val="right"/>
            </w:pPr>
            <w:r>
              <w:rPr>
                <w:color w:val="000000"/>
                <w:sz w:val="24"/>
              </w:rPr>
              <w:t>700,000</w:t>
            </w:r>
          </w:p>
        </w:tc>
        <w:tc>
          <w:tcPr>
            <w:tcW w:w="2126" w:type="dxa"/>
            <w:vAlign w:val="center"/>
          </w:tcPr>
          <w:p w:rsidR="00157659" w:rsidRDefault="00495B17">
            <w:pPr>
              <w:jc w:val="right"/>
            </w:pPr>
            <w:r>
              <w:rPr>
                <w:color w:val="000000"/>
                <w:sz w:val="24"/>
              </w:rPr>
              <w:t>70,203,000.00</w:t>
            </w:r>
          </w:p>
        </w:tc>
        <w:tc>
          <w:tcPr>
            <w:tcW w:w="990" w:type="dxa"/>
            <w:vAlign w:val="center"/>
          </w:tcPr>
          <w:p w:rsidR="00157659" w:rsidRDefault="00495B17">
            <w:pPr>
              <w:jc w:val="right"/>
            </w:pPr>
            <w:r>
              <w:rPr>
                <w:color w:val="000000"/>
                <w:sz w:val="24"/>
              </w:rPr>
              <w:t>3.01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1319"/>
        <w:gridCol w:w="1335"/>
        <w:gridCol w:w="1794"/>
        <w:gridCol w:w="1695"/>
        <w:gridCol w:w="1708"/>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157659">
        <w:tc>
          <w:tcPr>
            <w:tcW w:w="0" w:type="auto"/>
            <w:vAlign w:val="center"/>
          </w:tcPr>
          <w:p w:rsidR="00157659" w:rsidRDefault="00495B17">
            <w:pPr>
              <w:jc w:val="center"/>
            </w:pPr>
            <w:r>
              <w:rPr>
                <w:color w:val="000000"/>
                <w:sz w:val="24"/>
              </w:rPr>
              <w:t>1</w:t>
            </w:r>
          </w:p>
        </w:tc>
        <w:tc>
          <w:tcPr>
            <w:tcW w:w="0" w:type="auto"/>
            <w:vAlign w:val="center"/>
          </w:tcPr>
          <w:p w:rsidR="00157659" w:rsidRDefault="00495B17">
            <w:pPr>
              <w:jc w:val="center"/>
            </w:pPr>
            <w:r>
              <w:rPr>
                <w:color w:val="000000"/>
                <w:sz w:val="24"/>
              </w:rPr>
              <w:t>139355</w:t>
            </w:r>
          </w:p>
        </w:tc>
        <w:tc>
          <w:tcPr>
            <w:tcW w:w="0" w:type="auto"/>
            <w:vAlign w:val="center"/>
          </w:tcPr>
          <w:p w:rsidR="00157659" w:rsidRDefault="00495B17">
            <w:pPr>
              <w:jc w:val="center"/>
            </w:pPr>
            <w:r>
              <w:rPr>
                <w:color w:val="000000"/>
                <w:sz w:val="24"/>
              </w:rPr>
              <w:t>万科</w:t>
            </w:r>
            <w:r>
              <w:rPr>
                <w:color w:val="000000"/>
                <w:sz w:val="24"/>
              </w:rPr>
              <w:t>32A1</w:t>
            </w:r>
          </w:p>
        </w:tc>
        <w:tc>
          <w:tcPr>
            <w:tcW w:w="0" w:type="auto"/>
            <w:vAlign w:val="center"/>
          </w:tcPr>
          <w:p w:rsidR="00157659" w:rsidRDefault="00495B17">
            <w:pPr>
              <w:jc w:val="right"/>
            </w:pPr>
            <w:r>
              <w:rPr>
                <w:color w:val="000000"/>
                <w:sz w:val="24"/>
              </w:rPr>
              <w:t>300,000</w:t>
            </w:r>
          </w:p>
        </w:tc>
        <w:tc>
          <w:tcPr>
            <w:tcW w:w="0" w:type="auto"/>
            <w:vAlign w:val="center"/>
          </w:tcPr>
          <w:p w:rsidR="00157659" w:rsidRDefault="00495B17">
            <w:pPr>
              <w:jc w:val="right"/>
            </w:pPr>
            <w:r>
              <w:rPr>
                <w:color w:val="000000"/>
                <w:sz w:val="24"/>
              </w:rPr>
              <w:t>30,252,000.00</w:t>
            </w:r>
          </w:p>
        </w:tc>
        <w:tc>
          <w:tcPr>
            <w:tcW w:w="0" w:type="auto"/>
            <w:vAlign w:val="center"/>
          </w:tcPr>
          <w:p w:rsidR="00157659" w:rsidRDefault="00495B17">
            <w:pPr>
              <w:jc w:val="right"/>
            </w:pPr>
            <w:r>
              <w:rPr>
                <w:color w:val="000000"/>
                <w:sz w:val="24"/>
              </w:rPr>
              <w:t>1.30</w:t>
            </w:r>
          </w:p>
        </w:tc>
      </w:tr>
      <w:tr w:rsidR="00157659">
        <w:tc>
          <w:tcPr>
            <w:tcW w:w="0" w:type="auto"/>
            <w:vAlign w:val="center"/>
          </w:tcPr>
          <w:p w:rsidR="00157659" w:rsidRDefault="00495B17">
            <w:pPr>
              <w:jc w:val="center"/>
            </w:pPr>
            <w:r>
              <w:rPr>
                <w:color w:val="000000"/>
                <w:sz w:val="24"/>
              </w:rPr>
              <w:t>2</w:t>
            </w:r>
          </w:p>
        </w:tc>
        <w:tc>
          <w:tcPr>
            <w:tcW w:w="0" w:type="auto"/>
            <w:vAlign w:val="center"/>
          </w:tcPr>
          <w:p w:rsidR="00157659" w:rsidRDefault="00495B17">
            <w:pPr>
              <w:jc w:val="center"/>
            </w:pPr>
            <w:r>
              <w:rPr>
                <w:color w:val="000000"/>
                <w:sz w:val="24"/>
              </w:rPr>
              <w:t>156445</w:t>
            </w:r>
          </w:p>
        </w:tc>
        <w:tc>
          <w:tcPr>
            <w:tcW w:w="0" w:type="auto"/>
            <w:vAlign w:val="center"/>
          </w:tcPr>
          <w:p w:rsidR="00157659" w:rsidRDefault="00495B17">
            <w:pPr>
              <w:jc w:val="center"/>
            </w:pPr>
            <w:r>
              <w:rPr>
                <w:color w:val="000000"/>
                <w:sz w:val="24"/>
              </w:rPr>
              <w:t>18</w:t>
            </w:r>
            <w:r>
              <w:rPr>
                <w:color w:val="000000"/>
                <w:sz w:val="24"/>
              </w:rPr>
              <w:t>裕源</w:t>
            </w:r>
            <w:r>
              <w:rPr>
                <w:color w:val="000000"/>
                <w:sz w:val="24"/>
              </w:rPr>
              <w:t>02</w:t>
            </w:r>
          </w:p>
        </w:tc>
        <w:tc>
          <w:tcPr>
            <w:tcW w:w="0" w:type="auto"/>
            <w:vAlign w:val="center"/>
          </w:tcPr>
          <w:p w:rsidR="00157659" w:rsidRDefault="00495B17">
            <w:pPr>
              <w:jc w:val="right"/>
            </w:pPr>
            <w:r>
              <w:rPr>
                <w:color w:val="000000"/>
                <w:sz w:val="24"/>
              </w:rPr>
              <w:t>100,000</w:t>
            </w:r>
          </w:p>
        </w:tc>
        <w:tc>
          <w:tcPr>
            <w:tcW w:w="0" w:type="auto"/>
            <w:vAlign w:val="center"/>
          </w:tcPr>
          <w:p w:rsidR="00157659" w:rsidRDefault="00495B17">
            <w:pPr>
              <w:jc w:val="right"/>
            </w:pPr>
            <w:r>
              <w:rPr>
                <w:color w:val="000000"/>
                <w:sz w:val="24"/>
              </w:rPr>
              <w:t>10,012,000.00</w:t>
            </w:r>
          </w:p>
        </w:tc>
        <w:tc>
          <w:tcPr>
            <w:tcW w:w="0" w:type="auto"/>
            <w:vAlign w:val="center"/>
          </w:tcPr>
          <w:p w:rsidR="00157659" w:rsidRDefault="00495B17">
            <w:pPr>
              <w:jc w:val="right"/>
            </w:pPr>
            <w:r>
              <w:rPr>
                <w:color w:val="000000"/>
                <w:sz w:val="24"/>
              </w:rPr>
              <w:t>0.43</w:t>
            </w:r>
          </w:p>
        </w:tc>
      </w:tr>
      <w:tr w:rsidR="00157659">
        <w:tc>
          <w:tcPr>
            <w:tcW w:w="0" w:type="auto"/>
            <w:vAlign w:val="center"/>
          </w:tcPr>
          <w:p w:rsidR="00157659" w:rsidRDefault="00495B17">
            <w:pPr>
              <w:jc w:val="center"/>
            </w:pPr>
            <w:r>
              <w:rPr>
                <w:color w:val="000000"/>
                <w:sz w:val="24"/>
              </w:rPr>
              <w:t>3</w:t>
            </w:r>
          </w:p>
        </w:tc>
        <w:tc>
          <w:tcPr>
            <w:tcW w:w="0" w:type="auto"/>
            <w:vAlign w:val="center"/>
          </w:tcPr>
          <w:p w:rsidR="00157659" w:rsidRDefault="00495B17">
            <w:pPr>
              <w:jc w:val="center"/>
            </w:pPr>
            <w:r>
              <w:rPr>
                <w:color w:val="000000"/>
                <w:sz w:val="24"/>
              </w:rPr>
              <w:t>139420</w:t>
            </w:r>
          </w:p>
        </w:tc>
        <w:tc>
          <w:tcPr>
            <w:tcW w:w="0" w:type="auto"/>
            <w:vAlign w:val="center"/>
          </w:tcPr>
          <w:p w:rsidR="00157659" w:rsidRDefault="00495B17">
            <w:pPr>
              <w:jc w:val="center"/>
            </w:pPr>
            <w:r>
              <w:rPr>
                <w:color w:val="000000"/>
                <w:sz w:val="24"/>
              </w:rPr>
              <w:t>19</w:t>
            </w:r>
            <w:r>
              <w:rPr>
                <w:color w:val="000000"/>
                <w:sz w:val="24"/>
              </w:rPr>
              <w:t>融惠</w:t>
            </w:r>
            <w:r>
              <w:rPr>
                <w:color w:val="000000"/>
                <w:sz w:val="24"/>
              </w:rPr>
              <w:t>1A</w:t>
            </w:r>
          </w:p>
        </w:tc>
        <w:tc>
          <w:tcPr>
            <w:tcW w:w="0" w:type="auto"/>
            <w:vAlign w:val="center"/>
          </w:tcPr>
          <w:p w:rsidR="00157659" w:rsidRDefault="00495B17">
            <w:pPr>
              <w:jc w:val="right"/>
            </w:pPr>
            <w:r>
              <w:rPr>
                <w:color w:val="000000"/>
                <w:sz w:val="24"/>
              </w:rPr>
              <w:t>70,000</w:t>
            </w:r>
          </w:p>
        </w:tc>
        <w:tc>
          <w:tcPr>
            <w:tcW w:w="0" w:type="auto"/>
            <w:vAlign w:val="center"/>
          </w:tcPr>
          <w:p w:rsidR="00157659" w:rsidRDefault="00495B17">
            <w:pPr>
              <w:jc w:val="right"/>
            </w:pPr>
            <w:r>
              <w:rPr>
                <w:color w:val="000000"/>
                <w:sz w:val="24"/>
              </w:rPr>
              <w:t>7,048,300.00</w:t>
            </w:r>
          </w:p>
        </w:tc>
        <w:tc>
          <w:tcPr>
            <w:tcW w:w="0" w:type="auto"/>
            <w:vAlign w:val="center"/>
          </w:tcPr>
          <w:p w:rsidR="00157659" w:rsidRDefault="00495B17">
            <w:pPr>
              <w:jc w:val="right"/>
            </w:pPr>
            <w:r>
              <w:rPr>
                <w:color w:val="000000"/>
                <w:sz w:val="24"/>
              </w:rPr>
              <w:t>0.30</w:t>
            </w:r>
          </w:p>
        </w:tc>
      </w:tr>
      <w:tr w:rsidR="00157659">
        <w:tc>
          <w:tcPr>
            <w:tcW w:w="0" w:type="auto"/>
            <w:vAlign w:val="center"/>
          </w:tcPr>
          <w:p w:rsidR="00157659" w:rsidRDefault="00495B17">
            <w:pPr>
              <w:jc w:val="center"/>
            </w:pPr>
            <w:r>
              <w:rPr>
                <w:color w:val="000000"/>
                <w:sz w:val="24"/>
              </w:rPr>
              <w:t>4</w:t>
            </w:r>
          </w:p>
        </w:tc>
        <w:tc>
          <w:tcPr>
            <w:tcW w:w="0" w:type="auto"/>
            <w:vAlign w:val="center"/>
          </w:tcPr>
          <w:p w:rsidR="00157659" w:rsidRDefault="00495B17">
            <w:pPr>
              <w:jc w:val="center"/>
            </w:pPr>
            <w:r>
              <w:rPr>
                <w:color w:val="000000"/>
                <w:sz w:val="24"/>
              </w:rPr>
              <w:t>156634</w:t>
            </w:r>
          </w:p>
        </w:tc>
        <w:tc>
          <w:tcPr>
            <w:tcW w:w="0" w:type="auto"/>
            <w:vAlign w:val="center"/>
          </w:tcPr>
          <w:p w:rsidR="00157659" w:rsidRDefault="00495B17">
            <w:pPr>
              <w:jc w:val="center"/>
            </w:pPr>
            <w:r>
              <w:rPr>
                <w:color w:val="000000"/>
                <w:sz w:val="24"/>
              </w:rPr>
              <w:t>金地</w:t>
            </w:r>
            <w:r>
              <w:rPr>
                <w:color w:val="000000"/>
                <w:sz w:val="24"/>
              </w:rPr>
              <w:t>08A</w:t>
            </w:r>
          </w:p>
        </w:tc>
        <w:tc>
          <w:tcPr>
            <w:tcW w:w="0" w:type="auto"/>
            <w:vAlign w:val="center"/>
          </w:tcPr>
          <w:p w:rsidR="00157659" w:rsidRDefault="00495B17">
            <w:pPr>
              <w:jc w:val="right"/>
            </w:pPr>
            <w:r>
              <w:rPr>
                <w:color w:val="000000"/>
                <w:sz w:val="24"/>
              </w:rPr>
              <w:t>40,000</w:t>
            </w:r>
          </w:p>
        </w:tc>
        <w:tc>
          <w:tcPr>
            <w:tcW w:w="0" w:type="auto"/>
            <w:vAlign w:val="center"/>
          </w:tcPr>
          <w:p w:rsidR="00157659" w:rsidRDefault="00495B17">
            <w:pPr>
              <w:jc w:val="right"/>
            </w:pPr>
            <w:r>
              <w:rPr>
                <w:color w:val="000000"/>
                <w:sz w:val="24"/>
              </w:rPr>
              <w:t>4,004,800.00</w:t>
            </w:r>
          </w:p>
        </w:tc>
        <w:tc>
          <w:tcPr>
            <w:tcW w:w="0" w:type="auto"/>
            <w:vAlign w:val="center"/>
          </w:tcPr>
          <w:p w:rsidR="00157659" w:rsidRDefault="00495B17">
            <w:pPr>
              <w:jc w:val="right"/>
            </w:pPr>
            <w:r>
              <w:rPr>
                <w:color w:val="000000"/>
                <w:sz w:val="24"/>
              </w:rPr>
              <w:t>0.17</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5.11.119</w:t>
      </w:r>
      <w:r w:rsidRPr="00414367">
        <w:rPr>
          <w:color w:val="000000"/>
          <w:sz w:val="24"/>
        </w:rPr>
        <w:t>兴业银行</w:t>
      </w:r>
      <w:r w:rsidRPr="00414367">
        <w:rPr>
          <w:color w:val="000000"/>
          <w:sz w:val="24"/>
        </w:rPr>
        <w:t>CD112</w:t>
      </w:r>
      <w:r w:rsidRPr="00414367">
        <w:rPr>
          <w:color w:val="000000"/>
          <w:sz w:val="24"/>
        </w:rPr>
        <w:t>（代码：</w:t>
      </w:r>
      <w:r w:rsidRPr="00414367">
        <w:rPr>
          <w:color w:val="000000"/>
          <w:sz w:val="24"/>
        </w:rPr>
        <w:t>111910112</w:t>
      </w:r>
      <w:r w:rsidRPr="00414367">
        <w:rPr>
          <w:color w:val="000000"/>
          <w:sz w:val="24"/>
        </w:rPr>
        <w:t>）是易方达安瑞短债债券型证券投资基金的前十大持仓证券。</w:t>
      </w:r>
      <w:r w:rsidRPr="00414367">
        <w:rPr>
          <w:color w:val="000000"/>
          <w:sz w:val="24"/>
        </w:rPr>
        <w:t>2018</w:t>
      </w:r>
      <w:r w:rsidRPr="00414367">
        <w:rPr>
          <w:color w:val="000000"/>
          <w:sz w:val="24"/>
        </w:rPr>
        <w:t>年</w:t>
      </w:r>
      <w:r w:rsidRPr="00414367">
        <w:rPr>
          <w:color w:val="000000"/>
          <w:sz w:val="24"/>
        </w:rPr>
        <w:t>10</w:t>
      </w:r>
      <w:r w:rsidRPr="00414367">
        <w:rPr>
          <w:color w:val="000000"/>
          <w:sz w:val="24"/>
        </w:rPr>
        <w:t>月</w:t>
      </w:r>
      <w:r w:rsidRPr="00414367">
        <w:rPr>
          <w:color w:val="000000"/>
          <w:sz w:val="24"/>
        </w:rPr>
        <w:t>16</w:t>
      </w:r>
      <w:r w:rsidRPr="00414367">
        <w:rPr>
          <w:color w:val="000000"/>
          <w:sz w:val="24"/>
        </w:rPr>
        <w:t>日，中国保监会上海保监局对兴业银行股份有限公司作出</w:t>
      </w:r>
      <w:r w:rsidRPr="00414367">
        <w:rPr>
          <w:color w:val="000000"/>
          <w:sz w:val="24"/>
        </w:rPr>
        <w:t>“</w:t>
      </w:r>
      <w:r w:rsidRPr="00414367">
        <w:rPr>
          <w:color w:val="000000"/>
          <w:sz w:val="24"/>
        </w:rPr>
        <w:t>责令你行改正，并处</w:t>
      </w:r>
      <w:r w:rsidRPr="00414367">
        <w:rPr>
          <w:color w:val="000000"/>
          <w:sz w:val="24"/>
        </w:rPr>
        <w:t>35</w:t>
      </w:r>
      <w:r w:rsidRPr="00414367">
        <w:rPr>
          <w:color w:val="000000"/>
          <w:sz w:val="24"/>
        </w:rPr>
        <w:t>万元罚款</w:t>
      </w:r>
      <w:r w:rsidRPr="00414367">
        <w:rPr>
          <w:color w:val="000000"/>
          <w:sz w:val="24"/>
        </w:rPr>
        <w:t>”</w:t>
      </w:r>
      <w:r w:rsidRPr="00414367">
        <w:rPr>
          <w:color w:val="000000"/>
          <w:sz w:val="24"/>
        </w:rPr>
        <w:t>的行政处罚决定。违法违规事由：兴业银行电销坐席在电话销售保险产品时，存在使用与事实不符的表述向投保人促销、未介绍或未完整介绍保险合同中涉及保险消费者核心权益内容的问题。</w:t>
      </w:r>
      <w:r w:rsidRPr="00414367">
        <w:rPr>
          <w:color w:val="000000"/>
          <w:sz w:val="24"/>
        </w:rPr>
        <w:t>2019</w:t>
      </w:r>
      <w:r w:rsidRPr="00414367">
        <w:rPr>
          <w:color w:val="000000"/>
          <w:sz w:val="24"/>
        </w:rPr>
        <w:t>年</w:t>
      </w:r>
      <w:r w:rsidRPr="00414367">
        <w:rPr>
          <w:color w:val="000000"/>
          <w:sz w:val="24"/>
        </w:rPr>
        <w:t>7</w:t>
      </w:r>
      <w:r w:rsidRPr="00414367">
        <w:rPr>
          <w:color w:val="000000"/>
          <w:sz w:val="24"/>
        </w:rPr>
        <w:t>月</w:t>
      </w:r>
      <w:r w:rsidRPr="00414367">
        <w:rPr>
          <w:color w:val="000000"/>
          <w:sz w:val="24"/>
        </w:rPr>
        <w:t>8</w:t>
      </w:r>
      <w:r w:rsidRPr="00414367">
        <w:rPr>
          <w:color w:val="000000"/>
          <w:sz w:val="24"/>
        </w:rPr>
        <w:t>日，中国银行保险监督管理委员会上海监管局针对兴业银行股份有限公司信用卡中心的如下违法违规行为作出责令改正、并处罚款</w:t>
      </w:r>
      <w:r w:rsidRPr="00414367">
        <w:rPr>
          <w:color w:val="000000"/>
          <w:sz w:val="24"/>
        </w:rPr>
        <w:t>40</w:t>
      </w:r>
      <w:r w:rsidRPr="00414367">
        <w:rPr>
          <w:color w:val="000000"/>
          <w:sz w:val="24"/>
        </w:rPr>
        <w:t>万元的行政处罚决定：</w:t>
      </w:r>
      <w:r w:rsidRPr="00414367">
        <w:rPr>
          <w:color w:val="000000"/>
          <w:sz w:val="24"/>
        </w:rPr>
        <w:t>1</w:t>
      </w:r>
      <w:r w:rsidRPr="00414367">
        <w:rPr>
          <w:color w:val="000000"/>
          <w:sz w:val="24"/>
        </w:rPr>
        <w:t>、</w:t>
      </w:r>
      <w:r w:rsidRPr="00414367">
        <w:rPr>
          <w:color w:val="000000"/>
          <w:sz w:val="24"/>
        </w:rPr>
        <w:t>2016</w:t>
      </w:r>
      <w:r w:rsidRPr="00414367">
        <w:rPr>
          <w:color w:val="000000"/>
          <w:sz w:val="24"/>
        </w:rPr>
        <w:t>年</w:t>
      </w:r>
      <w:r w:rsidRPr="00414367">
        <w:rPr>
          <w:color w:val="000000"/>
          <w:sz w:val="24"/>
        </w:rPr>
        <w:t>1</w:t>
      </w:r>
      <w:r w:rsidRPr="00414367">
        <w:rPr>
          <w:color w:val="000000"/>
          <w:sz w:val="24"/>
        </w:rPr>
        <w:t>月至</w:t>
      </w:r>
      <w:r w:rsidRPr="00414367">
        <w:rPr>
          <w:color w:val="000000"/>
          <w:sz w:val="24"/>
        </w:rPr>
        <w:t>2018</w:t>
      </w:r>
      <w:r w:rsidRPr="00414367">
        <w:rPr>
          <w:color w:val="000000"/>
          <w:sz w:val="24"/>
        </w:rPr>
        <w:t>年</w:t>
      </w:r>
      <w:r w:rsidRPr="00414367">
        <w:rPr>
          <w:color w:val="000000"/>
          <w:sz w:val="24"/>
        </w:rPr>
        <w:t>1</w:t>
      </w:r>
      <w:r w:rsidRPr="00414367">
        <w:rPr>
          <w:color w:val="000000"/>
          <w:sz w:val="24"/>
        </w:rPr>
        <w:t>月在为部分客户办理信用卡业务时未遵守总授信额度管理制度；</w:t>
      </w:r>
      <w:r w:rsidRPr="00414367">
        <w:rPr>
          <w:color w:val="000000"/>
          <w:sz w:val="24"/>
        </w:rPr>
        <w:t>2</w:t>
      </w:r>
      <w:r w:rsidRPr="00414367">
        <w:rPr>
          <w:color w:val="000000"/>
          <w:sz w:val="24"/>
        </w:rPr>
        <w:t>、</w:t>
      </w:r>
      <w:r w:rsidRPr="00414367">
        <w:rPr>
          <w:color w:val="000000"/>
          <w:sz w:val="24"/>
        </w:rPr>
        <w:t>2016</w:t>
      </w:r>
      <w:r w:rsidRPr="00414367">
        <w:rPr>
          <w:color w:val="000000"/>
          <w:sz w:val="24"/>
        </w:rPr>
        <w:t>年至</w:t>
      </w:r>
      <w:r w:rsidRPr="00414367">
        <w:rPr>
          <w:color w:val="000000"/>
          <w:sz w:val="24"/>
        </w:rPr>
        <w:t>2018</w:t>
      </w:r>
      <w:r w:rsidRPr="00414367">
        <w:rPr>
          <w:color w:val="000000"/>
          <w:sz w:val="24"/>
        </w:rPr>
        <w:t>年</w:t>
      </w:r>
      <w:r w:rsidRPr="00414367">
        <w:rPr>
          <w:color w:val="000000"/>
          <w:sz w:val="24"/>
        </w:rPr>
        <w:t>8</w:t>
      </w:r>
      <w:r w:rsidRPr="00414367">
        <w:rPr>
          <w:color w:val="000000"/>
          <w:sz w:val="24"/>
        </w:rPr>
        <w:t>月对部分信用卡申请人资信水平调查严重不尽职的违法违规行为。</w:t>
      </w:r>
    </w:p>
    <w:p w:rsidR="00157659" w:rsidRDefault="00495B17">
      <w:pPr>
        <w:widowControl/>
        <w:spacing w:line="360" w:lineRule="auto"/>
        <w:rPr>
          <w:color w:val="000000"/>
          <w:sz w:val="24"/>
        </w:rPr>
      </w:pPr>
      <w:r>
        <w:rPr>
          <w:color w:val="000000"/>
          <w:sz w:val="24"/>
        </w:rPr>
        <w:t>15</w:t>
      </w:r>
      <w:r>
        <w:rPr>
          <w:color w:val="000000"/>
          <w:sz w:val="24"/>
        </w:rPr>
        <w:t>青交投</w:t>
      </w:r>
      <w:r>
        <w:rPr>
          <w:color w:val="000000"/>
          <w:sz w:val="24"/>
        </w:rPr>
        <w:t>MTN001(5</w:t>
      </w:r>
      <w:r>
        <w:rPr>
          <w:color w:val="000000"/>
          <w:sz w:val="24"/>
        </w:rPr>
        <w:t>年期</w:t>
      </w:r>
      <w:r>
        <w:rPr>
          <w:color w:val="000000"/>
          <w:sz w:val="24"/>
        </w:rPr>
        <w:t>)</w:t>
      </w:r>
      <w:r>
        <w:rPr>
          <w:color w:val="000000"/>
          <w:sz w:val="24"/>
        </w:rPr>
        <w:t>（代码：</w:t>
      </w:r>
      <w:r>
        <w:rPr>
          <w:color w:val="000000"/>
          <w:sz w:val="24"/>
        </w:rPr>
        <w:t>101556014</w:t>
      </w:r>
      <w:r>
        <w:rPr>
          <w:color w:val="000000"/>
          <w:sz w:val="24"/>
        </w:rPr>
        <w:t>）是易方达安瑞短债债券型证券投资基金的前十大持仓证券。</w:t>
      </w:r>
      <w:r>
        <w:rPr>
          <w:color w:val="000000"/>
          <w:sz w:val="24"/>
        </w:rPr>
        <w:t>2019</w:t>
      </w:r>
      <w:r>
        <w:rPr>
          <w:color w:val="000000"/>
          <w:sz w:val="24"/>
        </w:rPr>
        <w:t>年</w:t>
      </w:r>
      <w:r>
        <w:rPr>
          <w:color w:val="000000"/>
          <w:sz w:val="24"/>
        </w:rPr>
        <w:t>1</w:t>
      </w:r>
      <w:r>
        <w:rPr>
          <w:color w:val="000000"/>
          <w:sz w:val="24"/>
        </w:rPr>
        <w:t>月</w:t>
      </w:r>
      <w:r>
        <w:rPr>
          <w:color w:val="000000"/>
          <w:sz w:val="24"/>
        </w:rPr>
        <w:t>4</w:t>
      </w:r>
      <w:r>
        <w:rPr>
          <w:color w:val="000000"/>
          <w:sz w:val="24"/>
        </w:rPr>
        <w:t>日，青海省西宁市生态环境局湟源县生态环境局</w:t>
      </w:r>
      <w:r>
        <w:rPr>
          <w:color w:val="000000"/>
          <w:sz w:val="24"/>
        </w:rPr>
        <w:lastRenderedPageBreak/>
        <w:t>对青海交通投资有限公司扬尘防控措施不到位的行为，作出罚款</w:t>
      </w:r>
      <w:r>
        <w:rPr>
          <w:color w:val="000000"/>
          <w:sz w:val="24"/>
        </w:rPr>
        <w:t>2</w:t>
      </w:r>
      <w:r>
        <w:rPr>
          <w:color w:val="000000"/>
          <w:sz w:val="24"/>
        </w:rPr>
        <w:t>万元的行政处罚决定。</w:t>
      </w:r>
    </w:p>
    <w:p w:rsidR="00157659" w:rsidRDefault="00495B17">
      <w:pPr>
        <w:widowControl/>
        <w:spacing w:line="360" w:lineRule="auto"/>
        <w:rPr>
          <w:color w:val="000000"/>
          <w:sz w:val="24"/>
        </w:rPr>
      </w:pPr>
      <w:r>
        <w:rPr>
          <w:color w:val="000000"/>
          <w:sz w:val="24"/>
        </w:rPr>
        <w:t>本基金投资</w:t>
      </w:r>
      <w:r>
        <w:rPr>
          <w:color w:val="000000"/>
          <w:sz w:val="24"/>
        </w:rPr>
        <w:t>19</w:t>
      </w:r>
      <w:r>
        <w:rPr>
          <w:color w:val="000000"/>
          <w:sz w:val="24"/>
        </w:rPr>
        <w:t>兴业银行</w:t>
      </w:r>
      <w:r>
        <w:rPr>
          <w:color w:val="000000"/>
          <w:sz w:val="24"/>
        </w:rPr>
        <w:t>CD112</w:t>
      </w:r>
      <w:r>
        <w:rPr>
          <w:color w:val="000000"/>
          <w:sz w:val="24"/>
        </w:rPr>
        <w:t>、</w:t>
      </w:r>
      <w:r>
        <w:rPr>
          <w:color w:val="000000"/>
          <w:sz w:val="24"/>
        </w:rPr>
        <w:t>15</w:t>
      </w:r>
      <w:r>
        <w:rPr>
          <w:color w:val="000000"/>
          <w:sz w:val="24"/>
        </w:rPr>
        <w:t>青交投</w:t>
      </w:r>
      <w:r>
        <w:rPr>
          <w:color w:val="000000"/>
          <w:sz w:val="24"/>
        </w:rPr>
        <w:t>MTN001</w:t>
      </w:r>
      <w:r>
        <w:rPr>
          <w:color w:val="000000"/>
          <w:sz w:val="24"/>
        </w:rPr>
        <w:t>的投资决策程序符合公司投资制度的规定。</w:t>
      </w:r>
    </w:p>
    <w:p w:rsidR="00157659" w:rsidRDefault="00495B17">
      <w:pPr>
        <w:widowControl/>
        <w:spacing w:line="360" w:lineRule="auto"/>
        <w:rPr>
          <w:color w:val="000000"/>
          <w:sz w:val="24"/>
        </w:rPr>
      </w:pPr>
      <w:r>
        <w:rPr>
          <w:color w:val="000000"/>
          <w:sz w:val="24"/>
        </w:rPr>
        <w:t>除</w:t>
      </w:r>
      <w:r>
        <w:rPr>
          <w:color w:val="000000"/>
          <w:sz w:val="24"/>
        </w:rPr>
        <w:t>19</w:t>
      </w:r>
      <w:r>
        <w:rPr>
          <w:color w:val="000000"/>
          <w:sz w:val="24"/>
        </w:rPr>
        <w:t>兴业银行</w:t>
      </w:r>
      <w:r>
        <w:rPr>
          <w:color w:val="000000"/>
          <w:sz w:val="24"/>
        </w:rPr>
        <w:t>CD112</w:t>
      </w:r>
      <w:r>
        <w:rPr>
          <w:color w:val="000000"/>
          <w:sz w:val="24"/>
        </w:rPr>
        <w:t>、</w:t>
      </w:r>
      <w:r>
        <w:rPr>
          <w:color w:val="000000"/>
          <w:sz w:val="24"/>
        </w:rPr>
        <w:t>15</w:t>
      </w:r>
      <w:r>
        <w:rPr>
          <w:color w:val="000000"/>
          <w:sz w:val="24"/>
        </w:rPr>
        <w:t>青交投</w:t>
      </w:r>
      <w:r>
        <w:rPr>
          <w:color w:val="000000"/>
          <w:sz w:val="24"/>
        </w:rPr>
        <w:t>MTN001</w:t>
      </w:r>
      <w:r>
        <w:rPr>
          <w:color w:val="000000"/>
          <w:sz w:val="24"/>
        </w:rPr>
        <w:t>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9,236.47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43,112,805.91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32,339,039.59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75,461,081.97</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易方达安瑞短债债</w:t>
            </w:r>
            <w:r w:rsidRPr="00FA472B">
              <w:rPr>
                <w:sz w:val="24"/>
              </w:rPr>
              <w:lastRenderedPageBreak/>
              <w:t>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lastRenderedPageBreak/>
              <w:t>易方达安瑞短债债</w:t>
            </w:r>
            <w:r w:rsidRPr="00FA472B">
              <w:rPr>
                <w:sz w:val="24"/>
              </w:rPr>
              <w:lastRenderedPageBreak/>
              <w:t>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937,628,428.11</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687,798,661.28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505,488,767.03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1,238,387,558.10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592,992,205.99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455,484,577.06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850,124,989.15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1,470,701,642.32</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157659" w:rsidRDefault="00495B17">
      <w:pPr>
        <w:spacing w:line="360" w:lineRule="auto"/>
        <w:ind w:firstLineChars="200" w:firstLine="480"/>
        <w:rPr>
          <w:color w:val="000000"/>
          <w:sz w:val="24"/>
        </w:rPr>
      </w:pPr>
      <w:r>
        <w:rPr>
          <w:color w:val="000000"/>
          <w:sz w:val="24"/>
        </w:rPr>
        <w:t>1.</w:t>
      </w:r>
      <w:r>
        <w:rPr>
          <w:color w:val="000000"/>
          <w:sz w:val="24"/>
        </w:rPr>
        <w:t>中国证监会准予易方达安瑞短债债券型证券投资基金注册的文件；</w:t>
      </w:r>
    </w:p>
    <w:p w:rsidR="00157659" w:rsidRDefault="00495B17">
      <w:pPr>
        <w:spacing w:line="360" w:lineRule="auto"/>
        <w:ind w:firstLineChars="200" w:firstLine="480"/>
        <w:rPr>
          <w:color w:val="000000"/>
          <w:sz w:val="24"/>
        </w:rPr>
      </w:pPr>
      <w:r>
        <w:rPr>
          <w:color w:val="000000"/>
          <w:sz w:val="24"/>
        </w:rPr>
        <w:t>2.</w:t>
      </w:r>
      <w:r>
        <w:rPr>
          <w:color w:val="000000"/>
          <w:sz w:val="24"/>
        </w:rPr>
        <w:t>《易方达安瑞短债债券型证券投资基金基金合同》；</w:t>
      </w:r>
    </w:p>
    <w:p w:rsidR="00157659" w:rsidRDefault="00495B17">
      <w:pPr>
        <w:spacing w:line="360" w:lineRule="auto"/>
        <w:ind w:firstLineChars="200" w:firstLine="480"/>
        <w:rPr>
          <w:color w:val="000000"/>
          <w:sz w:val="24"/>
        </w:rPr>
      </w:pPr>
      <w:r>
        <w:rPr>
          <w:color w:val="000000"/>
          <w:sz w:val="24"/>
        </w:rPr>
        <w:t>3.</w:t>
      </w:r>
      <w:r>
        <w:rPr>
          <w:color w:val="000000"/>
          <w:sz w:val="24"/>
        </w:rPr>
        <w:t>《易方达安瑞短债债券型证券投资基金托管协议》；</w:t>
      </w:r>
    </w:p>
    <w:p w:rsidR="00157659" w:rsidRDefault="00495B17">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495B17">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495B17">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495B17">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易方达安瑞短债债券型证券投资基金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57659"/>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95B17"/>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B6E7AF6-C1A6-4A42-90E6-A7067F17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1134</Words>
  <Characters>6470</Characters>
  <Application>Microsoft Office Word</Application>
  <DocSecurity>0</DocSecurity>
  <Lines>53</Lines>
  <Paragraphs>15</Paragraphs>
  <ScaleCrop>false</ScaleCrop>
  <Company>TRT. Ltd. Co.</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