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易方达汇诚养老目标日期2043三年持有期混合型基金中基金（FOF）</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中国建设银行股份有限公司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BB3516" w:rsidRDefault="00AA1887">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BB3516" w:rsidRDefault="00AA1887">
      <w:pPr>
        <w:spacing w:line="360" w:lineRule="auto"/>
        <w:ind w:firstLineChars="200" w:firstLine="480"/>
        <w:rPr>
          <w:color w:val="000000"/>
          <w:sz w:val="24"/>
          <w:szCs w:val="24"/>
        </w:rPr>
      </w:pPr>
      <w:r>
        <w:rPr>
          <w:color w:val="000000"/>
          <w:sz w:val="24"/>
          <w:szCs w:val="24"/>
        </w:rPr>
        <w:t>基金托管人中国建设银行股份有限公司根据本基金合同规定，于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BB3516" w:rsidRDefault="00AA1887">
      <w:pPr>
        <w:spacing w:line="360" w:lineRule="auto"/>
        <w:ind w:firstLineChars="200" w:firstLine="480"/>
        <w:rPr>
          <w:color w:val="000000"/>
          <w:sz w:val="24"/>
          <w:szCs w:val="24"/>
        </w:rPr>
      </w:pPr>
      <w:r>
        <w:rPr>
          <w:color w:val="000000"/>
          <w:sz w:val="24"/>
          <w:szCs w:val="24"/>
        </w:rPr>
        <w:t>基</w:t>
      </w:r>
      <w:r>
        <w:rPr>
          <w:color w:val="000000"/>
          <w:sz w:val="24"/>
          <w:szCs w:val="24"/>
        </w:rPr>
        <w:t>金管理人承诺以诚实信用、勤勉尽责的原则管理和运用基金资产，但不保证基金一定盈利。</w:t>
      </w:r>
      <w:r>
        <w:rPr>
          <w:color w:val="000000"/>
          <w:sz w:val="24"/>
          <w:szCs w:val="24"/>
        </w:rPr>
        <w:t xml:space="preserve"> </w:t>
      </w:r>
    </w:p>
    <w:p w:rsidR="00BB3516" w:rsidRDefault="00AA1887">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BB3516" w:rsidRDefault="00AA1887">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易方达汇诚养老</w:t>
            </w:r>
            <w:r w:rsidRPr="00232B03">
              <w:rPr>
                <w:color w:val="000000"/>
                <w:kern w:val="0"/>
                <w:sz w:val="24"/>
                <w:szCs w:val="24"/>
              </w:rPr>
              <w:t>2043</w:t>
            </w:r>
            <w:r w:rsidRPr="00232B03">
              <w:rPr>
                <w:color w:val="000000"/>
                <w:kern w:val="0"/>
                <w:sz w:val="24"/>
                <w:szCs w:val="24"/>
              </w:rPr>
              <w:t>三年持有混合（</w:t>
            </w:r>
            <w:r w:rsidRPr="00232B03">
              <w:rPr>
                <w:color w:val="000000"/>
                <w:kern w:val="0"/>
                <w:sz w:val="24"/>
                <w:szCs w:val="24"/>
              </w:rPr>
              <w:t>FOF</w:t>
            </w:r>
            <w:r w:rsidRPr="00232B03">
              <w:rPr>
                <w:color w:val="000000"/>
                <w:kern w:val="0"/>
                <w:sz w:val="24"/>
                <w:szCs w:val="24"/>
              </w:rPr>
              <w:t>）</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006292</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006292</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契约型开放式</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2018</w:t>
            </w:r>
            <w:r w:rsidRPr="00232B03">
              <w:rPr>
                <w:color w:val="000000"/>
                <w:kern w:val="0"/>
                <w:sz w:val="24"/>
                <w:szCs w:val="24"/>
              </w:rPr>
              <w:t>年</w:t>
            </w:r>
            <w:r w:rsidRPr="00232B03">
              <w:rPr>
                <w:color w:val="000000"/>
                <w:kern w:val="0"/>
                <w:sz w:val="24"/>
                <w:szCs w:val="24"/>
              </w:rPr>
              <w:t>12</w:t>
            </w:r>
            <w:r w:rsidRPr="00232B03">
              <w:rPr>
                <w:color w:val="000000"/>
                <w:kern w:val="0"/>
                <w:sz w:val="24"/>
                <w:szCs w:val="24"/>
              </w:rPr>
              <w:t>月</w:t>
            </w:r>
            <w:r w:rsidRPr="00232B03">
              <w:rPr>
                <w:color w:val="000000"/>
                <w:kern w:val="0"/>
                <w:sz w:val="24"/>
                <w:szCs w:val="24"/>
              </w:rPr>
              <w:t>26</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249,268,118.62</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在投资管理过程中遵循各个阶段既定的投资比例，动态调整大类资产配置，控制基金下行风险，力争追求基金长期稳健增值。</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本基金属于目标日期策略基金，基金管理人根据设计的下滑曲线确定权益类资产与非权益类资产的配置比例，随着所设定目标日期的临近，本基金从整体趋势上将逐步降低权益类资产的配置比例，增</w:t>
            </w:r>
            <w:r w:rsidRPr="00232B03">
              <w:rPr>
                <w:color w:val="000000"/>
                <w:kern w:val="0"/>
                <w:sz w:val="24"/>
                <w:szCs w:val="24"/>
              </w:rPr>
              <w:lastRenderedPageBreak/>
              <w:t>加非权益类资产的配置比例。本基金的主要投资策略包括资产配置策略、基金筛选策略、基金配置策略。资产配置策略在根据下滑曲线确定的投资比例范围之内通过战略资产配置与战术资产配置确定各个大类资产的配置比例。本基金根据下滑曲线在不同时期均设定了权益类资产与非权益类资产投资比例范围。本基金的战略资产配置策略即在满足各个时间段约定的权益类资产与非权益类资产投资比例限制的前提下，确定股票、债券、商品、货币等各类资产的资产配置比例。战术资产配置是根据经济状况与市场环境对资产配置进行动态调整，进一步优化配置、增强收益的方法。本基金使用的战术资产配置策略主要基于对宏观经济面、政策面、基本面、技术面、估值面的深入分析，形成战术配置观点。通过战略资产配置策略与战术资产配置策略，本基金将最终形成目标资产配置比例，并以此指导后续基金的配置。基金筛选策略通过全方位的定量和定性分析筛选出符合基金管理人要求的标的基金，本基金所投资的全部基金都应是通过基金筛选策略选择出的标的基金。基金配置策略是通过对短周期内的基金多因子分解，结合公开披露的信息估算拟投资基金的最新的资产配置比例和短期的风格定位，通过优化求解的方法，得到匹配目标资产配置比例的最优基金组合，在此基础之上，基金管理人可以结合其他定性因素对组合进行调整，形成最终的投资组合。</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基金合同生效日至</w:t>
            </w:r>
            <w:r w:rsidRPr="00232B03">
              <w:rPr>
                <w:color w:val="000000"/>
                <w:kern w:val="0"/>
                <w:sz w:val="24"/>
                <w:szCs w:val="24"/>
              </w:rPr>
              <w:t>2023</w:t>
            </w:r>
            <w:r w:rsidRPr="00232B03">
              <w:rPr>
                <w:color w:val="000000"/>
                <w:kern w:val="0"/>
                <w:sz w:val="24"/>
                <w:szCs w:val="24"/>
              </w:rPr>
              <w:t>年</w:t>
            </w:r>
            <w:r w:rsidRPr="00232B03">
              <w:rPr>
                <w:color w:val="000000"/>
                <w:kern w:val="0"/>
                <w:sz w:val="24"/>
                <w:szCs w:val="24"/>
              </w:rPr>
              <w:t>12</w:t>
            </w:r>
            <w:r w:rsidRPr="00232B03">
              <w:rPr>
                <w:color w:val="000000"/>
                <w:kern w:val="0"/>
                <w:sz w:val="24"/>
                <w:szCs w:val="24"/>
              </w:rPr>
              <w:t>月</w:t>
            </w:r>
            <w:r w:rsidRPr="00232B03">
              <w:rPr>
                <w:color w:val="000000"/>
                <w:kern w:val="0"/>
                <w:sz w:val="24"/>
                <w:szCs w:val="24"/>
              </w:rPr>
              <w:t>31</w:t>
            </w:r>
            <w:r w:rsidRPr="00232B03">
              <w:rPr>
                <w:color w:val="000000"/>
                <w:kern w:val="0"/>
                <w:sz w:val="24"/>
                <w:szCs w:val="24"/>
              </w:rPr>
              <w:t>日：</w:t>
            </w:r>
            <w:r w:rsidRPr="00232B03">
              <w:rPr>
                <w:color w:val="000000"/>
                <w:kern w:val="0"/>
                <w:sz w:val="24"/>
                <w:szCs w:val="24"/>
              </w:rPr>
              <w:t>55%×</w:t>
            </w:r>
            <w:r w:rsidRPr="00232B03">
              <w:rPr>
                <w:color w:val="000000"/>
                <w:kern w:val="0"/>
                <w:sz w:val="24"/>
                <w:szCs w:val="24"/>
              </w:rPr>
              <w:t>沪深</w:t>
            </w:r>
            <w:r w:rsidRPr="00232B03">
              <w:rPr>
                <w:color w:val="000000"/>
                <w:kern w:val="0"/>
                <w:sz w:val="24"/>
                <w:szCs w:val="24"/>
              </w:rPr>
              <w:t>300</w:t>
            </w:r>
            <w:r w:rsidRPr="00232B03">
              <w:rPr>
                <w:color w:val="000000"/>
                <w:kern w:val="0"/>
                <w:sz w:val="24"/>
                <w:szCs w:val="24"/>
              </w:rPr>
              <w:t>指数收益率</w:t>
            </w:r>
            <w:r w:rsidRPr="00232B03">
              <w:rPr>
                <w:color w:val="000000"/>
                <w:kern w:val="0"/>
                <w:sz w:val="24"/>
                <w:szCs w:val="24"/>
              </w:rPr>
              <w:t>+40%×</w:t>
            </w:r>
            <w:r w:rsidRPr="00232B03">
              <w:rPr>
                <w:color w:val="000000"/>
                <w:kern w:val="0"/>
                <w:sz w:val="24"/>
                <w:szCs w:val="24"/>
              </w:rPr>
              <w:t>中债新综合总财富指数收益率</w:t>
            </w:r>
            <w:r w:rsidRPr="00232B03">
              <w:rPr>
                <w:color w:val="000000"/>
                <w:kern w:val="0"/>
                <w:sz w:val="24"/>
                <w:szCs w:val="24"/>
              </w:rPr>
              <w:t>+5%×</w:t>
            </w:r>
            <w:r w:rsidRPr="00232B03">
              <w:rPr>
                <w:color w:val="000000"/>
                <w:kern w:val="0"/>
                <w:sz w:val="24"/>
                <w:szCs w:val="24"/>
              </w:rPr>
              <w:t>活期存款利率；</w:t>
            </w:r>
            <w:r w:rsidRPr="00232B03">
              <w:rPr>
                <w:color w:val="000000"/>
                <w:kern w:val="0"/>
                <w:sz w:val="24"/>
                <w:szCs w:val="24"/>
              </w:rPr>
              <w:t>2024</w:t>
            </w:r>
            <w:r w:rsidRPr="00232B03">
              <w:rPr>
                <w:color w:val="000000"/>
                <w:kern w:val="0"/>
                <w:sz w:val="24"/>
                <w:szCs w:val="24"/>
              </w:rPr>
              <w:t>年</w:t>
            </w:r>
            <w:r w:rsidRPr="00232B03">
              <w:rPr>
                <w:color w:val="000000"/>
                <w:kern w:val="0"/>
                <w:sz w:val="24"/>
                <w:szCs w:val="24"/>
              </w:rPr>
              <w:t>1</w:t>
            </w:r>
            <w:r w:rsidRPr="00232B03">
              <w:rPr>
                <w:color w:val="000000"/>
                <w:kern w:val="0"/>
                <w:sz w:val="24"/>
                <w:szCs w:val="24"/>
              </w:rPr>
              <w:t>月</w:t>
            </w:r>
            <w:r w:rsidRPr="00232B03">
              <w:rPr>
                <w:color w:val="000000"/>
                <w:kern w:val="0"/>
                <w:sz w:val="24"/>
                <w:szCs w:val="24"/>
              </w:rPr>
              <w:t>1</w:t>
            </w:r>
            <w:r w:rsidRPr="00232B03">
              <w:rPr>
                <w:color w:val="000000"/>
                <w:kern w:val="0"/>
                <w:sz w:val="24"/>
                <w:szCs w:val="24"/>
              </w:rPr>
              <w:t>日至</w:t>
            </w:r>
            <w:r w:rsidRPr="00232B03">
              <w:rPr>
                <w:color w:val="000000"/>
                <w:kern w:val="0"/>
                <w:sz w:val="24"/>
                <w:szCs w:val="24"/>
              </w:rPr>
              <w:t>2028</w:t>
            </w:r>
            <w:r w:rsidRPr="00232B03">
              <w:rPr>
                <w:color w:val="000000"/>
                <w:kern w:val="0"/>
                <w:sz w:val="24"/>
                <w:szCs w:val="24"/>
              </w:rPr>
              <w:t>年</w:t>
            </w:r>
            <w:r w:rsidRPr="00232B03">
              <w:rPr>
                <w:color w:val="000000"/>
                <w:kern w:val="0"/>
                <w:sz w:val="24"/>
                <w:szCs w:val="24"/>
              </w:rPr>
              <w:lastRenderedPageBreak/>
              <w:t>12</w:t>
            </w:r>
            <w:r w:rsidRPr="00232B03">
              <w:rPr>
                <w:color w:val="000000"/>
                <w:kern w:val="0"/>
                <w:sz w:val="24"/>
                <w:szCs w:val="24"/>
              </w:rPr>
              <w:t>月</w:t>
            </w:r>
            <w:r w:rsidRPr="00232B03">
              <w:rPr>
                <w:color w:val="000000"/>
                <w:kern w:val="0"/>
                <w:sz w:val="24"/>
                <w:szCs w:val="24"/>
              </w:rPr>
              <w:t>31</w:t>
            </w:r>
            <w:r w:rsidRPr="00232B03">
              <w:rPr>
                <w:color w:val="000000"/>
                <w:kern w:val="0"/>
                <w:sz w:val="24"/>
                <w:szCs w:val="24"/>
              </w:rPr>
              <w:t>日：</w:t>
            </w:r>
            <w:r w:rsidRPr="00232B03">
              <w:rPr>
                <w:color w:val="000000"/>
                <w:kern w:val="0"/>
                <w:sz w:val="24"/>
                <w:szCs w:val="24"/>
              </w:rPr>
              <w:t>45%×</w:t>
            </w:r>
            <w:r w:rsidRPr="00232B03">
              <w:rPr>
                <w:color w:val="000000"/>
                <w:kern w:val="0"/>
                <w:sz w:val="24"/>
                <w:szCs w:val="24"/>
              </w:rPr>
              <w:t>沪深</w:t>
            </w:r>
            <w:r w:rsidRPr="00232B03">
              <w:rPr>
                <w:color w:val="000000"/>
                <w:kern w:val="0"/>
                <w:sz w:val="24"/>
                <w:szCs w:val="24"/>
              </w:rPr>
              <w:t>300</w:t>
            </w:r>
            <w:r w:rsidRPr="00232B03">
              <w:rPr>
                <w:color w:val="000000"/>
                <w:kern w:val="0"/>
                <w:sz w:val="24"/>
                <w:szCs w:val="24"/>
              </w:rPr>
              <w:t>指数收益率</w:t>
            </w:r>
            <w:r w:rsidRPr="00232B03">
              <w:rPr>
                <w:color w:val="000000"/>
                <w:kern w:val="0"/>
                <w:sz w:val="24"/>
                <w:szCs w:val="24"/>
              </w:rPr>
              <w:t>+50%×</w:t>
            </w:r>
            <w:r w:rsidRPr="00232B03">
              <w:rPr>
                <w:color w:val="000000"/>
                <w:kern w:val="0"/>
                <w:sz w:val="24"/>
                <w:szCs w:val="24"/>
              </w:rPr>
              <w:t>中债新综合总财富指数收益率</w:t>
            </w:r>
            <w:r w:rsidRPr="00232B03">
              <w:rPr>
                <w:color w:val="000000"/>
                <w:kern w:val="0"/>
                <w:sz w:val="24"/>
                <w:szCs w:val="24"/>
              </w:rPr>
              <w:t>+5%×</w:t>
            </w:r>
            <w:r w:rsidRPr="00232B03">
              <w:rPr>
                <w:color w:val="000000"/>
                <w:kern w:val="0"/>
                <w:sz w:val="24"/>
                <w:szCs w:val="24"/>
              </w:rPr>
              <w:t>活期存款利率；</w:t>
            </w:r>
            <w:r w:rsidRPr="00232B03">
              <w:rPr>
                <w:color w:val="000000"/>
                <w:kern w:val="0"/>
                <w:sz w:val="24"/>
                <w:szCs w:val="24"/>
              </w:rPr>
              <w:t>2029</w:t>
            </w:r>
            <w:r w:rsidRPr="00232B03">
              <w:rPr>
                <w:color w:val="000000"/>
                <w:kern w:val="0"/>
                <w:sz w:val="24"/>
                <w:szCs w:val="24"/>
              </w:rPr>
              <w:t>年</w:t>
            </w:r>
            <w:r w:rsidRPr="00232B03">
              <w:rPr>
                <w:color w:val="000000"/>
                <w:kern w:val="0"/>
                <w:sz w:val="24"/>
                <w:szCs w:val="24"/>
              </w:rPr>
              <w:t>1</w:t>
            </w:r>
            <w:r w:rsidRPr="00232B03">
              <w:rPr>
                <w:color w:val="000000"/>
                <w:kern w:val="0"/>
                <w:sz w:val="24"/>
                <w:szCs w:val="24"/>
              </w:rPr>
              <w:t>月</w:t>
            </w:r>
            <w:r w:rsidRPr="00232B03">
              <w:rPr>
                <w:color w:val="000000"/>
                <w:kern w:val="0"/>
                <w:sz w:val="24"/>
                <w:szCs w:val="24"/>
              </w:rPr>
              <w:t>1</w:t>
            </w:r>
            <w:r w:rsidRPr="00232B03">
              <w:rPr>
                <w:color w:val="000000"/>
                <w:kern w:val="0"/>
                <w:sz w:val="24"/>
                <w:szCs w:val="24"/>
              </w:rPr>
              <w:t>日至</w:t>
            </w:r>
            <w:r w:rsidRPr="00232B03">
              <w:rPr>
                <w:color w:val="000000"/>
                <w:kern w:val="0"/>
                <w:sz w:val="24"/>
                <w:szCs w:val="24"/>
              </w:rPr>
              <w:t>2033</w:t>
            </w:r>
            <w:r w:rsidRPr="00232B03">
              <w:rPr>
                <w:color w:val="000000"/>
                <w:kern w:val="0"/>
                <w:sz w:val="24"/>
                <w:szCs w:val="24"/>
              </w:rPr>
              <w:t>年</w:t>
            </w:r>
            <w:r w:rsidRPr="00232B03">
              <w:rPr>
                <w:color w:val="000000"/>
                <w:kern w:val="0"/>
                <w:sz w:val="24"/>
                <w:szCs w:val="24"/>
              </w:rPr>
              <w:t>12</w:t>
            </w:r>
            <w:r w:rsidRPr="00232B03">
              <w:rPr>
                <w:color w:val="000000"/>
                <w:kern w:val="0"/>
                <w:sz w:val="24"/>
                <w:szCs w:val="24"/>
              </w:rPr>
              <w:t>月</w:t>
            </w:r>
            <w:r w:rsidRPr="00232B03">
              <w:rPr>
                <w:color w:val="000000"/>
                <w:kern w:val="0"/>
                <w:sz w:val="24"/>
                <w:szCs w:val="24"/>
              </w:rPr>
              <w:t>31</w:t>
            </w:r>
            <w:r w:rsidRPr="00232B03">
              <w:rPr>
                <w:color w:val="000000"/>
                <w:kern w:val="0"/>
                <w:sz w:val="24"/>
                <w:szCs w:val="24"/>
              </w:rPr>
              <w:t>日：</w:t>
            </w:r>
            <w:r w:rsidRPr="00232B03">
              <w:rPr>
                <w:color w:val="000000"/>
                <w:kern w:val="0"/>
                <w:sz w:val="24"/>
                <w:szCs w:val="24"/>
              </w:rPr>
              <w:t>40%×</w:t>
            </w:r>
            <w:r w:rsidRPr="00232B03">
              <w:rPr>
                <w:color w:val="000000"/>
                <w:kern w:val="0"/>
                <w:sz w:val="24"/>
                <w:szCs w:val="24"/>
              </w:rPr>
              <w:t>沪深</w:t>
            </w:r>
            <w:r w:rsidRPr="00232B03">
              <w:rPr>
                <w:color w:val="000000"/>
                <w:kern w:val="0"/>
                <w:sz w:val="24"/>
                <w:szCs w:val="24"/>
              </w:rPr>
              <w:t>300</w:t>
            </w:r>
            <w:r w:rsidRPr="00232B03">
              <w:rPr>
                <w:color w:val="000000"/>
                <w:kern w:val="0"/>
                <w:sz w:val="24"/>
                <w:szCs w:val="24"/>
              </w:rPr>
              <w:t>指数收益率</w:t>
            </w:r>
            <w:r w:rsidRPr="00232B03">
              <w:rPr>
                <w:color w:val="000000"/>
                <w:kern w:val="0"/>
                <w:sz w:val="24"/>
                <w:szCs w:val="24"/>
              </w:rPr>
              <w:t>+55%×</w:t>
            </w:r>
            <w:r w:rsidRPr="00232B03">
              <w:rPr>
                <w:color w:val="000000"/>
                <w:kern w:val="0"/>
                <w:sz w:val="24"/>
                <w:szCs w:val="24"/>
              </w:rPr>
              <w:t>中债新综合总财富指数收益率</w:t>
            </w:r>
            <w:r w:rsidRPr="00232B03">
              <w:rPr>
                <w:color w:val="000000"/>
                <w:kern w:val="0"/>
                <w:sz w:val="24"/>
                <w:szCs w:val="24"/>
              </w:rPr>
              <w:t>+5%×</w:t>
            </w:r>
            <w:r w:rsidRPr="00232B03">
              <w:rPr>
                <w:color w:val="000000"/>
                <w:kern w:val="0"/>
                <w:sz w:val="24"/>
                <w:szCs w:val="24"/>
              </w:rPr>
              <w:t>活期存款利率；</w:t>
            </w:r>
            <w:r w:rsidRPr="00232B03">
              <w:rPr>
                <w:color w:val="000000"/>
                <w:kern w:val="0"/>
                <w:sz w:val="24"/>
                <w:szCs w:val="24"/>
              </w:rPr>
              <w:t>2034</w:t>
            </w:r>
            <w:r w:rsidRPr="00232B03">
              <w:rPr>
                <w:color w:val="000000"/>
                <w:kern w:val="0"/>
                <w:sz w:val="24"/>
                <w:szCs w:val="24"/>
              </w:rPr>
              <w:t>年</w:t>
            </w:r>
            <w:r w:rsidRPr="00232B03">
              <w:rPr>
                <w:color w:val="000000"/>
                <w:kern w:val="0"/>
                <w:sz w:val="24"/>
                <w:szCs w:val="24"/>
              </w:rPr>
              <w:t>1</w:t>
            </w:r>
            <w:r w:rsidRPr="00232B03">
              <w:rPr>
                <w:color w:val="000000"/>
                <w:kern w:val="0"/>
                <w:sz w:val="24"/>
                <w:szCs w:val="24"/>
              </w:rPr>
              <w:t>月</w:t>
            </w:r>
            <w:r w:rsidRPr="00232B03">
              <w:rPr>
                <w:color w:val="000000"/>
                <w:kern w:val="0"/>
                <w:sz w:val="24"/>
                <w:szCs w:val="24"/>
              </w:rPr>
              <w:t>1</w:t>
            </w:r>
            <w:r w:rsidRPr="00232B03">
              <w:rPr>
                <w:color w:val="000000"/>
                <w:kern w:val="0"/>
                <w:sz w:val="24"/>
                <w:szCs w:val="24"/>
              </w:rPr>
              <w:t>日至</w:t>
            </w:r>
            <w:r w:rsidRPr="00232B03">
              <w:rPr>
                <w:color w:val="000000"/>
                <w:kern w:val="0"/>
                <w:sz w:val="24"/>
                <w:szCs w:val="24"/>
              </w:rPr>
              <w:t>2038</w:t>
            </w:r>
            <w:r w:rsidRPr="00232B03">
              <w:rPr>
                <w:color w:val="000000"/>
                <w:kern w:val="0"/>
                <w:sz w:val="24"/>
                <w:szCs w:val="24"/>
              </w:rPr>
              <w:t>年</w:t>
            </w:r>
            <w:r w:rsidRPr="00232B03">
              <w:rPr>
                <w:color w:val="000000"/>
                <w:kern w:val="0"/>
                <w:sz w:val="24"/>
                <w:szCs w:val="24"/>
              </w:rPr>
              <w:t>12</w:t>
            </w:r>
            <w:r w:rsidRPr="00232B03">
              <w:rPr>
                <w:color w:val="000000"/>
                <w:kern w:val="0"/>
                <w:sz w:val="24"/>
                <w:szCs w:val="24"/>
              </w:rPr>
              <w:t>月</w:t>
            </w:r>
            <w:r w:rsidRPr="00232B03">
              <w:rPr>
                <w:color w:val="000000"/>
                <w:kern w:val="0"/>
                <w:sz w:val="24"/>
                <w:szCs w:val="24"/>
              </w:rPr>
              <w:t>31</w:t>
            </w:r>
            <w:r w:rsidRPr="00232B03">
              <w:rPr>
                <w:color w:val="000000"/>
                <w:kern w:val="0"/>
                <w:sz w:val="24"/>
                <w:szCs w:val="24"/>
              </w:rPr>
              <w:t>日：</w:t>
            </w:r>
            <w:r w:rsidRPr="00232B03">
              <w:rPr>
                <w:color w:val="000000"/>
                <w:kern w:val="0"/>
                <w:sz w:val="24"/>
                <w:szCs w:val="24"/>
              </w:rPr>
              <w:t>30%×</w:t>
            </w:r>
            <w:r w:rsidRPr="00232B03">
              <w:rPr>
                <w:color w:val="000000"/>
                <w:kern w:val="0"/>
                <w:sz w:val="24"/>
                <w:szCs w:val="24"/>
              </w:rPr>
              <w:t>沪深</w:t>
            </w:r>
            <w:r w:rsidRPr="00232B03">
              <w:rPr>
                <w:color w:val="000000"/>
                <w:kern w:val="0"/>
                <w:sz w:val="24"/>
                <w:szCs w:val="24"/>
              </w:rPr>
              <w:t>300</w:t>
            </w:r>
            <w:r w:rsidRPr="00232B03">
              <w:rPr>
                <w:color w:val="000000"/>
                <w:kern w:val="0"/>
                <w:sz w:val="24"/>
                <w:szCs w:val="24"/>
              </w:rPr>
              <w:t>指数收益率</w:t>
            </w:r>
            <w:r w:rsidRPr="00232B03">
              <w:rPr>
                <w:color w:val="000000"/>
                <w:kern w:val="0"/>
                <w:sz w:val="24"/>
                <w:szCs w:val="24"/>
              </w:rPr>
              <w:t>+65%×</w:t>
            </w:r>
            <w:r w:rsidRPr="00232B03">
              <w:rPr>
                <w:color w:val="000000"/>
                <w:kern w:val="0"/>
                <w:sz w:val="24"/>
                <w:szCs w:val="24"/>
              </w:rPr>
              <w:t>中债新综合总财富指数收益率</w:t>
            </w:r>
            <w:r w:rsidRPr="00232B03">
              <w:rPr>
                <w:color w:val="000000"/>
                <w:kern w:val="0"/>
                <w:sz w:val="24"/>
                <w:szCs w:val="24"/>
              </w:rPr>
              <w:t>+5%×</w:t>
            </w:r>
            <w:r w:rsidRPr="00232B03">
              <w:rPr>
                <w:color w:val="000000"/>
                <w:kern w:val="0"/>
                <w:sz w:val="24"/>
                <w:szCs w:val="24"/>
              </w:rPr>
              <w:t>活期存款利率；</w:t>
            </w:r>
            <w:r w:rsidRPr="00232B03">
              <w:rPr>
                <w:color w:val="000000"/>
                <w:kern w:val="0"/>
                <w:sz w:val="24"/>
                <w:szCs w:val="24"/>
              </w:rPr>
              <w:t>2039</w:t>
            </w:r>
            <w:r w:rsidRPr="00232B03">
              <w:rPr>
                <w:color w:val="000000"/>
                <w:kern w:val="0"/>
                <w:sz w:val="24"/>
                <w:szCs w:val="24"/>
              </w:rPr>
              <w:t>年</w:t>
            </w:r>
            <w:r w:rsidRPr="00232B03">
              <w:rPr>
                <w:color w:val="000000"/>
                <w:kern w:val="0"/>
                <w:sz w:val="24"/>
                <w:szCs w:val="24"/>
              </w:rPr>
              <w:t>1</w:t>
            </w:r>
            <w:r w:rsidRPr="00232B03">
              <w:rPr>
                <w:color w:val="000000"/>
                <w:kern w:val="0"/>
                <w:sz w:val="24"/>
                <w:szCs w:val="24"/>
              </w:rPr>
              <w:t>月</w:t>
            </w:r>
            <w:r w:rsidRPr="00232B03">
              <w:rPr>
                <w:color w:val="000000"/>
                <w:kern w:val="0"/>
                <w:sz w:val="24"/>
                <w:szCs w:val="24"/>
              </w:rPr>
              <w:t>1</w:t>
            </w:r>
            <w:r w:rsidRPr="00232B03">
              <w:rPr>
                <w:color w:val="000000"/>
                <w:kern w:val="0"/>
                <w:sz w:val="24"/>
                <w:szCs w:val="24"/>
              </w:rPr>
              <w:t>日至</w:t>
            </w:r>
            <w:r w:rsidRPr="00232B03">
              <w:rPr>
                <w:color w:val="000000"/>
                <w:kern w:val="0"/>
                <w:sz w:val="24"/>
                <w:szCs w:val="24"/>
              </w:rPr>
              <w:t>2043</w:t>
            </w:r>
            <w:r w:rsidRPr="00232B03">
              <w:rPr>
                <w:color w:val="000000"/>
                <w:kern w:val="0"/>
                <w:sz w:val="24"/>
                <w:szCs w:val="24"/>
              </w:rPr>
              <w:t>年</w:t>
            </w:r>
            <w:r w:rsidRPr="00232B03">
              <w:rPr>
                <w:color w:val="000000"/>
                <w:kern w:val="0"/>
                <w:sz w:val="24"/>
                <w:szCs w:val="24"/>
              </w:rPr>
              <w:t>12</w:t>
            </w:r>
            <w:r w:rsidRPr="00232B03">
              <w:rPr>
                <w:color w:val="000000"/>
                <w:kern w:val="0"/>
                <w:sz w:val="24"/>
                <w:szCs w:val="24"/>
              </w:rPr>
              <w:t>月</w:t>
            </w:r>
            <w:r w:rsidRPr="00232B03">
              <w:rPr>
                <w:color w:val="000000"/>
                <w:kern w:val="0"/>
                <w:sz w:val="24"/>
                <w:szCs w:val="24"/>
              </w:rPr>
              <w:t>31</w:t>
            </w:r>
            <w:r w:rsidRPr="00232B03">
              <w:rPr>
                <w:color w:val="000000"/>
                <w:kern w:val="0"/>
                <w:sz w:val="24"/>
                <w:szCs w:val="24"/>
              </w:rPr>
              <w:t>日：</w:t>
            </w:r>
            <w:r w:rsidRPr="00232B03">
              <w:rPr>
                <w:color w:val="000000"/>
                <w:kern w:val="0"/>
                <w:sz w:val="24"/>
                <w:szCs w:val="24"/>
              </w:rPr>
              <w:t>20%×</w:t>
            </w:r>
            <w:r w:rsidRPr="00232B03">
              <w:rPr>
                <w:color w:val="000000"/>
                <w:kern w:val="0"/>
                <w:sz w:val="24"/>
                <w:szCs w:val="24"/>
              </w:rPr>
              <w:t>沪深</w:t>
            </w:r>
            <w:r w:rsidRPr="00232B03">
              <w:rPr>
                <w:color w:val="000000"/>
                <w:kern w:val="0"/>
                <w:sz w:val="24"/>
                <w:szCs w:val="24"/>
              </w:rPr>
              <w:t>300</w:t>
            </w:r>
            <w:r w:rsidRPr="00232B03">
              <w:rPr>
                <w:color w:val="000000"/>
                <w:kern w:val="0"/>
                <w:sz w:val="24"/>
                <w:szCs w:val="24"/>
              </w:rPr>
              <w:t>指数收益率</w:t>
            </w:r>
            <w:r w:rsidRPr="00232B03">
              <w:rPr>
                <w:color w:val="000000"/>
                <w:kern w:val="0"/>
                <w:sz w:val="24"/>
                <w:szCs w:val="24"/>
              </w:rPr>
              <w:t>+75%×</w:t>
            </w:r>
            <w:r w:rsidRPr="00232B03">
              <w:rPr>
                <w:color w:val="000000"/>
                <w:kern w:val="0"/>
                <w:sz w:val="24"/>
                <w:szCs w:val="24"/>
              </w:rPr>
              <w:t>中债新综合总财富指数收益率</w:t>
            </w:r>
            <w:r w:rsidRPr="00232B03">
              <w:rPr>
                <w:color w:val="000000"/>
                <w:kern w:val="0"/>
                <w:sz w:val="24"/>
                <w:szCs w:val="24"/>
              </w:rPr>
              <w:t>+5%×</w:t>
            </w:r>
            <w:r w:rsidRPr="00232B03">
              <w:rPr>
                <w:color w:val="000000"/>
                <w:kern w:val="0"/>
                <w:sz w:val="24"/>
                <w:szCs w:val="24"/>
              </w:rPr>
              <w:t>活期存款利率。</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风险收益特征</w:t>
            </w:r>
          </w:p>
        </w:tc>
        <w:tc>
          <w:tcPr>
            <w:tcW w:w="5479" w:type="dxa"/>
          </w:tcPr>
          <w:p w:rsidR="00BB3516" w:rsidRDefault="00AA1887">
            <w:pPr>
              <w:adjustRightInd w:val="0"/>
              <w:spacing w:before="29" w:line="360" w:lineRule="auto"/>
              <w:ind w:left="17"/>
              <w:jc w:val="left"/>
              <w:rPr>
                <w:color w:val="000000"/>
                <w:sz w:val="24"/>
                <w:szCs w:val="24"/>
              </w:rPr>
            </w:pPr>
            <w:r>
              <w:rPr>
                <w:color w:val="000000"/>
                <w:kern w:val="0"/>
                <w:sz w:val="24"/>
                <w:szCs w:val="24"/>
              </w:rPr>
              <w:t>本基金属于采用目标日期策略的基金中基金，</w:t>
            </w:r>
            <w:r>
              <w:rPr>
                <w:color w:val="000000"/>
                <w:kern w:val="0"/>
                <w:sz w:val="24"/>
                <w:szCs w:val="24"/>
              </w:rPr>
              <w:t>2043</w:t>
            </w:r>
            <w:r>
              <w:rPr>
                <w:color w:val="000000"/>
                <w:kern w:val="0"/>
                <w:sz w:val="24"/>
                <w:szCs w:val="24"/>
              </w:rPr>
              <w:t>年</w:t>
            </w:r>
            <w:r>
              <w:rPr>
                <w:color w:val="000000"/>
                <w:kern w:val="0"/>
                <w:sz w:val="24"/>
                <w:szCs w:val="24"/>
              </w:rPr>
              <w:t>12</w:t>
            </w:r>
            <w:r>
              <w:rPr>
                <w:color w:val="000000"/>
                <w:kern w:val="0"/>
                <w:sz w:val="24"/>
                <w:szCs w:val="24"/>
              </w:rPr>
              <w:t>月</w:t>
            </w:r>
            <w:r>
              <w:rPr>
                <w:color w:val="000000"/>
                <w:kern w:val="0"/>
                <w:sz w:val="24"/>
                <w:szCs w:val="24"/>
              </w:rPr>
              <w:t>31</w:t>
            </w:r>
            <w:r>
              <w:rPr>
                <w:color w:val="000000"/>
                <w:kern w:val="0"/>
                <w:sz w:val="24"/>
                <w:szCs w:val="24"/>
              </w:rPr>
              <w:t>日为本基金的目标日期。从基金合同生效日至目标日期止，本基金的预期风险与预期收益水平将随着时间的流逝逐步降低。</w:t>
            </w:r>
          </w:p>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基金合同生效日至</w:t>
            </w:r>
            <w:r w:rsidRPr="00232B03">
              <w:rPr>
                <w:color w:val="000000"/>
                <w:kern w:val="0"/>
                <w:sz w:val="24"/>
                <w:szCs w:val="24"/>
              </w:rPr>
              <w:t>2043</w:t>
            </w:r>
            <w:r w:rsidRPr="00232B03">
              <w:rPr>
                <w:color w:val="000000"/>
                <w:kern w:val="0"/>
                <w:sz w:val="24"/>
                <w:szCs w:val="24"/>
              </w:rPr>
              <w:t>年</w:t>
            </w:r>
            <w:r w:rsidRPr="00232B03">
              <w:rPr>
                <w:color w:val="000000"/>
                <w:kern w:val="0"/>
                <w:sz w:val="24"/>
                <w:szCs w:val="24"/>
              </w:rPr>
              <w:t>12</w:t>
            </w:r>
            <w:r w:rsidRPr="00232B03">
              <w:rPr>
                <w:color w:val="000000"/>
                <w:kern w:val="0"/>
                <w:sz w:val="24"/>
                <w:szCs w:val="24"/>
              </w:rPr>
              <w:t>月</w:t>
            </w:r>
            <w:r w:rsidRPr="00232B03">
              <w:rPr>
                <w:color w:val="000000"/>
                <w:kern w:val="0"/>
                <w:sz w:val="24"/>
                <w:szCs w:val="24"/>
              </w:rPr>
              <w:t>31</w:t>
            </w:r>
            <w:r w:rsidRPr="00232B03">
              <w:rPr>
                <w:color w:val="000000"/>
                <w:kern w:val="0"/>
                <w:sz w:val="24"/>
                <w:szCs w:val="24"/>
              </w:rPr>
              <w:t>日，理论上本基金的预期风险与预期收益水平低于股票型基金、股票型基金中基金（</w:t>
            </w:r>
            <w:r w:rsidRPr="00232B03">
              <w:rPr>
                <w:color w:val="000000"/>
                <w:kern w:val="0"/>
                <w:sz w:val="24"/>
                <w:szCs w:val="24"/>
              </w:rPr>
              <w:t>FOF</w:t>
            </w:r>
            <w:r w:rsidRPr="00232B03">
              <w:rPr>
                <w:color w:val="000000"/>
                <w:kern w:val="0"/>
                <w:sz w:val="24"/>
                <w:szCs w:val="24"/>
              </w:rPr>
              <w:t>），高于债券型基金、债券型基金中基金（</w:t>
            </w:r>
            <w:r w:rsidRPr="00232B03">
              <w:rPr>
                <w:color w:val="000000"/>
                <w:kern w:val="0"/>
                <w:sz w:val="24"/>
                <w:szCs w:val="24"/>
              </w:rPr>
              <w:t>FOF</w:t>
            </w:r>
            <w:r w:rsidRPr="00232B03">
              <w:rPr>
                <w:color w:val="000000"/>
                <w:kern w:val="0"/>
                <w:sz w:val="24"/>
                <w:szCs w:val="24"/>
              </w:rPr>
              <w:t>）、货币市场基金和货币型基金中基金（</w:t>
            </w:r>
            <w:r w:rsidRPr="00232B03">
              <w:rPr>
                <w:color w:val="000000"/>
                <w:kern w:val="0"/>
                <w:sz w:val="24"/>
                <w:szCs w:val="24"/>
              </w:rPr>
              <w:t>FOF</w:t>
            </w:r>
            <w:r w:rsidRPr="00232B03">
              <w:rPr>
                <w:color w:val="000000"/>
                <w:kern w:val="0"/>
                <w:sz w:val="24"/>
                <w:szCs w:val="24"/>
              </w:rPr>
              <w:t>）。</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中国建设银行股份有限公司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62420E" w:rsidRPr="006506EF" w:rsidRDefault="0062420E" w:rsidP="0062420E">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62420E" w:rsidRPr="006506EF" w:rsidTr="00C3442A">
        <w:tc>
          <w:tcPr>
            <w:tcW w:w="3402" w:type="dxa"/>
            <w:vAlign w:val="center"/>
          </w:tcPr>
          <w:p w:rsidR="0062420E" w:rsidRPr="006506EF" w:rsidRDefault="0062420E"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62420E" w:rsidRPr="006506EF" w:rsidRDefault="0062420E" w:rsidP="00C3442A">
            <w:pPr>
              <w:adjustRightInd w:val="0"/>
              <w:spacing w:before="29" w:line="360" w:lineRule="auto"/>
              <w:ind w:left="17"/>
              <w:jc w:val="center"/>
              <w:rPr>
                <w:color w:val="000000"/>
                <w:sz w:val="24"/>
              </w:rPr>
            </w:pPr>
            <w:r w:rsidRPr="006506EF">
              <w:rPr>
                <w:color w:val="000000"/>
                <w:sz w:val="24"/>
              </w:rPr>
              <w:t>报告期</w:t>
            </w:r>
          </w:p>
          <w:p w:rsidR="0062420E" w:rsidRPr="006506EF" w:rsidRDefault="0062420E"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62420E" w:rsidRPr="006506EF" w:rsidRDefault="0062420E" w:rsidP="00C3442A">
            <w:pPr>
              <w:adjustRightInd w:val="0"/>
              <w:spacing w:before="29" w:line="360" w:lineRule="auto"/>
              <w:ind w:left="17"/>
              <w:jc w:val="center"/>
              <w:rPr>
                <w:color w:val="000000"/>
                <w:sz w:val="24"/>
              </w:rPr>
            </w:pPr>
            <w:r w:rsidRPr="006506EF">
              <w:rPr>
                <w:color w:val="000000"/>
                <w:sz w:val="24"/>
              </w:rPr>
              <w:t>上期金额</w:t>
            </w:r>
          </w:p>
        </w:tc>
      </w:tr>
      <w:tr w:rsidR="0062420E" w:rsidRPr="006506EF" w:rsidTr="00C3442A">
        <w:tc>
          <w:tcPr>
            <w:tcW w:w="3402" w:type="dxa"/>
          </w:tcPr>
          <w:p w:rsidR="0062420E" w:rsidRPr="006506EF" w:rsidRDefault="0062420E"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62420E" w:rsidRPr="006506EF" w:rsidRDefault="0062420E" w:rsidP="00C3442A">
            <w:pPr>
              <w:adjustRightInd w:val="0"/>
              <w:spacing w:before="29" w:line="360" w:lineRule="auto"/>
              <w:ind w:left="17"/>
              <w:jc w:val="right"/>
              <w:rPr>
                <w:color w:val="000000"/>
                <w:sz w:val="24"/>
              </w:rPr>
            </w:pPr>
            <w:r w:rsidRPr="006506EF">
              <w:rPr>
                <w:color w:val="000000"/>
                <w:sz w:val="24"/>
              </w:rPr>
              <w:t>5,139,479.27</w:t>
            </w:r>
          </w:p>
        </w:tc>
        <w:tc>
          <w:tcPr>
            <w:tcW w:w="2410" w:type="dxa"/>
            <w:hMerge/>
            <w:vAlign w:val="bottom"/>
          </w:tcPr>
          <w:p w:rsidR="0062420E" w:rsidRPr="006506EF" w:rsidRDefault="0062420E" w:rsidP="00C3442A">
            <w:pPr>
              <w:adjustRightInd w:val="0"/>
              <w:spacing w:before="29" w:line="360" w:lineRule="auto"/>
              <w:ind w:left="17"/>
              <w:jc w:val="right"/>
              <w:rPr>
                <w:color w:val="000000"/>
                <w:sz w:val="24"/>
              </w:rPr>
            </w:pPr>
            <w:r w:rsidRPr="006506EF">
              <w:rPr>
                <w:color w:val="000000"/>
                <w:sz w:val="24"/>
              </w:rPr>
              <w:t>-</w:t>
            </w:r>
          </w:p>
        </w:tc>
      </w:tr>
      <w:tr w:rsidR="0062420E" w:rsidRPr="006506EF" w:rsidTr="00C3442A">
        <w:tc>
          <w:tcPr>
            <w:tcW w:w="3402" w:type="dxa"/>
          </w:tcPr>
          <w:p w:rsidR="0062420E" w:rsidRPr="006506EF" w:rsidRDefault="0062420E" w:rsidP="00C3442A">
            <w:pPr>
              <w:adjustRightInd w:val="0"/>
              <w:spacing w:before="29" w:line="360" w:lineRule="auto"/>
              <w:ind w:left="17"/>
              <w:rPr>
                <w:kern w:val="0"/>
                <w:sz w:val="24"/>
              </w:rPr>
            </w:pPr>
            <w:r w:rsidRPr="006506EF">
              <w:rPr>
                <w:kern w:val="0"/>
                <w:sz w:val="24"/>
              </w:rPr>
              <w:lastRenderedPageBreak/>
              <w:t>2.</w:t>
            </w:r>
            <w:r w:rsidRPr="006506EF">
              <w:rPr>
                <w:kern w:val="0"/>
                <w:sz w:val="24"/>
              </w:rPr>
              <w:t>本期利润</w:t>
            </w:r>
          </w:p>
        </w:tc>
        <w:tc>
          <w:tcPr>
            <w:tcW w:w="4962" w:type="dxa"/>
            <w:hMerge w:val="restart"/>
            <w:vAlign w:val="bottom"/>
          </w:tcPr>
          <w:p w:rsidR="0062420E" w:rsidRPr="006506EF" w:rsidRDefault="0062420E" w:rsidP="00C3442A">
            <w:pPr>
              <w:adjustRightInd w:val="0"/>
              <w:spacing w:before="29" w:line="360" w:lineRule="auto"/>
              <w:ind w:left="17"/>
              <w:jc w:val="right"/>
              <w:rPr>
                <w:color w:val="000000"/>
                <w:sz w:val="24"/>
              </w:rPr>
            </w:pPr>
            <w:r w:rsidRPr="006506EF">
              <w:rPr>
                <w:color w:val="000000"/>
                <w:sz w:val="24"/>
              </w:rPr>
              <w:t>8,193,872.29</w:t>
            </w:r>
          </w:p>
        </w:tc>
        <w:tc>
          <w:tcPr>
            <w:tcW w:w="2410" w:type="dxa"/>
            <w:hMerge/>
            <w:vAlign w:val="bottom"/>
          </w:tcPr>
          <w:p w:rsidR="0062420E" w:rsidRPr="006506EF" w:rsidRDefault="0062420E" w:rsidP="00C3442A">
            <w:pPr>
              <w:adjustRightInd w:val="0"/>
              <w:spacing w:before="29" w:line="360" w:lineRule="auto"/>
              <w:ind w:left="17"/>
              <w:jc w:val="right"/>
              <w:rPr>
                <w:color w:val="000000"/>
                <w:sz w:val="24"/>
              </w:rPr>
            </w:pPr>
            <w:r w:rsidRPr="006506EF">
              <w:rPr>
                <w:color w:val="000000"/>
                <w:sz w:val="24"/>
              </w:rPr>
              <w:t>-</w:t>
            </w:r>
          </w:p>
        </w:tc>
      </w:tr>
      <w:tr w:rsidR="0062420E" w:rsidRPr="006506EF" w:rsidTr="00C3442A">
        <w:tc>
          <w:tcPr>
            <w:tcW w:w="3402" w:type="dxa"/>
          </w:tcPr>
          <w:p w:rsidR="0062420E" w:rsidRPr="006506EF" w:rsidRDefault="0062420E"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62420E" w:rsidRPr="006506EF" w:rsidRDefault="0062420E" w:rsidP="00C3442A">
            <w:pPr>
              <w:adjustRightInd w:val="0"/>
              <w:spacing w:before="29" w:line="360" w:lineRule="auto"/>
              <w:ind w:left="17"/>
              <w:jc w:val="right"/>
              <w:rPr>
                <w:color w:val="000000"/>
                <w:sz w:val="24"/>
              </w:rPr>
            </w:pPr>
            <w:r w:rsidRPr="006506EF">
              <w:rPr>
                <w:color w:val="000000"/>
                <w:sz w:val="24"/>
              </w:rPr>
              <w:t>0.0333</w:t>
            </w:r>
          </w:p>
        </w:tc>
        <w:tc>
          <w:tcPr>
            <w:tcW w:w="2410" w:type="dxa"/>
            <w:hMerge/>
            <w:vAlign w:val="bottom"/>
          </w:tcPr>
          <w:p w:rsidR="0062420E" w:rsidRPr="006506EF" w:rsidRDefault="0062420E" w:rsidP="00C3442A">
            <w:pPr>
              <w:adjustRightInd w:val="0"/>
              <w:spacing w:before="29" w:line="360" w:lineRule="auto"/>
              <w:ind w:left="17"/>
              <w:jc w:val="right"/>
              <w:rPr>
                <w:color w:val="000000"/>
                <w:sz w:val="24"/>
              </w:rPr>
            </w:pPr>
            <w:r w:rsidRPr="006506EF">
              <w:rPr>
                <w:color w:val="000000"/>
                <w:sz w:val="24"/>
              </w:rPr>
              <w:t>-</w:t>
            </w:r>
          </w:p>
        </w:tc>
      </w:tr>
      <w:tr w:rsidR="0062420E" w:rsidRPr="006506EF" w:rsidTr="00C3442A">
        <w:tc>
          <w:tcPr>
            <w:tcW w:w="3402" w:type="dxa"/>
          </w:tcPr>
          <w:p w:rsidR="0062420E" w:rsidRPr="006506EF" w:rsidRDefault="0062420E"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62420E" w:rsidRPr="006506EF" w:rsidRDefault="0062420E" w:rsidP="00C3442A">
            <w:pPr>
              <w:adjustRightInd w:val="0"/>
              <w:spacing w:before="29" w:line="360" w:lineRule="auto"/>
              <w:ind w:left="17"/>
              <w:jc w:val="right"/>
              <w:rPr>
                <w:color w:val="000000"/>
                <w:sz w:val="24"/>
              </w:rPr>
            </w:pPr>
            <w:r w:rsidRPr="006506EF">
              <w:rPr>
                <w:color w:val="000000"/>
                <w:sz w:val="24"/>
              </w:rPr>
              <w:t>266,089,512.02</w:t>
            </w:r>
          </w:p>
        </w:tc>
        <w:tc>
          <w:tcPr>
            <w:tcW w:w="2410" w:type="dxa"/>
            <w:hMerge/>
          </w:tcPr>
          <w:p w:rsidR="0062420E" w:rsidRPr="006506EF" w:rsidRDefault="0062420E" w:rsidP="00C3442A">
            <w:pPr>
              <w:adjustRightInd w:val="0"/>
              <w:spacing w:before="29" w:line="360" w:lineRule="auto"/>
              <w:ind w:left="17"/>
              <w:jc w:val="right"/>
              <w:rPr>
                <w:color w:val="000000"/>
                <w:sz w:val="24"/>
              </w:rPr>
            </w:pPr>
            <w:r w:rsidRPr="006506EF">
              <w:rPr>
                <w:color w:val="000000"/>
                <w:sz w:val="24"/>
              </w:rPr>
              <w:t>-</w:t>
            </w:r>
          </w:p>
        </w:tc>
      </w:tr>
      <w:tr w:rsidR="0062420E" w:rsidRPr="006506EF" w:rsidTr="00C3442A">
        <w:trPr>
          <w:trHeight w:val="158"/>
        </w:trPr>
        <w:tc>
          <w:tcPr>
            <w:tcW w:w="3402" w:type="dxa"/>
          </w:tcPr>
          <w:p w:rsidR="0062420E" w:rsidRPr="006506EF" w:rsidRDefault="0062420E"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62420E" w:rsidRPr="006506EF" w:rsidRDefault="0062420E" w:rsidP="00C3442A">
            <w:pPr>
              <w:adjustRightInd w:val="0"/>
              <w:spacing w:before="29" w:line="360" w:lineRule="auto"/>
              <w:ind w:left="17"/>
              <w:jc w:val="right"/>
              <w:rPr>
                <w:color w:val="000000"/>
                <w:sz w:val="24"/>
              </w:rPr>
            </w:pPr>
            <w:r w:rsidRPr="006506EF">
              <w:rPr>
                <w:color w:val="000000"/>
                <w:sz w:val="24"/>
              </w:rPr>
              <w:t>1.0675</w:t>
            </w:r>
          </w:p>
        </w:tc>
        <w:tc>
          <w:tcPr>
            <w:tcW w:w="2410" w:type="dxa"/>
            <w:hMerge/>
          </w:tcPr>
          <w:p w:rsidR="0062420E" w:rsidRPr="006506EF" w:rsidRDefault="0062420E" w:rsidP="00C3442A">
            <w:pPr>
              <w:adjustRightInd w:val="0"/>
              <w:spacing w:before="29" w:line="360" w:lineRule="auto"/>
              <w:ind w:left="17"/>
              <w:jc w:val="right"/>
              <w:rPr>
                <w:color w:val="000000"/>
                <w:sz w:val="24"/>
              </w:rPr>
            </w:pPr>
            <w:r w:rsidRPr="006506EF">
              <w:rPr>
                <w:color w:val="000000"/>
                <w:sz w:val="24"/>
              </w:rPr>
              <w:t>-</w:t>
            </w:r>
          </w:p>
        </w:tc>
      </w:tr>
    </w:tbl>
    <w:p w:rsidR="00BB3516" w:rsidRDefault="00AA1887">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750D48" w:rsidRPr="00232B03" w:rsidRDefault="0062420E" w:rsidP="00232B03">
      <w:pPr>
        <w:spacing w:line="360" w:lineRule="auto"/>
        <w:ind w:firstLineChars="200" w:firstLine="480"/>
        <w:rPr>
          <w:color w:val="000000"/>
          <w:sz w:val="24"/>
          <w:szCs w:val="24"/>
        </w:rPr>
      </w:pPr>
      <w:r w:rsidRPr="006506EF">
        <w:rPr>
          <w:color w:val="000000"/>
          <w:sz w:val="24"/>
        </w:rPr>
        <w:t>2.</w:t>
      </w:r>
      <w:r w:rsidRPr="006506EF">
        <w:rPr>
          <w:color w:val="000000"/>
          <w:sz w:val="24"/>
        </w:rPr>
        <w:t>本期已实现收益指基金本期利息收入、投资收益、其他收入</w:t>
      </w:r>
      <w:r w:rsidRPr="006506EF">
        <w:rPr>
          <w:color w:val="000000"/>
          <w:sz w:val="24"/>
        </w:rPr>
        <w:t>(</w:t>
      </w:r>
      <w:r w:rsidRPr="006506EF">
        <w:rPr>
          <w:color w:val="000000"/>
          <w:sz w:val="24"/>
        </w:rPr>
        <w:t>不含公允价值变动收益</w:t>
      </w:r>
      <w:r w:rsidRPr="006506EF">
        <w:rPr>
          <w:color w:val="000000"/>
          <w:sz w:val="24"/>
        </w:rPr>
        <w:t>)</w:t>
      </w:r>
      <w:r w:rsidRPr="006506EF">
        <w:rPr>
          <w:color w:val="000000"/>
          <w:sz w:val="24"/>
        </w:rPr>
        <w:t>扣除相关费用后的余额，本期利润为本期已实现收益加上本期公允价值变动收益。</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IsROCDate" w:val="False"/>
          <w:attr w:name="IsLunarDate" w:val="False"/>
          <w:attr w:name="Day" w:val="30"/>
          <w:attr w:name="Month" w:val="12"/>
          <w:attr w:name="Year" w:val="1899"/>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BB3516">
        <w:tc>
          <w:tcPr>
            <w:tcW w:w="1395" w:type="dxa"/>
            <w:vAlign w:val="center"/>
          </w:tcPr>
          <w:p w:rsidR="00BB3516" w:rsidRDefault="00AA1887">
            <w:pPr>
              <w:jc w:val="left"/>
            </w:pPr>
            <w:r>
              <w:rPr>
                <w:color w:val="000000"/>
                <w:kern w:val="0"/>
                <w:sz w:val="24"/>
                <w:szCs w:val="24"/>
              </w:rPr>
              <w:t>过去三个月</w:t>
            </w:r>
          </w:p>
        </w:tc>
        <w:tc>
          <w:tcPr>
            <w:tcW w:w="1092" w:type="dxa"/>
            <w:vAlign w:val="center"/>
          </w:tcPr>
          <w:p w:rsidR="00BB3516" w:rsidRDefault="00AA1887">
            <w:pPr>
              <w:jc w:val="center"/>
            </w:pPr>
            <w:r>
              <w:rPr>
                <w:color w:val="000000"/>
                <w:kern w:val="0"/>
                <w:sz w:val="24"/>
                <w:szCs w:val="24"/>
              </w:rPr>
              <w:t>3.23%</w:t>
            </w:r>
          </w:p>
        </w:tc>
        <w:tc>
          <w:tcPr>
            <w:tcW w:w="1161" w:type="dxa"/>
            <w:vAlign w:val="center"/>
          </w:tcPr>
          <w:p w:rsidR="00BB3516" w:rsidRDefault="00AA1887">
            <w:pPr>
              <w:jc w:val="center"/>
            </w:pPr>
            <w:r>
              <w:rPr>
                <w:color w:val="000000"/>
                <w:kern w:val="0"/>
                <w:sz w:val="24"/>
                <w:szCs w:val="24"/>
              </w:rPr>
              <w:t>0.27%</w:t>
            </w:r>
          </w:p>
        </w:tc>
        <w:tc>
          <w:tcPr>
            <w:tcW w:w="1181" w:type="dxa"/>
            <w:vAlign w:val="center"/>
          </w:tcPr>
          <w:p w:rsidR="00BB3516" w:rsidRDefault="00AA1887">
            <w:pPr>
              <w:jc w:val="center"/>
            </w:pPr>
            <w:r>
              <w:rPr>
                <w:color w:val="000000"/>
                <w:kern w:val="0"/>
                <w:sz w:val="24"/>
                <w:szCs w:val="24"/>
              </w:rPr>
              <w:t>0.48%</w:t>
            </w:r>
          </w:p>
        </w:tc>
        <w:tc>
          <w:tcPr>
            <w:tcW w:w="1188" w:type="dxa"/>
            <w:vAlign w:val="center"/>
          </w:tcPr>
          <w:p w:rsidR="00BB3516" w:rsidRDefault="00AA1887">
            <w:pPr>
              <w:jc w:val="center"/>
            </w:pPr>
            <w:r>
              <w:rPr>
                <w:color w:val="000000"/>
                <w:kern w:val="0"/>
                <w:sz w:val="24"/>
                <w:szCs w:val="24"/>
              </w:rPr>
              <w:t>0.52%</w:t>
            </w:r>
          </w:p>
        </w:tc>
        <w:tc>
          <w:tcPr>
            <w:tcW w:w="1199" w:type="dxa"/>
            <w:vAlign w:val="center"/>
          </w:tcPr>
          <w:p w:rsidR="00BB3516" w:rsidRDefault="00AA1887">
            <w:pPr>
              <w:jc w:val="center"/>
            </w:pPr>
            <w:r>
              <w:rPr>
                <w:color w:val="000000"/>
                <w:kern w:val="0"/>
                <w:sz w:val="24"/>
                <w:szCs w:val="24"/>
              </w:rPr>
              <w:t>2.75%</w:t>
            </w:r>
          </w:p>
        </w:tc>
        <w:tc>
          <w:tcPr>
            <w:tcW w:w="1204" w:type="dxa"/>
            <w:vAlign w:val="center"/>
          </w:tcPr>
          <w:p w:rsidR="00BB3516" w:rsidRDefault="00AA1887">
            <w:pPr>
              <w:jc w:val="center"/>
            </w:pPr>
            <w:r>
              <w:rPr>
                <w:color w:val="000000"/>
                <w:kern w:val="0"/>
                <w:sz w:val="24"/>
                <w:szCs w:val="24"/>
              </w:rPr>
              <w:t>-0.25%</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IsROCDate" w:val="False"/>
          <w:attr w:name="IsLunarDate" w:val="False"/>
          <w:attr w:name="Day" w:val="30"/>
          <w:attr w:name="Month" w:val="12"/>
          <w:attr w:name="Year" w:val="1899"/>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易方达汇诚养老目标日期</w:t>
      </w:r>
      <w:r w:rsidRPr="0074694E">
        <w:rPr>
          <w:color w:val="000000"/>
          <w:sz w:val="24"/>
          <w:szCs w:val="24"/>
        </w:rPr>
        <w:t>2043</w:t>
      </w:r>
      <w:r w:rsidRPr="0074694E">
        <w:rPr>
          <w:color w:val="000000"/>
          <w:sz w:val="24"/>
          <w:szCs w:val="24"/>
        </w:rPr>
        <w:t>三年持有期混合型基金中基金（</w:t>
      </w:r>
      <w:r w:rsidRPr="0074694E">
        <w:rPr>
          <w:color w:val="000000"/>
          <w:sz w:val="24"/>
          <w:szCs w:val="24"/>
        </w:rPr>
        <w:t>FOF</w:t>
      </w:r>
      <w:r w:rsidRPr="0074694E">
        <w:rPr>
          <w:color w:val="000000"/>
          <w:sz w:val="24"/>
          <w:szCs w:val="24"/>
        </w:rPr>
        <w:t>）</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2018</w:t>
      </w:r>
      <w:r w:rsidRPr="0074694E">
        <w:rPr>
          <w:rFonts w:ascii="Times New Roman" w:hAnsi="Times New Roman"/>
          <w:sz w:val="24"/>
          <w:szCs w:val="24"/>
        </w:rPr>
        <w:t>年</w:t>
      </w:r>
      <w:r w:rsidRPr="0074694E">
        <w:rPr>
          <w:rFonts w:ascii="Times New Roman" w:hAnsi="Times New Roman"/>
          <w:sz w:val="24"/>
          <w:szCs w:val="24"/>
        </w:rPr>
        <w:t>12</w:t>
      </w:r>
      <w:r w:rsidRPr="0074694E">
        <w:rPr>
          <w:rFonts w:ascii="Times New Roman" w:hAnsi="Times New Roman"/>
          <w:sz w:val="24"/>
          <w:szCs w:val="24"/>
        </w:rPr>
        <w:t>月</w:t>
      </w:r>
      <w:r w:rsidRPr="0074694E">
        <w:rPr>
          <w:rFonts w:ascii="Times New Roman" w:hAnsi="Times New Roman"/>
          <w:sz w:val="24"/>
          <w:szCs w:val="24"/>
        </w:rPr>
        <w:t>26</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AA1887" w:rsidP="004061AC">
      <w:pPr>
        <w:pStyle w:val="a5"/>
        <w:snapToGrid w:val="0"/>
        <w:spacing w:before="120" w:line="360" w:lineRule="auto"/>
        <w:jc w:val="center"/>
        <w:rPr>
          <w:rFonts w:hAnsi="宋体"/>
          <w:color w:val="000000"/>
          <w:sz w:val="24"/>
          <w:szCs w:val="24"/>
        </w:rPr>
      </w:pPr>
      <w:r>
        <w:rPr>
          <w:rFonts w:hAnsi="宋体"/>
          <w:noProof/>
          <w:color w:val="000000"/>
          <w:sz w:val="24"/>
          <w:szCs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BB3516" w:rsidRDefault="00AA1887">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本基金合同于</w:t>
      </w:r>
      <w:r>
        <w:rPr>
          <w:color w:val="000000"/>
          <w:sz w:val="24"/>
          <w:szCs w:val="24"/>
        </w:rPr>
        <w:t>2018</w:t>
      </w:r>
      <w:r>
        <w:rPr>
          <w:color w:val="000000"/>
          <w:sz w:val="24"/>
          <w:szCs w:val="24"/>
        </w:rPr>
        <w:t>年</w:t>
      </w:r>
      <w:r>
        <w:rPr>
          <w:color w:val="000000"/>
          <w:sz w:val="24"/>
          <w:szCs w:val="24"/>
        </w:rPr>
        <w:t>12</w:t>
      </w:r>
      <w:r>
        <w:rPr>
          <w:color w:val="000000"/>
          <w:sz w:val="24"/>
          <w:szCs w:val="24"/>
        </w:rPr>
        <w:t>月</w:t>
      </w:r>
      <w:r>
        <w:rPr>
          <w:color w:val="000000"/>
          <w:sz w:val="24"/>
          <w:szCs w:val="24"/>
        </w:rPr>
        <w:t>26</w:t>
      </w:r>
      <w:r>
        <w:rPr>
          <w:color w:val="000000"/>
          <w:sz w:val="24"/>
          <w:szCs w:val="24"/>
        </w:rPr>
        <w:t>日生效，截至报告期末本基金合同生效未满一年。</w:t>
      </w:r>
    </w:p>
    <w:p w:rsidR="00BB3516" w:rsidRDefault="00AA1887">
      <w:pPr>
        <w:spacing w:line="360" w:lineRule="auto"/>
        <w:ind w:firstLineChars="200" w:firstLine="480"/>
        <w:rPr>
          <w:color w:val="000000"/>
          <w:sz w:val="24"/>
          <w:szCs w:val="24"/>
        </w:rPr>
      </w:pPr>
      <w:r>
        <w:rPr>
          <w:color w:val="000000"/>
          <w:sz w:val="24"/>
          <w:szCs w:val="24"/>
        </w:rPr>
        <w:t>2.</w:t>
      </w:r>
      <w:r>
        <w:rPr>
          <w:color w:val="000000"/>
          <w:sz w:val="24"/>
          <w:szCs w:val="24"/>
        </w:rPr>
        <w:t>按基金合同和招募说明书的约定，本基金的建仓期为六个月，建仓期结束时各项资产配置比例符合基金合同（第十二部分二、投资范围，三、投资策略和四、投资限制）的有关约定。</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3.</w:t>
      </w:r>
      <w:r w:rsidRPr="006C56AA">
        <w:rPr>
          <w:color w:val="000000"/>
          <w:sz w:val="24"/>
          <w:szCs w:val="24"/>
        </w:rPr>
        <w:t>自基金合同生效至报告期末，基金份额净值增长率为</w:t>
      </w:r>
      <w:r w:rsidRPr="006C56AA">
        <w:rPr>
          <w:color w:val="000000"/>
          <w:sz w:val="24"/>
          <w:szCs w:val="24"/>
        </w:rPr>
        <w:t>6.75%</w:t>
      </w:r>
      <w:r w:rsidRPr="006C56AA">
        <w:rPr>
          <w:color w:val="000000"/>
          <w:sz w:val="24"/>
          <w:szCs w:val="24"/>
        </w:rPr>
        <w:t>，同期业绩比较基准收益率为</w:t>
      </w:r>
      <w:r w:rsidRPr="006C56AA">
        <w:rPr>
          <w:color w:val="000000"/>
          <w:sz w:val="24"/>
          <w:szCs w:val="24"/>
        </w:rPr>
        <w:t>15.90%</w:t>
      </w:r>
      <w:r w:rsidRPr="006C56AA">
        <w:rPr>
          <w:color w:val="000000"/>
          <w:sz w:val="24"/>
          <w:szCs w:val="24"/>
        </w:rPr>
        <w:t>。</w:t>
      </w:r>
      <w:r w:rsidRPr="006C56AA">
        <w:rPr>
          <w:color w:val="000000"/>
          <w:sz w:val="24"/>
          <w:szCs w:val="24"/>
        </w:rPr>
        <w:t xml:space="preserve"> </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BB3516">
        <w:tc>
          <w:tcPr>
            <w:tcW w:w="567" w:type="dxa"/>
            <w:vAlign w:val="center"/>
          </w:tcPr>
          <w:p w:rsidR="00BB3516" w:rsidRDefault="00AA1887">
            <w:pPr>
              <w:jc w:val="center"/>
            </w:pPr>
            <w:r>
              <w:rPr>
                <w:color w:val="000000"/>
                <w:sz w:val="24"/>
              </w:rPr>
              <w:t>汪玲</w:t>
            </w:r>
          </w:p>
        </w:tc>
        <w:tc>
          <w:tcPr>
            <w:tcW w:w="2835" w:type="dxa"/>
            <w:vAlign w:val="center"/>
          </w:tcPr>
          <w:p w:rsidR="00BB3516" w:rsidRDefault="00AA1887">
            <w:pPr>
              <w:jc w:val="center"/>
            </w:pPr>
            <w:r>
              <w:rPr>
                <w:color w:val="000000"/>
                <w:sz w:val="24"/>
              </w:rPr>
              <w:t>本基金的基金经理、易方达汇诚养老目标日期</w:t>
            </w:r>
            <w:r>
              <w:rPr>
                <w:color w:val="000000"/>
                <w:sz w:val="24"/>
              </w:rPr>
              <w:t>2038</w:t>
            </w:r>
            <w:r>
              <w:rPr>
                <w:color w:val="000000"/>
                <w:sz w:val="24"/>
              </w:rPr>
              <w:t>三年持有期混合型发起式基金中基金</w:t>
            </w:r>
            <w:r>
              <w:rPr>
                <w:color w:val="000000"/>
                <w:sz w:val="24"/>
              </w:rPr>
              <w:t>(FOF)</w:t>
            </w:r>
            <w:r>
              <w:rPr>
                <w:color w:val="000000"/>
                <w:sz w:val="24"/>
              </w:rPr>
              <w:t>的基金经理、易方达汇诚养老目标日期</w:t>
            </w:r>
            <w:r>
              <w:rPr>
                <w:color w:val="000000"/>
                <w:sz w:val="24"/>
              </w:rPr>
              <w:t>2033</w:t>
            </w:r>
            <w:r>
              <w:rPr>
                <w:color w:val="000000"/>
                <w:sz w:val="24"/>
              </w:rPr>
              <w:t>三年</w:t>
            </w:r>
            <w:r>
              <w:rPr>
                <w:color w:val="000000"/>
                <w:sz w:val="24"/>
              </w:rPr>
              <w:lastRenderedPageBreak/>
              <w:t>持有期混合型发起式基金中基金</w:t>
            </w:r>
            <w:r>
              <w:rPr>
                <w:color w:val="000000"/>
                <w:sz w:val="24"/>
              </w:rPr>
              <w:t>(FOF)</w:t>
            </w:r>
            <w:r>
              <w:rPr>
                <w:color w:val="000000"/>
                <w:sz w:val="24"/>
              </w:rPr>
              <w:t>的基金经理</w:t>
            </w:r>
          </w:p>
        </w:tc>
        <w:tc>
          <w:tcPr>
            <w:tcW w:w="851" w:type="dxa"/>
            <w:vAlign w:val="center"/>
          </w:tcPr>
          <w:p w:rsidR="00BB3516" w:rsidRDefault="00AA1887">
            <w:pPr>
              <w:jc w:val="center"/>
            </w:pPr>
            <w:r>
              <w:rPr>
                <w:color w:val="000000"/>
                <w:sz w:val="24"/>
              </w:rPr>
              <w:lastRenderedPageBreak/>
              <w:t>2018-12-26</w:t>
            </w:r>
          </w:p>
        </w:tc>
        <w:tc>
          <w:tcPr>
            <w:tcW w:w="850" w:type="dxa"/>
            <w:vAlign w:val="center"/>
          </w:tcPr>
          <w:p w:rsidR="00BB3516" w:rsidRDefault="00AA1887">
            <w:pPr>
              <w:jc w:val="center"/>
            </w:pPr>
            <w:r>
              <w:rPr>
                <w:color w:val="000000"/>
                <w:sz w:val="24"/>
              </w:rPr>
              <w:t>-</w:t>
            </w:r>
          </w:p>
        </w:tc>
        <w:tc>
          <w:tcPr>
            <w:tcW w:w="851" w:type="dxa"/>
            <w:vAlign w:val="center"/>
          </w:tcPr>
          <w:p w:rsidR="00BB3516" w:rsidRDefault="00AA1887">
            <w:pPr>
              <w:jc w:val="center"/>
            </w:pPr>
            <w:r>
              <w:rPr>
                <w:color w:val="000000"/>
                <w:sz w:val="24"/>
              </w:rPr>
              <w:t>11</w:t>
            </w:r>
            <w:r>
              <w:rPr>
                <w:color w:val="000000"/>
                <w:sz w:val="24"/>
              </w:rPr>
              <w:t>年</w:t>
            </w:r>
          </w:p>
        </w:tc>
        <w:tc>
          <w:tcPr>
            <w:tcW w:w="2977" w:type="dxa"/>
            <w:vAlign w:val="center"/>
          </w:tcPr>
          <w:p w:rsidR="00BB3516" w:rsidRDefault="00AA1887">
            <w:r>
              <w:rPr>
                <w:color w:val="000000"/>
                <w:sz w:val="24"/>
              </w:rPr>
              <w:t>硕士研究生，曾任合众人寿保险股份有限公司资金管理中心基金研究员、基金投资经理，合众资产管理股份有限公司组合管理部基金投资经理，中国人寿养老保</w:t>
            </w:r>
            <w:r>
              <w:rPr>
                <w:color w:val="000000"/>
                <w:sz w:val="24"/>
              </w:rPr>
              <w:lastRenderedPageBreak/>
              <w:t>险股份有限公司投资中心组合管理部高级组合基金投资经理。</w:t>
            </w:r>
          </w:p>
        </w:tc>
      </w:tr>
    </w:tbl>
    <w:p w:rsidR="00BB3516" w:rsidRDefault="00AA1887">
      <w:pPr>
        <w:spacing w:line="360" w:lineRule="auto"/>
        <w:ind w:firstLineChars="200" w:firstLine="480"/>
        <w:rPr>
          <w:color w:val="000000"/>
          <w:sz w:val="24"/>
          <w:szCs w:val="24"/>
        </w:rPr>
      </w:pPr>
      <w:r>
        <w:rPr>
          <w:color w:val="000000"/>
          <w:sz w:val="24"/>
          <w:szCs w:val="24"/>
        </w:rPr>
        <w:lastRenderedPageBreak/>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IsROCDate" w:val="False"/>
          <w:attr w:name="IsLunarDate" w:val="False"/>
          <w:attr w:name="Day" w:val="30"/>
          <w:attr w:name="Month" w:val="12"/>
          <w:attr w:name="Year" w:val="1899"/>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IsROCDate" w:val="False"/>
          <w:attr w:name="IsLunarDate" w:val="False"/>
          <w:attr w:name="Day" w:val="30"/>
          <w:attr w:name="Month" w:val="12"/>
          <w:attr w:name="Year" w:val="1899"/>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BB3516" w:rsidRDefault="00AA1887">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本报告期内，公司旗下所有投资组合参与的交易所公开竞价交易中，同日反向交易成交较少的单边交易量超过该证券当日成交量的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w:t>
      </w:r>
      <w:r>
        <w:rPr>
          <w:color w:val="000000"/>
          <w:sz w:val="24"/>
          <w:szCs w:val="24"/>
        </w:rPr>
        <w:t>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BB3516" w:rsidRDefault="00AA1887">
      <w:pPr>
        <w:spacing w:line="360" w:lineRule="auto"/>
        <w:ind w:firstLineChars="200" w:firstLine="480"/>
        <w:rPr>
          <w:color w:val="000000"/>
          <w:sz w:val="24"/>
          <w:szCs w:val="24"/>
        </w:rPr>
      </w:pPr>
      <w:r>
        <w:rPr>
          <w:color w:val="000000"/>
          <w:sz w:val="24"/>
          <w:szCs w:val="24"/>
        </w:rPr>
        <w:t>2019</w:t>
      </w:r>
      <w:r>
        <w:rPr>
          <w:color w:val="000000"/>
          <w:sz w:val="24"/>
          <w:szCs w:val="24"/>
        </w:rPr>
        <w:t>年</w:t>
      </w:r>
      <w:r>
        <w:rPr>
          <w:color w:val="000000"/>
          <w:sz w:val="24"/>
          <w:szCs w:val="24"/>
        </w:rPr>
        <w:t>3</w:t>
      </w:r>
      <w:r>
        <w:rPr>
          <w:color w:val="000000"/>
          <w:sz w:val="24"/>
          <w:szCs w:val="24"/>
        </w:rPr>
        <w:t>季度全球经济形势逐步走弱，央行普遍采取偏宽松的货币政策，债券收益率出现一定幅度下行，权益资产表现出结构性行情，创业板、中小板表</w:t>
      </w:r>
      <w:r>
        <w:rPr>
          <w:color w:val="000000"/>
          <w:sz w:val="24"/>
          <w:szCs w:val="24"/>
        </w:rPr>
        <w:lastRenderedPageBreak/>
        <w:t>现较好，尤其是电子行业，出现了大幅上涨。中美贸易战反反复复，给风险资产的表现带来了一定的波动。估值方面，</w:t>
      </w:r>
      <w:r>
        <w:rPr>
          <w:color w:val="000000"/>
          <w:sz w:val="24"/>
          <w:szCs w:val="24"/>
        </w:rPr>
        <w:t>A</w:t>
      </w:r>
      <w:r>
        <w:rPr>
          <w:color w:val="000000"/>
          <w:sz w:val="24"/>
          <w:szCs w:val="24"/>
        </w:rPr>
        <w:t>股估值相对历史处于偏低位置，但呈现结构分化；债券收益率水平处于历史较低位置。</w:t>
      </w:r>
    </w:p>
    <w:p w:rsidR="00BB3516" w:rsidRDefault="00AA1887">
      <w:pPr>
        <w:spacing w:line="360" w:lineRule="auto"/>
        <w:ind w:firstLineChars="200" w:firstLine="480"/>
        <w:rPr>
          <w:color w:val="000000"/>
          <w:sz w:val="24"/>
          <w:szCs w:val="24"/>
        </w:rPr>
      </w:pPr>
      <w:r>
        <w:rPr>
          <w:color w:val="000000"/>
          <w:sz w:val="24"/>
          <w:szCs w:val="24"/>
        </w:rPr>
        <w:t>在报告期内，基于对未来全球宏观经济持续下行及中美贸易战不确定性的担忧，在坚持战略资产配置的前提下，通过动态比较各类资产的相对价值，在战术资产配置上低配了权益类资产，平配了债券类资产，超配了市</w:t>
      </w:r>
      <w:r>
        <w:rPr>
          <w:color w:val="000000"/>
          <w:sz w:val="24"/>
          <w:szCs w:val="24"/>
        </w:rPr>
        <w:t>场中性策略基金。截止报告期末，权益类资产配置比例略低于下滑曲线预设的权益类资产配置比例，但仍在合同允许的范围内。在结构方面，本基金在权益资产风格配置上相对均衡，考虑港股估值较低，</w:t>
      </w:r>
      <w:r>
        <w:rPr>
          <w:color w:val="000000"/>
          <w:sz w:val="24"/>
          <w:szCs w:val="24"/>
        </w:rPr>
        <w:t>3</w:t>
      </w:r>
      <w:r>
        <w:rPr>
          <w:color w:val="000000"/>
          <w:sz w:val="24"/>
          <w:szCs w:val="24"/>
        </w:rPr>
        <w:t>季度增加了港股基金的配置，增加了优质的中盘基金的配置。在基金品种的选择上，坚持风格稳定、</w:t>
      </w:r>
      <w:r>
        <w:rPr>
          <w:color w:val="000000"/>
          <w:sz w:val="24"/>
          <w:szCs w:val="24"/>
        </w:rPr>
        <w:t>Alpha</w:t>
      </w:r>
      <w:r>
        <w:rPr>
          <w:color w:val="000000"/>
          <w:sz w:val="24"/>
          <w:szCs w:val="24"/>
        </w:rPr>
        <w:t>持续的基金，为组合提供稳定的超额收益贡献。</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本基金将遵循稳健投资的理念，坚持绝对收益思路，立足养老产品的定位，秉承勤勉尽责的态度，为持有人创造更加优异的投资回报。</w:t>
      </w:r>
    </w:p>
    <w:p w:rsidR="00750D48" w:rsidRPr="00264E55" w:rsidRDefault="00750D48" w:rsidP="009E7C6A">
      <w:pPr>
        <w:spacing w:line="360" w:lineRule="auto"/>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1.0675</w:t>
      </w:r>
      <w:r w:rsidRPr="006C56AA">
        <w:rPr>
          <w:color w:val="000000"/>
          <w:sz w:val="24"/>
          <w:szCs w:val="24"/>
        </w:rPr>
        <w:t>元，本报告期份额净值增长率为</w:t>
      </w:r>
      <w:r w:rsidRPr="006C56AA">
        <w:rPr>
          <w:color w:val="000000"/>
          <w:sz w:val="24"/>
          <w:szCs w:val="24"/>
        </w:rPr>
        <w:t>3.23%</w:t>
      </w:r>
      <w:r w:rsidRPr="006C56AA">
        <w:rPr>
          <w:color w:val="000000"/>
          <w:sz w:val="24"/>
          <w:szCs w:val="24"/>
        </w:rPr>
        <w:t>，同期业绩比较基准收益率为</w:t>
      </w:r>
      <w:r w:rsidRPr="006C56AA">
        <w:rPr>
          <w:color w:val="000000"/>
          <w:sz w:val="24"/>
          <w:szCs w:val="24"/>
        </w:rPr>
        <w:t>0.48%</w:t>
      </w:r>
      <w:r w:rsidRPr="006C56AA">
        <w:rPr>
          <w:color w:val="000000"/>
          <w:sz w:val="24"/>
          <w:szCs w:val="24"/>
        </w:rPr>
        <w:t>。</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C370E0" w:rsidRPr="00264E55" w:rsidTr="00B05049">
        <w:trPr>
          <w:jc w:val="center"/>
        </w:trPr>
        <w:tc>
          <w:tcPr>
            <w:tcW w:w="720" w:type="dxa"/>
            <w:vAlign w:val="center"/>
          </w:tcPr>
          <w:p w:rsidR="00C370E0" w:rsidRPr="00C370E0" w:rsidRDefault="00C370E0" w:rsidP="00F94C5F">
            <w:pPr>
              <w:spacing w:before="29" w:line="360" w:lineRule="auto"/>
              <w:ind w:left="17"/>
              <w:jc w:val="center"/>
              <w:rPr>
                <w:color w:val="000000" w:themeColor="text1"/>
                <w:sz w:val="24"/>
                <w:szCs w:val="24"/>
              </w:rPr>
            </w:pPr>
            <w:r w:rsidRPr="00C370E0">
              <w:rPr>
                <w:color w:val="000000" w:themeColor="text1"/>
                <w:sz w:val="24"/>
                <w:szCs w:val="24"/>
              </w:rPr>
              <w:t>2</w:t>
            </w:r>
          </w:p>
        </w:tc>
        <w:tc>
          <w:tcPr>
            <w:tcW w:w="3357" w:type="dxa"/>
            <w:vAlign w:val="center"/>
          </w:tcPr>
          <w:p w:rsidR="00C370E0" w:rsidRPr="00C370E0" w:rsidRDefault="00C370E0" w:rsidP="00F94C5F">
            <w:pPr>
              <w:spacing w:before="29" w:line="360" w:lineRule="auto"/>
              <w:jc w:val="left"/>
              <w:rPr>
                <w:color w:val="000000" w:themeColor="text1"/>
                <w:sz w:val="24"/>
                <w:szCs w:val="24"/>
              </w:rPr>
            </w:pPr>
            <w:r w:rsidRPr="00C370E0">
              <w:rPr>
                <w:color w:val="000000" w:themeColor="text1"/>
                <w:sz w:val="24"/>
                <w:szCs w:val="24"/>
              </w:rPr>
              <w:t>基金投资</w:t>
            </w:r>
          </w:p>
        </w:tc>
        <w:tc>
          <w:tcPr>
            <w:tcW w:w="2977" w:type="dxa"/>
            <w:vAlign w:val="center"/>
          </w:tcPr>
          <w:p w:rsidR="00C370E0" w:rsidRPr="00C370E0" w:rsidRDefault="00C370E0" w:rsidP="00F94C5F">
            <w:pPr>
              <w:spacing w:before="29" w:line="360" w:lineRule="auto"/>
              <w:ind w:left="17"/>
              <w:jc w:val="right"/>
              <w:rPr>
                <w:color w:val="000000" w:themeColor="text1"/>
                <w:sz w:val="24"/>
                <w:szCs w:val="24"/>
              </w:rPr>
            </w:pPr>
            <w:r w:rsidRPr="00C370E0">
              <w:rPr>
                <w:color w:val="000000" w:themeColor="text1"/>
                <w:sz w:val="24"/>
                <w:szCs w:val="24"/>
              </w:rPr>
              <w:t>245,041,626.25</w:t>
            </w:r>
          </w:p>
        </w:tc>
        <w:tc>
          <w:tcPr>
            <w:tcW w:w="1843" w:type="dxa"/>
            <w:vAlign w:val="center"/>
          </w:tcPr>
          <w:p w:rsidR="00C370E0" w:rsidRPr="00C370E0" w:rsidRDefault="00C370E0" w:rsidP="00F94C5F">
            <w:pPr>
              <w:spacing w:before="29" w:line="360" w:lineRule="auto"/>
              <w:ind w:left="17"/>
              <w:jc w:val="right"/>
              <w:rPr>
                <w:color w:val="000000" w:themeColor="text1"/>
                <w:sz w:val="24"/>
                <w:szCs w:val="24"/>
              </w:rPr>
            </w:pPr>
            <w:r w:rsidRPr="00C370E0">
              <w:rPr>
                <w:color w:val="000000" w:themeColor="text1"/>
                <w:sz w:val="24"/>
                <w:szCs w:val="24"/>
              </w:rPr>
              <w:t>91.99</w:t>
            </w:r>
          </w:p>
        </w:tc>
      </w:tr>
      <w:tr w:rsidR="00C370E0" w:rsidRPr="00264E55" w:rsidTr="00B05049">
        <w:trPr>
          <w:jc w:val="center"/>
        </w:trPr>
        <w:tc>
          <w:tcPr>
            <w:tcW w:w="720" w:type="dxa"/>
            <w:vAlign w:val="center"/>
          </w:tcPr>
          <w:p w:rsidR="00C370E0" w:rsidRPr="00232B03" w:rsidRDefault="00C370E0" w:rsidP="00B05049">
            <w:pPr>
              <w:spacing w:before="29" w:line="360" w:lineRule="auto"/>
              <w:ind w:left="17"/>
              <w:jc w:val="center"/>
              <w:rPr>
                <w:color w:val="000000"/>
                <w:kern w:val="0"/>
                <w:sz w:val="24"/>
                <w:szCs w:val="24"/>
              </w:rPr>
            </w:pPr>
            <w:r>
              <w:rPr>
                <w:rFonts w:hint="eastAsia"/>
                <w:color w:val="000000"/>
                <w:kern w:val="0"/>
                <w:sz w:val="24"/>
                <w:szCs w:val="24"/>
              </w:rPr>
              <w:t>3</w:t>
            </w:r>
          </w:p>
        </w:tc>
        <w:tc>
          <w:tcPr>
            <w:tcW w:w="3357" w:type="dxa"/>
            <w:vAlign w:val="center"/>
          </w:tcPr>
          <w:p w:rsidR="00C370E0" w:rsidRPr="00232B03" w:rsidRDefault="00C370E0"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C370E0" w:rsidRPr="00232B03" w:rsidRDefault="00C370E0" w:rsidP="00B05049">
            <w:pPr>
              <w:spacing w:before="29" w:line="360" w:lineRule="auto"/>
              <w:ind w:left="17"/>
              <w:jc w:val="right"/>
              <w:rPr>
                <w:color w:val="000000"/>
                <w:kern w:val="0"/>
                <w:sz w:val="24"/>
                <w:szCs w:val="24"/>
              </w:rPr>
            </w:pPr>
            <w:r w:rsidRPr="00232B03">
              <w:rPr>
                <w:color w:val="000000"/>
                <w:kern w:val="0"/>
                <w:sz w:val="24"/>
                <w:szCs w:val="24"/>
              </w:rPr>
              <w:t>11,668,833.00</w:t>
            </w:r>
          </w:p>
        </w:tc>
        <w:tc>
          <w:tcPr>
            <w:tcW w:w="1843" w:type="dxa"/>
            <w:vAlign w:val="center"/>
          </w:tcPr>
          <w:p w:rsidR="00C370E0" w:rsidRPr="00232B03" w:rsidRDefault="00C370E0" w:rsidP="00B05049">
            <w:pPr>
              <w:spacing w:before="29" w:line="360" w:lineRule="auto"/>
              <w:ind w:left="17"/>
              <w:jc w:val="right"/>
              <w:rPr>
                <w:color w:val="000000"/>
                <w:kern w:val="0"/>
                <w:sz w:val="24"/>
                <w:szCs w:val="24"/>
              </w:rPr>
            </w:pPr>
            <w:r w:rsidRPr="00232B03">
              <w:rPr>
                <w:color w:val="000000"/>
                <w:kern w:val="0"/>
                <w:sz w:val="24"/>
                <w:szCs w:val="24"/>
              </w:rPr>
              <w:t>4.38</w:t>
            </w:r>
          </w:p>
        </w:tc>
      </w:tr>
      <w:tr w:rsidR="00C370E0" w:rsidRPr="00264E55" w:rsidTr="00B05049">
        <w:trPr>
          <w:jc w:val="center"/>
        </w:trPr>
        <w:tc>
          <w:tcPr>
            <w:tcW w:w="720" w:type="dxa"/>
            <w:vAlign w:val="center"/>
          </w:tcPr>
          <w:p w:rsidR="00C370E0" w:rsidRPr="00232B03" w:rsidRDefault="00C370E0" w:rsidP="00B05049">
            <w:pPr>
              <w:spacing w:before="29" w:line="360" w:lineRule="auto"/>
              <w:ind w:left="17"/>
              <w:jc w:val="center"/>
              <w:rPr>
                <w:color w:val="000000"/>
                <w:kern w:val="0"/>
                <w:sz w:val="24"/>
                <w:szCs w:val="24"/>
              </w:rPr>
            </w:pPr>
          </w:p>
        </w:tc>
        <w:tc>
          <w:tcPr>
            <w:tcW w:w="3357" w:type="dxa"/>
            <w:vAlign w:val="center"/>
          </w:tcPr>
          <w:p w:rsidR="00C370E0" w:rsidRPr="00232B03" w:rsidRDefault="00C370E0"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C370E0" w:rsidRPr="00232B03" w:rsidRDefault="00C370E0" w:rsidP="00B05049">
            <w:pPr>
              <w:spacing w:before="29" w:line="360" w:lineRule="auto"/>
              <w:ind w:left="17"/>
              <w:jc w:val="right"/>
              <w:rPr>
                <w:color w:val="000000"/>
                <w:kern w:val="0"/>
                <w:sz w:val="24"/>
                <w:szCs w:val="24"/>
              </w:rPr>
            </w:pPr>
            <w:r w:rsidRPr="00232B03">
              <w:rPr>
                <w:color w:val="000000"/>
                <w:kern w:val="0"/>
                <w:sz w:val="24"/>
                <w:szCs w:val="24"/>
              </w:rPr>
              <w:t>11,668,833.00</w:t>
            </w:r>
          </w:p>
        </w:tc>
        <w:tc>
          <w:tcPr>
            <w:tcW w:w="1843" w:type="dxa"/>
            <w:vAlign w:val="center"/>
          </w:tcPr>
          <w:p w:rsidR="00C370E0" w:rsidRPr="00232B03" w:rsidRDefault="00C370E0" w:rsidP="00B05049">
            <w:pPr>
              <w:spacing w:before="29" w:line="360" w:lineRule="auto"/>
              <w:ind w:left="17"/>
              <w:jc w:val="right"/>
              <w:rPr>
                <w:color w:val="000000"/>
                <w:kern w:val="0"/>
                <w:sz w:val="24"/>
                <w:szCs w:val="24"/>
              </w:rPr>
            </w:pPr>
            <w:r w:rsidRPr="00232B03">
              <w:rPr>
                <w:color w:val="000000"/>
                <w:kern w:val="0"/>
                <w:sz w:val="24"/>
                <w:szCs w:val="24"/>
              </w:rPr>
              <w:t>4.38</w:t>
            </w:r>
          </w:p>
        </w:tc>
      </w:tr>
      <w:tr w:rsidR="00C370E0" w:rsidRPr="00264E55" w:rsidTr="00B05049">
        <w:trPr>
          <w:jc w:val="center"/>
        </w:trPr>
        <w:tc>
          <w:tcPr>
            <w:tcW w:w="720" w:type="dxa"/>
            <w:vAlign w:val="center"/>
          </w:tcPr>
          <w:p w:rsidR="00C370E0" w:rsidRPr="00232B03" w:rsidRDefault="00C370E0" w:rsidP="00B05049">
            <w:pPr>
              <w:spacing w:before="29" w:line="360" w:lineRule="auto"/>
              <w:ind w:left="17"/>
              <w:jc w:val="center"/>
              <w:rPr>
                <w:color w:val="000000"/>
                <w:kern w:val="0"/>
                <w:sz w:val="24"/>
                <w:szCs w:val="24"/>
              </w:rPr>
            </w:pPr>
          </w:p>
        </w:tc>
        <w:tc>
          <w:tcPr>
            <w:tcW w:w="3357" w:type="dxa"/>
            <w:vAlign w:val="center"/>
          </w:tcPr>
          <w:p w:rsidR="00C370E0" w:rsidRPr="00232B03" w:rsidRDefault="00C370E0"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C370E0" w:rsidRPr="00232B03" w:rsidRDefault="00C370E0"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C370E0" w:rsidRPr="00232B03" w:rsidRDefault="00C370E0" w:rsidP="00B05049">
            <w:pPr>
              <w:spacing w:before="29" w:line="360" w:lineRule="auto"/>
              <w:ind w:left="17"/>
              <w:jc w:val="right"/>
              <w:rPr>
                <w:color w:val="000000"/>
                <w:kern w:val="0"/>
                <w:sz w:val="24"/>
                <w:szCs w:val="24"/>
              </w:rPr>
            </w:pPr>
            <w:r w:rsidRPr="00232B03">
              <w:rPr>
                <w:color w:val="000000"/>
                <w:kern w:val="0"/>
                <w:sz w:val="24"/>
                <w:szCs w:val="24"/>
              </w:rPr>
              <w:t>-</w:t>
            </w:r>
          </w:p>
        </w:tc>
      </w:tr>
      <w:tr w:rsidR="00C370E0" w:rsidRPr="00264E55" w:rsidTr="00B05049">
        <w:trPr>
          <w:jc w:val="center"/>
        </w:trPr>
        <w:tc>
          <w:tcPr>
            <w:tcW w:w="720" w:type="dxa"/>
          </w:tcPr>
          <w:p w:rsidR="00C370E0" w:rsidRPr="00232B03" w:rsidRDefault="00C370E0" w:rsidP="00B05049">
            <w:pPr>
              <w:spacing w:before="29" w:line="360" w:lineRule="auto"/>
              <w:ind w:left="17"/>
              <w:jc w:val="center"/>
              <w:rPr>
                <w:color w:val="000000"/>
                <w:kern w:val="0"/>
                <w:sz w:val="24"/>
                <w:szCs w:val="24"/>
              </w:rPr>
            </w:pPr>
            <w:r>
              <w:rPr>
                <w:rFonts w:hint="eastAsia"/>
                <w:color w:val="000000"/>
                <w:kern w:val="0"/>
                <w:sz w:val="24"/>
                <w:szCs w:val="24"/>
              </w:rPr>
              <w:t>4</w:t>
            </w:r>
          </w:p>
        </w:tc>
        <w:tc>
          <w:tcPr>
            <w:tcW w:w="3357" w:type="dxa"/>
          </w:tcPr>
          <w:p w:rsidR="00C370E0" w:rsidRPr="00232B03" w:rsidRDefault="00C370E0"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C370E0" w:rsidRPr="00232B03" w:rsidRDefault="00C370E0"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C370E0" w:rsidRPr="00232B03" w:rsidRDefault="00C370E0" w:rsidP="00B05049">
            <w:pPr>
              <w:spacing w:before="29" w:line="360" w:lineRule="auto"/>
              <w:ind w:left="17"/>
              <w:jc w:val="right"/>
              <w:rPr>
                <w:color w:val="000000"/>
                <w:kern w:val="0"/>
                <w:sz w:val="24"/>
                <w:szCs w:val="24"/>
              </w:rPr>
            </w:pPr>
            <w:r w:rsidRPr="00232B03">
              <w:rPr>
                <w:color w:val="000000"/>
                <w:kern w:val="0"/>
                <w:sz w:val="24"/>
                <w:szCs w:val="24"/>
              </w:rPr>
              <w:t>-</w:t>
            </w:r>
          </w:p>
        </w:tc>
      </w:tr>
      <w:tr w:rsidR="00C370E0" w:rsidRPr="00264E55" w:rsidTr="00B05049">
        <w:trPr>
          <w:jc w:val="center"/>
        </w:trPr>
        <w:tc>
          <w:tcPr>
            <w:tcW w:w="720" w:type="dxa"/>
            <w:vAlign w:val="center"/>
          </w:tcPr>
          <w:p w:rsidR="00C370E0" w:rsidRPr="00232B03" w:rsidRDefault="00C370E0" w:rsidP="00B05049">
            <w:pPr>
              <w:spacing w:before="29" w:line="360" w:lineRule="auto"/>
              <w:ind w:left="17"/>
              <w:jc w:val="center"/>
              <w:rPr>
                <w:color w:val="000000"/>
                <w:kern w:val="0"/>
                <w:sz w:val="24"/>
                <w:szCs w:val="24"/>
              </w:rPr>
            </w:pPr>
            <w:r>
              <w:rPr>
                <w:rFonts w:hint="eastAsia"/>
                <w:color w:val="000000"/>
                <w:kern w:val="0"/>
                <w:sz w:val="24"/>
                <w:szCs w:val="24"/>
              </w:rPr>
              <w:lastRenderedPageBreak/>
              <w:t>5</w:t>
            </w:r>
          </w:p>
        </w:tc>
        <w:tc>
          <w:tcPr>
            <w:tcW w:w="3357" w:type="dxa"/>
            <w:vAlign w:val="center"/>
          </w:tcPr>
          <w:p w:rsidR="00C370E0" w:rsidRPr="00232B03" w:rsidRDefault="00C370E0"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C370E0" w:rsidRPr="00232B03" w:rsidRDefault="00C370E0"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C370E0" w:rsidRPr="00232B03" w:rsidRDefault="00C370E0" w:rsidP="00B05049">
            <w:pPr>
              <w:spacing w:before="29" w:line="360" w:lineRule="auto"/>
              <w:ind w:left="17"/>
              <w:jc w:val="right"/>
              <w:rPr>
                <w:color w:val="000000"/>
                <w:kern w:val="0"/>
                <w:sz w:val="24"/>
                <w:szCs w:val="24"/>
              </w:rPr>
            </w:pPr>
            <w:r w:rsidRPr="00232B03">
              <w:rPr>
                <w:color w:val="000000"/>
                <w:kern w:val="0"/>
                <w:sz w:val="24"/>
                <w:szCs w:val="24"/>
              </w:rPr>
              <w:t>-</w:t>
            </w:r>
          </w:p>
        </w:tc>
      </w:tr>
      <w:tr w:rsidR="00C370E0" w:rsidRPr="00264E55" w:rsidTr="00B05049">
        <w:trPr>
          <w:jc w:val="center"/>
        </w:trPr>
        <w:tc>
          <w:tcPr>
            <w:tcW w:w="720" w:type="dxa"/>
            <w:vAlign w:val="center"/>
          </w:tcPr>
          <w:p w:rsidR="00C370E0" w:rsidRPr="00232B03" w:rsidRDefault="00C370E0" w:rsidP="00B05049">
            <w:pPr>
              <w:spacing w:before="29" w:line="360" w:lineRule="auto"/>
              <w:ind w:left="17"/>
              <w:jc w:val="center"/>
              <w:rPr>
                <w:color w:val="000000"/>
                <w:kern w:val="0"/>
                <w:sz w:val="24"/>
                <w:szCs w:val="24"/>
              </w:rPr>
            </w:pPr>
            <w:r>
              <w:rPr>
                <w:rFonts w:hint="eastAsia"/>
                <w:color w:val="000000"/>
                <w:kern w:val="0"/>
                <w:sz w:val="24"/>
                <w:szCs w:val="24"/>
              </w:rPr>
              <w:t>6</w:t>
            </w:r>
          </w:p>
        </w:tc>
        <w:tc>
          <w:tcPr>
            <w:tcW w:w="3357" w:type="dxa"/>
            <w:vAlign w:val="center"/>
          </w:tcPr>
          <w:p w:rsidR="00C370E0" w:rsidRPr="00232B03" w:rsidRDefault="00C370E0"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C370E0" w:rsidRPr="00232B03" w:rsidRDefault="00C370E0" w:rsidP="00B05049">
            <w:pPr>
              <w:spacing w:before="29" w:line="360" w:lineRule="auto"/>
              <w:ind w:left="17"/>
              <w:jc w:val="right"/>
              <w:rPr>
                <w:color w:val="000000"/>
                <w:kern w:val="0"/>
                <w:sz w:val="24"/>
                <w:szCs w:val="24"/>
              </w:rPr>
            </w:pPr>
            <w:r w:rsidRPr="00232B03">
              <w:rPr>
                <w:color w:val="000000"/>
                <w:kern w:val="0"/>
                <w:sz w:val="24"/>
                <w:szCs w:val="24"/>
              </w:rPr>
              <w:t>6,000,000.00</w:t>
            </w:r>
          </w:p>
        </w:tc>
        <w:tc>
          <w:tcPr>
            <w:tcW w:w="1843" w:type="dxa"/>
            <w:vAlign w:val="center"/>
          </w:tcPr>
          <w:p w:rsidR="00C370E0" w:rsidRPr="00232B03" w:rsidRDefault="00C370E0" w:rsidP="00B05049">
            <w:pPr>
              <w:spacing w:before="29" w:line="360" w:lineRule="auto"/>
              <w:ind w:left="17"/>
              <w:jc w:val="right"/>
              <w:rPr>
                <w:color w:val="000000"/>
                <w:kern w:val="0"/>
                <w:sz w:val="24"/>
                <w:szCs w:val="24"/>
              </w:rPr>
            </w:pPr>
            <w:r w:rsidRPr="00232B03">
              <w:rPr>
                <w:color w:val="000000"/>
                <w:kern w:val="0"/>
                <w:sz w:val="24"/>
                <w:szCs w:val="24"/>
              </w:rPr>
              <w:t>2.25</w:t>
            </w:r>
          </w:p>
        </w:tc>
      </w:tr>
      <w:tr w:rsidR="00C370E0" w:rsidRPr="00264E55" w:rsidTr="00B05049">
        <w:trPr>
          <w:jc w:val="center"/>
        </w:trPr>
        <w:tc>
          <w:tcPr>
            <w:tcW w:w="720" w:type="dxa"/>
            <w:vAlign w:val="center"/>
          </w:tcPr>
          <w:p w:rsidR="00C370E0" w:rsidRPr="00232B03" w:rsidRDefault="00C370E0" w:rsidP="00B05049">
            <w:pPr>
              <w:spacing w:before="29" w:line="360" w:lineRule="auto"/>
              <w:ind w:left="17"/>
              <w:jc w:val="center"/>
              <w:rPr>
                <w:color w:val="000000"/>
                <w:kern w:val="0"/>
                <w:sz w:val="24"/>
                <w:szCs w:val="24"/>
              </w:rPr>
            </w:pPr>
          </w:p>
        </w:tc>
        <w:tc>
          <w:tcPr>
            <w:tcW w:w="3357" w:type="dxa"/>
            <w:vAlign w:val="center"/>
          </w:tcPr>
          <w:p w:rsidR="00C370E0" w:rsidRPr="00232B03" w:rsidRDefault="00C370E0"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C370E0" w:rsidRPr="00232B03" w:rsidRDefault="00C370E0"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C370E0" w:rsidRPr="00232B03" w:rsidRDefault="00C370E0" w:rsidP="00B05049">
            <w:pPr>
              <w:spacing w:before="29" w:line="360" w:lineRule="auto"/>
              <w:ind w:left="17"/>
              <w:jc w:val="right"/>
              <w:rPr>
                <w:color w:val="000000"/>
                <w:kern w:val="0"/>
                <w:sz w:val="24"/>
                <w:szCs w:val="24"/>
              </w:rPr>
            </w:pPr>
            <w:r w:rsidRPr="00232B03">
              <w:rPr>
                <w:color w:val="000000"/>
                <w:kern w:val="0"/>
                <w:sz w:val="24"/>
                <w:szCs w:val="24"/>
              </w:rPr>
              <w:t>-</w:t>
            </w:r>
          </w:p>
        </w:tc>
      </w:tr>
      <w:tr w:rsidR="00C370E0" w:rsidRPr="00264E55" w:rsidTr="00B05049">
        <w:trPr>
          <w:jc w:val="center"/>
        </w:trPr>
        <w:tc>
          <w:tcPr>
            <w:tcW w:w="720" w:type="dxa"/>
            <w:vAlign w:val="center"/>
          </w:tcPr>
          <w:p w:rsidR="00C370E0" w:rsidRPr="00232B03" w:rsidRDefault="00C370E0" w:rsidP="00B05049">
            <w:pPr>
              <w:spacing w:before="29" w:line="360" w:lineRule="auto"/>
              <w:ind w:left="17"/>
              <w:jc w:val="center"/>
              <w:rPr>
                <w:color w:val="000000"/>
                <w:kern w:val="0"/>
                <w:sz w:val="24"/>
                <w:szCs w:val="24"/>
              </w:rPr>
            </w:pPr>
            <w:r>
              <w:rPr>
                <w:rFonts w:hint="eastAsia"/>
                <w:color w:val="000000"/>
                <w:kern w:val="0"/>
                <w:sz w:val="24"/>
                <w:szCs w:val="24"/>
              </w:rPr>
              <w:t>7</w:t>
            </w:r>
          </w:p>
        </w:tc>
        <w:tc>
          <w:tcPr>
            <w:tcW w:w="3357" w:type="dxa"/>
            <w:vAlign w:val="center"/>
          </w:tcPr>
          <w:p w:rsidR="00C370E0" w:rsidRPr="00232B03" w:rsidRDefault="00C370E0"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C370E0" w:rsidRPr="00232B03" w:rsidRDefault="00C370E0" w:rsidP="00B05049">
            <w:pPr>
              <w:spacing w:before="29" w:line="360" w:lineRule="auto"/>
              <w:ind w:left="17"/>
              <w:jc w:val="right"/>
              <w:rPr>
                <w:color w:val="000000"/>
                <w:kern w:val="0"/>
                <w:sz w:val="24"/>
                <w:szCs w:val="24"/>
              </w:rPr>
            </w:pPr>
            <w:r w:rsidRPr="00232B03">
              <w:rPr>
                <w:color w:val="000000"/>
                <w:kern w:val="0"/>
                <w:sz w:val="24"/>
                <w:szCs w:val="24"/>
              </w:rPr>
              <w:t>3,236,832.88</w:t>
            </w:r>
          </w:p>
        </w:tc>
        <w:tc>
          <w:tcPr>
            <w:tcW w:w="1843" w:type="dxa"/>
            <w:vAlign w:val="center"/>
          </w:tcPr>
          <w:p w:rsidR="00C370E0" w:rsidRPr="00232B03" w:rsidRDefault="00C370E0" w:rsidP="00B05049">
            <w:pPr>
              <w:spacing w:before="29" w:line="360" w:lineRule="auto"/>
              <w:ind w:left="17"/>
              <w:jc w:val="right"/>
              <w:rPr>
                <w:color w:val="000000"/>
                <w:kern w:val="0"/>
                <w:sz w:val="24"/>
                <w:szCs w:val="24"/>
              </w:rPr>
            </w:pPr>
            <w:r w:rsidRPr="00232B03">
              <w:rPr>
                <w:color w:val="000000"/>
                <w:kern w:val="0"/>
                <w:sz w:val="24"/>
                <w:szCs w:val="24"/>
              </w:rPr>
              <w:t>1.22</w:t>
            </w:r>
          </w:p>
        </w:tc>
      </w:tr>
      <w:tr w:rsidR="00C370E0" w:rsidRPr="00264E55" w:rsidTr="00B05049">
        <w:trPr>
          <w:jc w:val="center"/>
        </w:trPr>
        <w:tc>
          <w:tcPr>
            <w:tcW w:w="720" w:type="dxa"/>
            <w:vAlign w:val="center"/>
          </w:tcPr>
          <w:p w:rsidR="00C370E0" w:rsidRPr="00232B03" w:rsidRDefault="00C370E0" w:rsidP="00C370E0">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C370E0" w:rsidRPr="00232B03" w:rsidRDefault="00C370E0" w:rsidP="00B05049">
            <w:pPr>
              <w:jc w:val="left"/>
              <w:rPr>
                <w:kern w:val="0"/>
                <w:sz w:val="24"/>
                <w:szCs w:val="24"/>
              </w:rPr>
            </w:pPr>
            <w:r w:rsidRPr="00232B03">
              <w:rPr>
                <w:color w:val="000000"/>
                <w:kern w:val="0"/>
                <w:sz w:val="24"/>
                <w:szCs w:val="24"/>
              </w:rPr>
              <w:t>其他资产</w:t>
            </w:r>
          </w:p>
        </w:tc>
        <w:tc>
          <w:tcPr>
            <w:tcW w:w="2977" w:type="dxa"/>
            <w:vAlign w:val="center"/>
          </w:tcPr>
          <w:p w:rsidR="00C370E0" w:rsidRPr="00232B03" w:rsidRDefault="00C370E0" w:rsidP="00B05049">
            <w:pPr>
              <w:jc w:val="right"/>
              <w:rPr>
                <w:color w:val="000000"/>
                <w:kern w:val="0"/>
                <w:sz w:val="24"/>
                <w:szCs w:val="24"/>
              </w:rPr>
            </w:pPr>
            <w:r w:rsidRPr="00232B03">
              <w:rPr>
                <w:color w:val="000000"/>
                <w:kern w:val="0"/>
                <w:sz w:val="24"/>
                <w:szCs w:val="24"/>
              </w:rPr>
              <w:t>443,441.44</w:t>
            </w:r>
          </w:p>
        </w:tc>
        <w:tc>
          <w:tcPr>
            <w:tcW w:w="1843" w:type="dxa"/>
            <w:vAlign w:val="center"/>
          </w:tcPr>
          <w:p w:rsidR="00C370E0" w:rsidRPr="00232B03" w:rsidRDefault="00C370E0" w:rsidP="00B05049">
            <w:pPr>
              <w:jc w:val="right"/>
              <w:rPr>
                <w:color w:val="000000"/>
                <w:kern w:val="0"/>
                <w:sz w:val="24"/>
                <w:szCs w:val="24"/>
              </w:rPr>
            </w:pPr>
            <w:r w:rsidRPr="00232B03">
              <w:rPr>
                <w:color w:val="000000"/>
                <w:kern w:val="0"/>
                <w:sz w:val="24"/>
                <w:szCs w:val="24"/>
              </w:rPr>
              <w:t>0.17</w:t>
            </w:r>
          </w:p>
        </w:tc>
      </w:tr>
      <w:tr w:rsidR="00C370E0" w:rsidRPr="00264E55" w:rsidTr="00B05049">
        <w:trPr>
          <w:jc w:val="center"/>
        </w:trPr>
        <w:tc>
          <w:tcPr>
            <w:tcW w:w="720" w:type="dxa"/>
            <w:vAlign w:val="center"/>
          </w:tcPr>
          <w:p w:rsidR="00C370E0" w:rsidRPr="00232B03" w:rsidRDefault="00C370E0" w:rsidP="00BF4727">
            <w:pPr>
              <w:spacing w:before="29" w:line="360" w:lineRule="auto"/>
              <w:ind w:left="17"/>
              <w:jc w:val="center"/>
              <w:rPr>
                <w:color w:val="000000"/>
                <w:kern w:val="0"/>
                <w:sz w:val="24"/>
                <w:szCs w:val="24"/>
              </w:rPr>
            </w:pPr>
            <w:r w:rsidRPr="00232B03">
              <w:rPr>
                <w:color w:val="000000"/>
                <w:kern w:val="0"/>
                <w:sz w:val="24"/>
                <w:szCs w:val="24"/>
              </w:rPr>
              <w:t>9</w:t>
            </w:r>
          </w:p>
        </w:tc>
        <w:tc>
          <w:tcPr>
            <w:tcW w:w="3357" w:type="dxa"/>
            <w:vAlign w:val="center"/>
          </w:tcPr>
          <w:p w:rsidR="00C370E0" w:rsidRPr="00232B03" w:rsidRDefault="00C370E0" w:rsidP="00B05049">
            <w:pPr>
              <w:jc w:val="left"/>
              <w:rPr>
                <w:kern w:val="0"/>
                <w:sz w:val="24"/>
                <w:szCs w:val="24"/>
              </w:rPr>
            </w:pPr>
            <w:r w:rsidRPr="00232B03">
              <w:rPr>
                <w:color w:val="000000"/>
                <w:kern w:val="0"/>
                <w:sz w:val="24"/>
                <w:szCs w:val="24"/>
              </w:rPr>
              <w:t>合计</w:t>
            </w:r>
          </w:p>
        </w:tc>
        <w:tc>
          <w:tcPr>
            <w:tcW w:w="2977" w:type="dxa"/>
            <w:vAlign w:val="center"/>
          </w:tcPr>
          <w:p w:rsidR="00C370E0" w:rsidRPr="00232B03" w:rsidRDefault="00C370E0" w:rsidP="00B05049">
            <w:pPr>
              <w:jc w:val="right"/>
              <w:rPr>
                <w:color w:val="000000"/>
                <w:kern w:val="0"/>
                <w:sz w:val="24"/>
                <w:szCs w:val="24"/>
              </w:rPr>
            </w:pPr>
            <w:r w:rsidRPr="00232B03">
              <w:rPr>
                <w:color w:val="000000"/>
                <w:kern w:val="0"/>
                <w:sz w:val="24"/>
                <w:szCs w:val="24"/>
              </w:rPr>
              <w:t>266,390,733.57</w:t>
            </w:r>
          </w:p>
        </w:tc>
        <w:tc>
          <w:tcPr>
            <w:tcW w:w="1843" w:type="dxa"/>
            <w:vAlign w:val="center"/>
          </w:tcPr>
          <w:p w:rsidR="00C370E0" w:rsidRPr="00232B03" w:rsidRDefault="00C370E0" w:rsidP="00B05049">
            <w:pPr>
              <w:jc w:val="right"/>
              <w:rPr>
                <w:color w:val="000000"/>
                <w:kern w:val="0"/>
                <w:sz w:val="24"/>
                <w:szCs w:val="24"/>
              </w:rPr>
            </w:pPr>
            <w:r w:rsidRPr="00232B03">
              <w:rPr>
                <w:color w:val="000000"/>
                <w:kern w:val="0"/>
                <w:sz w:val="24"/>
                <w:szCs w:val="24"/>
              </w:rPr>
              <w:t>100.00</w:t>
            </w:r>
          </w:p>
        </w:tc>
      </w:tr>
    </w:tbl>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p w:rsidR="008C2A4F" w:rsidRPr="00403A06" w:rsidRDefault="008C2A4F" w:rsidP="00403A06">
      <w:pPr>
        <w:spacing w:line="360" w:lineRule="auto"/>
        <w:ind w:firstLineChars="200" w:firstLine="480"/>
        <w:rPr>
          <w:color w:val="000000"/>
          <w:sz w:val="24"/>
          <w:szCs w:val="24"/>
        </w:rPr>
      </w:pPr>
      <w:r w:rsidRPr="00403A06">
        <w:rPr>
          <w:color w:val="000000"/>
          <w:sz w:val="24"/>
          <w:szCs w:val="24"/>
        </w:rPr>
        <w:t>本基金本报告期末未持有境内股票。</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本基金本报告期末未持有股票。</w:t>
      </w:r>
    </w:p>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tbl>
      <w:tblPr>
        <w:tblStyle w:val="af7"/>
        <w:tblW w:w="8755" w:type="dxa"/>
        <w:jc w:val="center"/>
        <w:tblLayout w:type="fixed"/>
        <w:tblLook w:val="04A0" w:firstRow="1" w:lastRow="0" w:firstColumn="1" w:lastColumn="0" w:noHBand="0" w:noVBand="1"/>
      </w:tblPr>
      <w:tblGrid>
        <w:gridCol w:w="817"/>
        <w:gridCol w:w="3260"/>
        <w:gridCol w:w="2949"/>
        <w:gridCol w:w="1729"/>
      </w:tblGrid>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序号</w:t>
            </w:r>
          </w:p>
        </w:tc>
        <w:tc>
          <w:tcPr>
            <w:tcW w:w="3260"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债券品种</w:t>
            </w:r>
          </w:p>
        </w:tc>
        <w:tc>
          <w:tcPr>
            <w:tcW w:w="294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公允价值</w:t>
            </w:r>
            <w:r w:rsidRPr="00283CAD">
              <w:rPr>
                <w:rFonts w:eastAsiaTheme="minorEastAsia"/>
                <w:color w:val="000000" w:themeColor="text1"/>
                <w:sz w:val="24"/>
                <w:szCs w:val="24"/>
              </w:rPr>
              <w:t>(</w:t>
            </w:r>
            <w:r w:rsidRPr="00283CAD">
              <w:rPr>
                <w:rFonts w:eastAsiaTheme="minorEastAsia"/>
                <w:color w:val="000000" w:themeColor="text1"/>
                <w:sz w:val="24"/>
                <w:szCs w:val="24"/>
              </w:rPr>
              <w:t>元</w:t>
            </w: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占基金资产净值比例</w:t>
            </w:r>
            <w:r w:rsidRPr="00283CAD">
              <w:rPr>
                <w:rFonts w:eastAsiaTheme="minorEastAsia"/>
                <w:color w:val="000000" w:themeColor="text1"/>
                <w:sz w:val="24"/>
                <w:szCs w:val="24"/>
              </w:rPr>
              <w:t>(</w:t>
            </w:r>
            <w:r w:rsidRPr="00283CAD">
              <w:rPr>
                <w:rFonts w:eastAsiaTheme="minorEastAsia"/>
                <w:color w:val="000000" w:themeColor="text1"/>
                <w:sz w:val="24"/>
                <w:szCs w:val="24"/>
              </w:rPr>
              <w:t>％</w:t>
            </w: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国家债券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11,668,833.00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4.39</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2</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央行票据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3</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金融债券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其中：政策性金融债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4</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5</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企业短期融资券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6</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中期票据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7</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可转债</w:t>
            </w:r>
            <w:r w:rsidR="004B5343" w:rsidRPr="004B5343">
              <w:rPr>
                <w:rFonts w:eastAsiaTheme="minorEastAsia" w:hint="eastAsia"/>
                <w:color w:val="000000" w:themeColor="text1"/>
                <w:sz w:val="24"/>
                <w:szCs w:val="24"/>
              </w:rPr>
              <w:t>（可交换债）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8</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同业存单</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9</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其他</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10</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合计</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11,668,833.00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4.39</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276"/>
        <w:gridCol w:w="1275"/>
        <w:gridCol w:w="1560"/>
        <w:gridCol w:w="1984"/>
        <w:gridCol w:w="1474"/>
      </w:tblGrid>
      <w:tr w:rsidR="00750D48" w:rsidRPr="00264E55" w:rsidTr="005602F3">
        <w:tc>
          <w:tcPr>
            <w:tcW w:w="959"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债券代码</w:t>
            </w:r>
          </w:p>
        </w:tc>
        <w:tc>
          <w:tcPr>
            <w:tcW w:w="1275"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债券名称</w:t>
            </w:r>
          </w:p>
        </w:tc>
        <w:tc>
          <w:tcPr>
            <w:tcW w:w="1560"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（张）</w:t>
            </w:r>
          </w:p>
        </w:tc>
        <w:tc>
          <w:tcPr>
            <w:tcW w:w="198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47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w:t>
            </w:r>
            <w:r w:rsidRPr="00232B03">
              <w:rPr>
                <w:color w:val="000000"/>
                <w:kern w:val="0"/>
                <w:sz w:val="24"/>
                <w:szCs w:val="24"/>
              </w:rPr>
              <w:lastRenderedPageBreak/>
              <w:t>净值比例</w:t>
            </w:r>
            <w:r w:rsidR="005F7917" w:rsidRPr="00232B03">
              <w:rPr>
                <w:color w:val="000000"/>
                <w:kern w:val="0"/>
                <w:sz w:val="24"/>
                <w:szCs w:val="24"/>
              </w:rPr>
              <w:t>（％）</w:t>
            </w:r>
          </w:p>
        </w:tc>
      </w:tr>
      <w:tr w:rsidR="00BB3516">
        <w:tc>
          <w:tcPr>
            <w:tcW w:w="959" w:type="dxa"/>
            <w:vAlign w:val="center"/>
          </w:tcPr>
          <w:p w:rsidR="00BB3516" w:rsidRDefault="00AA1887">
            <w:pPr>
              <w:jc w:val="center"/>
            </w:pPr>
            <w:r>
              <w:rPr>
                <w:color w:val="000000"/>
                <w:kern w:val="0"/>
                <w:sz w:val="24"/>
                <w:szCs w:val="24"/>
              </w:rPr>
              <w:lastRenderedPageBreak/>
              <w:t>1</w:t>
            </w:r>
          </w:p>
        </w:tc>
        <w:tc>
          <w:tcPr>
            <w:tcW w:w="1276" w:type="dxa"/>
            <w:vAlign w:val="center"/>
          </w:tcPr>
          <w:p w:rsidR="00BB3516" w:rsidRDefault="00AA1887">
            <w:pPr>
              <w:jc w:val="center"/>
            </w:pPr>
            <w:r>
              <w:rPr>
                <w:color w:val="000000"/>
                <w:kern w:val="0"/>
                <w:sz w:val="24"/>
                <w:szCs w:val="24"/>
              </w:rPr>
              <w:t>019611</w:t>
            </w:r>
          </w:p>
        </w:tc>
        <w:tc>
          <w:tcPr>
            <w:tcW w:w="1275" w:type="dxa"/>
            <w:vAlign w:val="center"/>
          </w:tcPr>
          <w:p w:rsidR="00BB3516" w:rsidRDefault="00AA1887">
            <w:pPr>
              <w:jc w:val="center"/>
            </w:pPr>
            <w:r>
              <w:rPr>
                <w:color w:val="000000"/>
                <w:kern w:val="0"/>
                <w:sz w:val="24"/>
                <w:szCs w:val="24"/>
              </w:rPr>
              <w:t>19</w:t>
            </w:r>
            <w:r>
              <w:rPr>
                <w:color w:val="000000"/>
                <w:kern w:val="0"/>
                <w:sz w:val="24"/>
                <w:szCs w:val="24"/>
              </w:rPr>
              <w:t>国债</w:t>
            </w:r>
            <w:r>
              <w:rPr>
                <w:color w:val="000000"/>
                <w:kern w:val="0"/>
                <w:sz w:val="24"/>
                <w:szCs w:val="24"/>
              </w:rPr>
              <w:t>01</w:t>
            </w:r>
          </w:p>
        </w:tc>
        <w:tc>
          <w:tcPr>
            <w:tcW w:w="1560" w:type="dxa"/>
            <w:vAlign w:val="center"/>
          </w:tcPr>
          <w:p w:rsidR="00BB3516" w:rsidRDefault="00AA1887">
            <w:pPr>
              <w:jc w:val="right"/>
            </w:pPr>
            <w:r>
              <w:rPr>
                <w:color w:val="000000"/>
                <w:kern w:val="0"/>
                <w:sz w:val="24"/>
                <w:szCs w:val="24"/>
              </w:rPr>
              <w:t>116,700</w:t>
            </w:r>
          </w:p>
        </w:tc>
        <w:tc>
          <w:tcPr>
            <w:tcW w:w="1984" w:type="dxa"/>
            <w:vAlign w:val="center"/>
          </w:tcPr>
          <w:p w:rsidR="00BB3516" w:rsidRDefault="00AA1887">
            <w:pPr>
              <w:jc w:val="right"/>
            </w:pPr>
            <w:r>
              <w:rPr>
                <w:color w:val="000000"/>
                <w:kern w:val="0"/>
                <w:sz w:val="24"/>
                <w:szCs w:val="24"/>
              </w:rPr>
              <w:t>11,668,833.00</w:t>
            </w:r>
          </w:p>
        </w:tc>
        <w:tc>
          <w:tcPr>
            <w:tcW w:w="1474" w:type="dxa"/>
            <w:vAlign w:val="center"/>
          </w:tcPr>
          <w:p w:rsidR="00BB3516" w:rsidRDefault="00AA1887">
            <w:pPr>
              <w:jc w:val="right"/>
            </w:pPr>
            <w:r>
              <w:rPr>
                <w:color w:val="000000"/>
                <w:kern w:val="0"/>
                <w:sz w:val="24"/>
                <w:szCs w:val="24"/>
              </w:rPr>
              <w:t>4.39</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本基金本报告期末未持有资产支持证券。</w:t>
      </w:r>
    </w:p>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033E3E" w:rsidRDefault="00033E3E" w:rsidP="00033E3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C26ADA" w:rsidRDefault="00C26ADA" w:rsidP="00C26ADA">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5.11.1报告期内本基金投资的前十名证券的发行主体未被监管部门立案调查，在本报告编制日前一年内本基金投资的前十名证券的发行主体未受到公开谴责、处罚。</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5.11.2本基金本报告期没有投资股票，因此不存在投资的前十名股票超出基金合同规定的备选股票库情况。</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8,546.76</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191,729.04</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243,165.64</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lastRenderedPageBreak/>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443,441.44</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本基金本报告期末未持有处于转股期的可转换债券。</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本基金本报告期末未持有股票。</w:t>
      </w:r>
    </w:p>
    <w:p w:rsidR="006A5FB3" w:rsidRPr="006A5FB3" w:rsidRDefault="006A5FB3" w:rsidP="006A5FB3">
      <w:pPr>
        <w:pStyle w:val="1"/>
        <w:spacing w:beforeLines="100" w:before="312" w:afterLines="100" w:after="312" w:line="360" w:lineRule="auto"/>
        <w:jc w:val="center"/>
        <w:rPr>
          <w:color w:val="000000"/>
          <w:kern w:val="0"/>
          <w:sz w:val="24"/>
          <w:szCs w:val="24"/>
        </w:rPr>
      </w:pPr>
      <w:r w:rsidRPr="006A5FB3">
        <w:rPr>
          <w:color w:val="000000"/>
          <w:kern w:val="0"/>
          <w:sz w:val="24"/>
          <w:szCs w:val="24"/>
        </w:rPr>
        <w:t>§6</w:t>
      </w:r>
      <w:r w:rsidR="006D75A5" w:rsidRPr="00264E55">
        <w:rPr>
          <w:rFonts w:ascii="宋体" w:hAnsi="宋体"/>
          <w:color w:val="000000"/>
          <w:kern w:val="0"/>
          <w:sz w:val="24"/>
          <w:szCs w:val="24"/>
        </w:rPr>
        <w:t xml:space="preserve">  </w:t>
      </w:r>
      <w:r w:rsidRPr="006A5FB3">
        <w:rPr>
          <w:color w:val="000000"/>
          <w:kern w:val="0"/>
          <w:sz w:val="24"/>
          <w:szCs w:val="24"/>
        </w:rPr>
        <w:t>基金中基金</w:t>
      </w:r>
    </w:p>
    <w:p w:rsidR="006A5FB3" w:rsidRPr="006A5FB3" w:rsidRDefault="006A5FB3" w:rsidP="006A5FB3">
      <w:pPr>
        <w:autoSpaceDE w:val="0"/>
        <w:autoSpaceDN w:val="0"/>
        <w:adjustRightInd w:val="0"/>
        <w:spacing w:line="360" w:lineRule="auto"/>
        <w:jc w:val="left"/>
        <w:rPr>
          <w:color w:val="000000"/>
          <w:sz w:val="24"/>
          <w:szCs w:val="24"/>
        </w:rPr>
      </w:pPr>
      <w:r w:rsidRPr="006A5FB3">
        <w:rPr>
          <w:color w:val="000000"/>
          <w:sz w:val="24"/>
          <w:szCs w:val="24"/>
        </w:rPr>
        <w:t xml:space="preserve">6.1 </w:t>
      </w:r>
      <w:r w:rsidRPr="006A5FB3">
        <w:rPr>
          <w:color w:val="000000"/>
          <w:sz w:val="24"/>
          <w:szCs w:val="24"/>
        </w:rPr>
        <w:t>报告期末按公允价值占基金资产净值比例大小排序的前十名基金投资明细</w:t>
      </w:r>
    </w:p>
    <w:tbl>
      <w:tblPr>
        <w:tblStyle w:val="af7"/>
        <w:tblW w:w="4863" w:type="pct"/>
        <w:tblInd w:w="108" w:type="dxa"/>
        <w:tblLayout w:type="fixed"/>
        <w:tblLook w:val="04A0" w:firstRow="1" w:lastRow="0" w:firstColumn="1" w:lastColumn="0" w:noHBand="0" w:noVBand="1"/>
      </w:tblPr>
      <w:tblGrid>
        <w:gridCol w:w="668"/>
        <w:gridCol w:w="1068"/>
        <w:gridCol w:w="1072"/>
        <w:gridCol w:w="1072"/>
        <w:gridCol w:w="1070"/>
        <w:gridCol w:w="1204"/>
        <w:gridCol w:w="1072"/>
        <w:gridCol w:w="1068"/>
      </w:tblGrid>
      <w:tr w:rsidR="006A5FB3" w:rsidRPr="006A5FB3" w:rsidTr="00F94C5F">
        <w:tc>
          <w:tcPr>
            <w:tcW w:w="403" w:type="pct"/>
            <w:vAlign w:val="center"/>
          </w:tcPr>
          <w:p w:rsidR="006A5FB3" w:rsidRPr="006A5FB3" w:rsidRDefault="006A5FB3" w:rsidP="00F94C5F">
            <w:pPr>
              <w:pStyle w:val="Default"/>
              <w:spacing w:line="276" w:lineRule="auto"/>
              <w:jc w:val="center"/>
              <w:rPr>
                <w:rFonts w:ascii="Times New Roman" w:hAnsi="Times New Roman" w:cs="Times New Roman"/>
              </w:rPr>
            </w:pPr>
            <w:r w:rsidRPr="006A5FB3">
              <w:rPr>
                <w:rFonts w:ascii="Times New Roman" w:hAnsi="Times New Roman" w:cs="Times New Roman"/>
              </w:rPr>
              <w:t>序号</w:t>
            </w:r>
          </w:p>
        </w:tc>
        <w:tc>
          <w:tcPr>
            <w:tcW w:w="644" w:type="pct"/>
            <w:vAlign w:val="center"/>
          </w:tcPr>
          <w:p w:rsidR="006A5FB3" w:rsidRPr="006A5FB3" w:rsidRDefault="006A5FB3" w:rsidP="00F94C5F">
            <w:pPr>
              <w:pStyle w:val="Default"/>
              <w:spacing w:line="276" w:lineRule="auto"/>
              <w:jc w:val="center"/>
              <w:rPr>
                <w:rFonts w:ascii="Times New Roman" w:hAnsi="Times New Roman" w:cs="Times New Roman"/>
              </w:rPr>
            </w:pPr>
            <w:r w:rsidRPr="006A5FB3">
              <w:rPr>
                <w:rFonts w:ascii="Times New Roman" w:hAnsi="Times New Roman" w:cs="Times New Roman"/>
              </w:rPr>
              <w:t>基金代码</w:t>
            </w:r>
          </w:p>
        </w:tc>
        <w:tc>
          <w:tcPr>
            <w:tcW w:w="646" w:type="pct"/>
            <w:vAlign w:val="center"/>
          </w:tcPr>
          <w:p w:rsidR="006A5FB3" w:rsidRPr="006A5FB3" w:rsidRDefault="006A5FB3" w:rsidP="00F94C5F">
            <w:pPr>
              <w:pStyle w:val="Default"/>
              <w:spacing w:line="276" w:lineRule="auto"/>
              <w:jc w:val="center"/>
              <w:rPr>
                <w:rFonts w:ascii="Times New Roman" w:hAnsi="Times New Roman" w:cs="Times New Roman"/>
              </w:rPr>
            </w:pPr>
            <w:r w:rsidRPr="006A5FB3">
              <w:rPr>
                <w:rFonts w:ascii="Times New Roman" w:hAnsi="Times New Roman" w:cs="Times New Roman"/>
              </w:rPr>
              <w:t>基金名称</w:t>
            </w:r>
          </w:p>
        </w:tc>
        <w:tc>
          <w:tcPr>
            <w:tcW w:w="646" w:type="pct"/>
            <w:vAlign w:val="center"/>
          </w:tcPr>
          <w:p w:rsidR="006A5FB3" w:rsidRPr="006A5FB3" w:rsidRDefault="006A5FB3" w:rsidP="00F94C5F">
            <w:pPr>
              <w:pStyle w:val="Default"/>
              <w:spacing w:line="276" w:lineRule="auto"/>
              <w:jc w:val="center"/>
              <w:rPr>
                <w:rFonts w:ascii="Times New Roman" w:hAnsi="Times New Roman" w:cs="Times New Roman"/>
              </w:rPr>
            </w:pPr>
            <w:r w:rsidRPr="006A5FB3">
              <w:rPr>
                <w:rFonts w:ascii="Times New Roman" w:hAnsi="Times New Roman" w:cs="Times New Roman"/>
              </w:rPr>
              <w:t>运作方式</w:t>
            </w:r>
          </w:p>
        </w:tc>
        <w:tc>
          <w:tcPr>
            <w:tcW w:w="645" w:type="pct"/>
            <w:vAlign w:val="center"/>
          </w:tcPr>
          <w:p w:rsidR="006A5FB3" w:rsidRPr="006A5FB3" w:rsidRDefault="006A5FB3" w:rsidP="00F94C5F">
            <w:pPr>
              <w:pStyle w:val="Default"/>
              <w:spacing w:line="276" w:lineRule="auto"/>
              <w:jc w:val="center"/>
              <w:rPr>
                <w:rFonts w:ascii="Times New Roman" w:hAnsi="Times New Roman" w:cs="Times New Roman"/>
              </w:rPr>
            </w:pPr>
            <w:r w:rsidRPr="006A5FB3">
              <w:rPr>
                <w:rFonts w:ascii="Times New Roman" w:hAnsi="Times New Roman" w:cs="Times New Roman"/>
              </w:rPr>
              <w:t>持有份额（份）</w:t>
            </w:r>
          </w:p>
        </w:tc>
        <w:tc>
          <w:tcPr>
            <w:tcW w:w="726" w:type="pct"/>
            <w:vAlign w:val="center"/>
          </w:tcPr>
          <w:p w:rsidR="006A5FB3" w:rsidRPr="006A5FB3" w:rsidRDefault="006A5FB3" w:rsidP="00F94C5F">
            <w:pPr>
              <w:pStyle w:val="Default"/>
              <w:spacing w:line="276" w:lineRule="auto"/>
              <w:jc w:val="center"/>
              <w:rPr>
                <w:rFonts w:ascii="Times New Roman" w:hAnsi="Times New Roman" w:cs="Times New Roman"/>
              </w:rPr>
            </w:pPr>
            <w:r w:rsidRPr="006A5FB3">
              <w:rPr>
                <w:rFonts w:ascii="Times New Roman" w:hAnsi="Times New Roman" w:cs="Times New Roman"/>
              </w:rPr>
              <w:t>公允价值（元）</w:t>
            </w:r>
          </w:p>
        </w:tc>
        <w:tc>
          <w:tcPr>
            <w:tcW w:w="646" w:type="pct"/>
            <w:vAlign w:val="center"/>
          </w:tcPr>
          <w:p w:rsidR="006A5FB3" w:rsidRPr="006A5FB3" w:rsidRDefault="006A5FB3" w:rsidP="00F94C5F">
            <w:pPr>
              <w:pStyle w:val="Default"/>
              <w:spacing w:line="276" w:lineRule="auto"/>
              <w:jc w:val="center"/>
              <w:rPr>
                <w:rFonts w:ascii="Times New Roman" w:hAnsi="Times New Roman" w:cs="Times New Roman"/>
              </w:rPr>
            </w:pPr>
            <w:r w:rsidRPr="006A5FB3">
              <w:rPr>
                <w:rFonts w:ascii="Times New Roman" w:hAnsi="Times New Roman" w:cs="Times New Roman"/>
              </w:rPr>
              <w:t>占基金资产净值比例（</w:t>
            </w:r>
            <w:r w:rsidRPr="006A5FB3">
              <w:rPr>
                <w:rFonts w:ascii="Times New Roman" w:hAnsi="Times New Roman" w:cs="Times New Roman"/>
              </w:rPr>
              <w:t>%</w:t>
            </w:r>
            <w:r w:rsidRPr="006A5FB3">
              <w:rPr>
                <w:rFonts w:ascii="Times New Roman" w:hAnsi="Times New Roman" w:cs="Times New Roman"/>
              </w:rPr>
              <w:t>）</w:t>
            </w:r>
          </w:p>
        </w:tc>
        <w:tc>
          <w:tcPr>
            <w:tcW w:w="645" w:type="pct"/>
            <w:vAlign w:val="center"/>
          </w:tcPr>
          <w:p w:rsidR="006A5FB3" w:rsidRPr="006A5FB3" w:rsidRDefault="006A5FB3" w:rsidP="00F94C5F">
            <w:pPr>
              <w:pStyle w:val="Default"/>
              <w:spacing w:line="276" w:lineRule="auto"/>
              <w:jc w:val="center"/>
              <w:rPr>
                <w:rFonts w:ascii="Times New Roman" w:hAnsi="Times New Roman" w:cs="Times New Roman"/>
              </w:rPr>
            </w:pPr>
            <w:r w:rsidRPr="006A5FB3">
              <w:rPr>
                <w:rFonts w:ascii="Times New Roman" w:hAnsi="Times New Roman" w:cs="Times New Roman"/>
              </w:rPr>
              <w:t>是否属于基金管理人及管理人关联方所管理的基金</w:t>
            </w:r>
          </w:p>
        </w:tc>
      </w:tr>
      <w:tr w:rsidR="00BB3516">
        <w:tc>
          <w:tcPr>
            <w:tcW w:w="668" w:type="dxa"/>
            <w:vAlign w:val="center"/>
          </w:tcPr>
          <w:p w:rsidR="00BB3516" w:rsidRDefault="00AA1887">
            <w:pPr>
              <w:jc w:val="center"/>
            </w:pPr>
            <w:r>
              <w:rPr>
                <w:sz w:val="24"/>
                <w:szCs w:val="24"/>
              </w:rPr>
              <w:t>1</w:t>
            </w:r>
          </w:p>
        </w:tc>
        <w:tc>
          <w:tcPr>
            <w:tcW w:w="1068" w:type="dxa"/>
            <w:vAlign w:val="center"/>
          </w:tcPr>
          <w:p w:rsidR="00BB3516" w:rsidRDefault="00AA1887">
            <w:pPr>
              <w:jc w:val="center"/>
            </w:pPr>
            <w:r>
              <w:rPr>
                <w:sz w:val="24"/>
                <w:szCs w:val="24"/>
              </w:rPr>
              <w:t>519062</w:t>
            </w:r>
          </w:p>
        </w:tc>
        <w:tc>
          <w:tcPr>
            <w:tcW w:w="1072" w:type="dxa"/>
            <w:vAlign w:val="center"/>
          </w:tcPr>
          <w:p w:rsidR="00BB3516" w:rsidRDefault="00AA1887">
            <w:pPr>
              <w:jc w:val="center"/>
            </w:pPr>
            <w:r>
              <w:rPr>
                <w:sz w:val="24"/>
                <w:szCs w:val="24"/>
              </w:rPr>
              <w:t>海富通阿尔法对冲混合</w:t>
            </w:r>
          </w:p>
        </w:tc>
        <w:tc>
          <w:tcPr>
            <w:tcW w:w="1072" w:type="dxa"/>
            <w:vAlign w:val="center"/>
          </w:tcPr>
          <w:p w:rsidR="00BB3516" w:rsidRDefault="00AA1887">
            <w:pPr>
              <w:jc w:val="center"/>
            </w:pPr>
            <w:r>
              <w:rPr>
                <w:sz w:val="24"/>
                <w:szCs w:val="24"/>
              </w:rPr>
              <w:t>契约型开放式</w:t>
            </w:r>
          </w:p>
        </w:tc>
        <w:tc>
          <w:tcPr>
            <w:tcW w:w="1070" w:type="dxa"/>
            <w:vAlign w:val="center"/>
          </w:tcPr>
          <w:p w:rsidR="00BB3516" w:rsidRDefault="00AA1887">
            <w:pPr>
              <w:jc w:val="center"/>
            </w:pPr>
            <w:r>
              <w:rPr>
                <w:sz w:val="24"/>
                <w:szCs w:val="24"/>
              </w:rPr>
              <w:t>18,546,485.26</w:t>
            </w:r>
          </w:p>
        </w:tc>
        <w:tc>
          <w:tcPr>
            <w:tcW w:w="1204" w:type="dxa"/>
            <w:vAlign w:val="center"/>
          </w:tcPr>
          <w:p w:rsidR="00BB3516" w:rsidRDefault="00AA1887">
            <w:pPr>
              <w:jc w:val="center"/>
            </w:pPr>
            <w:r>
              <w:rPr>
                <w:sz w:val="24"/>
                <w:szCs w:val="24"/>
              </w:rPr>
              <w:t>23,720,954.65</w:t>
            </w:r>
          </w:p>
        </w:tc>
        <w:tc>
          <w:tcPr>
            <w:tcW w:w="1072" w:type="dxa"/>
            <w:vAlign w:val="center"/>
          </w:tcPr>
          <w:p w:rsidR="00BB3516" w:rsidRDefault="00AA1887">
            <w:pPr>
              <w:jc w:val="center"/>
            </w:pPr>
            <w:r>
              <w:rPr>
                <w:sz w:val="24"/>
                <w:szCs w:val="24"/>
              </w:rPr>
              <w:t>8.91%</w:t>
            </w:r>
          </w:p>
        </w:tc>
        <w:tc>
          <w:tcPr>
            <w:tcW w:w="1068" w:type="dxa"/>
            <w:vAlign w:val="center"/>
          </w:tcPr>
          <w:p w:rsidR="00BB3516" w:rsidRDefault="00AA1887">
            <w:pPr>
              <w:jc w:val="center"/>
            </w:pPr>
            <w:r>
              <w:rPr>
                <w:sz w:val="24"/>
                <w:szCs w:val="24"/>
              </w:rPr>
              <w:t>否</w:t>
            </w:r>
          </w:p>
        </w:tc>
      </w:tr>
      <w:tr w:rsidR="00BB3516">
        <w:tc>
          <w:tcPr>
            <w:tcW w:w="668" w:type="dxa"/>
            <w:vAlign w:val="center"/>
          </w:tcPr>
          <w:p w:rsidR="00BB3516" w:rsidRDefault="00AA1887">
            <w:pPr>
              <w:jc w:val="center"/>
            </w:pPr>
            <w:r>
              <w:rPr>
                <w:sz w:val="24"/>
                <w:szCs w:val="24"/>
              </w:rPr>
              <w:t>2</w:t>
            </w:r>
          </w:p>
        </w:tc>
        <w:tc>
          <w:tcPr>
            <w:tcW w:w="1068" w:type="dxa"/>
            <w:vAlign w:val="center"/>
          </w:tcPr>
          <w:p w:rsidR="00BB3516" w:rsidRDefault="00AA1887">
            <w:pPr>
              <w:jc w:val="center"/>
            </w:pPr>
            <w:r>
              <w:rPr>
                <w:sz w:val="24"/>
                <w:szCs w:val="24"/>
              </w:rPr>
              <w:t>217022</w:t>
            </w:r>
          </w:p>
        </w:tc>
        <w:tc>
          <w:tcPr>
            <w:tcW w:w="1072" w:type="dxa"/>
            <w:vAlign w:val="center"/>
          </w:tcPr>
          <w:p w:rsidR="00BB3516" w:rsidRDefault="00AA1887">
            <w:pPr>
              <w:jc w:val="center"/>
            </w:pPr>
            <w:r>
              <w:rPr>
                <w:sz w:val="24"/>
                <w:szCs w:val="24"/>
              </w:rPr>
              <w:t>招商产业债券</w:t>
            </w:r>
            <w:r>
              <w:rPr>
                <w:sz w:val="24"/>
                <w:szCs w:val="24"/>
              </w:rPr>
              <w:t>A</w:t>
            </w:r>
          </w:p>
        </w:tc>
        <w:tc>
          <w:tcPr>
            <w:tcW w:w="1072" w:type="dxa"/>
            <w:vAlign w:val="center"/>
          </w:tcPr>
          <w:p w:rsidR="00BB3516" w:rsidRDefault="00AA1887">
            <w:pPr>
              <w:jc w:val="center"/>
            </w:pPr>
            <w:r>
              <w:rPr>
                <w:sz w:val="24"/>
                <w:szCs w:val="24"/>
              </w:rPr>
              <w:t>契约型开放式</w:t>
            </w:r>
          </w:p>
        </w:tc>
        <w:tc>
          <w:tcPr>
            <w:tcW w:w="1070" w:type="dxa"/>
            <w:vAlign w:val="center"/>
          </w:tcPr>
          <w:p w:rsidR="00BB3516" w:rsidRDefault="00AA1887">
            <w:pPr>
              <w:jc w:val="center"/>
            </w:pPr>
            <w:r>
              <w:rPr>
                <w:sz w:val="24"/>
                <w:szCs w:val="24"/>
              </w:rPr>
              <w:t>14,597,810.21</w:t>
            </w:r>
          </w:p>
        </w:tc>
        <w:tc>
          <w:tcPr>
            <w:tcW w:w="1204" w:type="dxa"/>
            <w:vAlign w:val="center"/>
          </w:tcPr>
          <w:p w:rsidR="00BB3516" w:rsidRDefault="00AA1887">
            <w:pPr>
              <w:jc w:val="center"/>
            </w:pPr>
            <w:r>
              <w:rPr>
                <w:sz w:val="24"/>
                <w:szCs w:val="24"/>
              </w:rPr>
              <w:t>21,020,846.70</w:t>
            </w:r>
          </w:p>
        </w:tc>
        <w:tc>
          <w:tcPr>
            <w:tcW w:w="1072" w:type="dxa"/>
            <w:vAlign w:val="center"/>
          </w:tcPr>
          <w:p w:rsidR="00BB3516" w:rsidRDefault="00AA1887">
            <w:pPr>
              <w:jc w:val="center"/>
            </w:pPr>
            <w:r>
              <w:rPr>
                <w:sz w:val="24"/>
                <w:szCs w:val="24"/>
              </w:rPr>
              <w:t>7.90%</w:t>
            </w:r>
          </w:p>
        </w:tc>
        <w:tc>
          <w:tcPr>
            <w:tcW w:w="1068" w:type="dxa"/>
            <w:vAlign w:val="center"/>
          </w:tcPr>
          <w:p w:rsidR="00BB3516" w:rsidRDefault="00AA1887">
            <w:pPr>
              <w:jc w:val="center"/>
            </w:pPr>
            <w:r>
              <w:rPr>
                <w:sz w:val="24"/>
                <w:szCs w:val="24"/>
              </w:rPr>
              <w:t>否</w:t>
            </w:r>
          </w:p>
        </w:tc>
      </w:tr>
      <w:tr w:rsidR="00BB3516">
        <w:tc>
          <w:tcPr>
            <w:tcW w:w="668" w:type="dxa"/>
            <w:vAlign w:val="center"/>
          </w:tcPr>
          <w:p w:rsidR="00BB3516" w:rsidRDefault="00AA1887">
            <w:pPr>
              <w:jc w:val="center"/>
            </w:pPr>
            <w:r>
              <w:rPr>
                <w:sz w:val="24"/>
                <w:szCs w:val="24"/>
              </w:rPr>
              <w:t>3</w:t>
            </w:r>
          </w:p>
        </w:tc>
        <w:tc>
          <w:tcPr>
            <w:tcW w:w="1068" w:type="dxa"/>
            <w:vAlign w:val="center"/>
          </w:tcPr>
          <w:p w:rsidR="00BB3516" w:rsidRDefault="00AA1887">
            <w:pPr>
              <w:jc w:val="center"/>
            </w:pPr>
            <w:r>
              <w:rPr>
                <w:sz w:val="24"/>
                <w:szCs w:val="24"/>
              </w:rPr>
              <w:t>000194</w:t>
            </w:r>
          </w:p>
        </w:tc>
        <w:tc>
          <w:tcPr>
            <w:tcW w:w="1072" w:type="dxa"/>
            <w:vAlign w:val="center"/>
          </w:tcPr>
          <w:p w:rsidR="00BB3516" w:rsidRDefault="00AA1887">
            <w:pPr>
              <w:jc w:val="center"/>
            </w:pPr>
            <w:r>
              <w:rPr>
                <w:sz w:val="24"/>
                <w:szCs w:val="24"/>
              </w:rPr>
              <w:t>银华信用四季红债券</w:t>
            </w:r>
            <w:r>
              <w:rPr>
                <w:sz w:val="24"/>
                <w:szCs w:val="24"/>
              </w:rPr>
              <w:t>A</w:t>
            </w:r>
          </w:p>
        </w:tc>
        <w:tc>
          <w:tcPr>
            <w:tcW w:w="1072" w:type="dxa"/>
            <w:vAlign w:val="center"/>
          </w:tcPr>
          <w:p w:rsidR="00BB3516" w:rsidRDefault="00AA1887">
            <w:pPr>
              <w:jc w:val="center"/>
            </w:pPr>
            <w:r>
              <w:rPr>
                <w:sz w:val="24"/>
                <w:szCs w:val="24"/>
              </w:rPr>
              <w:t>契约型开放式</w:t>
            </w:r>
          </w:p>
        </w:tc>
        <w:tc>
          <w:tcPr>
            <w:tcW w:w="1070" w:type="dxa"/>
            <w:vAlign w:val="center"/>
          </w:tcPr>
          <w:p w:rsidR="00BB3516" w:rsidRDefault="00AA1887">
            <w:pPr>
              <w:jc w:val="center"/>
            </w:pPr>
            <w:r>
              <w:rPr>
                <w:sz w:val="24"/>
                <w:szCs w:val="24"/>
              </w:rPr>
              <w:t>18,690,654.20</w:t>
            </w:r>
          </w:p>
        </w:tc>
        <w:tc>
          <w:tcPr>
            <w:tcW w:w="1204" w:type="dxa"/>
            <w:vAlign w:val="center"/>
          </w:tcPr>
          <w:p w:rsidR="00BB3516" w:rsidRDefault="00AA1887">
            <w:pPr>
              <w:jc w:val="center"/>
            </w:pPr>
            <w:r>
              <w:rPr>
                <w:sz w:val="24"/>
                <w:szCs w:val="24"/>
              </w:rPr>
              <w:t>20,298,050.46</w:t>
            </w:r>
          </w:p>
        </w:tc>
        <w:tc>
          <w:tcPr>
            <w:tcW w:w="1072" w:type="dxa"/>
            <w:vAlign w:val="center"/>
          </w:tcPr>
          <w:p w:rsidR="00BB3516" w:rsidRDefault="00AA1887">
            <w:pPr>
              <w:jc w:val="center"/>
            </w:pPr>
            <w:r>
              <w:rPr>
                <w:sz w:val="24"/>
                <w:szCs w:val="24"/>
              </w:rPr>
              <w:t>7.63%</w:t>
            </w:r>
          </w:p>
        </w:tc>
        <w:tc>
          <w:tcPr>
            <w:tcW w:w="1068" w:type="dxa"/>
            <w:vAlign w:val="center"/>
          </w:tcPr>
          <w:p w:rsidR="00BB3516" w:rsidRDefault="00AA1887">
            <w:pPr>
              <w:jc w:val="center"/>
            </w:pPr>
            <w:r>
              <w:rPr>
                <w:sz w:val="24"/>
                <w:szCs w:val="24"/>
              </w:rPr>
              <w:t>否</w:t>
            </w:r>
          </w:p>
        </w:tc>
      </w:tr>
      <w:tr w:rsidR="00BB3516">
        <w:tc>
          <w:tcPr>
            <w:tcW w:w="668" w:type="dxa"/>
            <w:vAlign w:val="center"/>
          </w:tcPr>
          <w:p w:rsidR="00BB3516" w:rsidRDefault="00AA1887">
            <w:pPr>
              <w:jc w:val="center"/>
            </w:pPr>
            <w:r>
              <w:rPr>
                <w:sz w:val="24"/>
                <w:szCs w:val="24"/>
              </w:rPr>
              <w:t>4</w:t>
            </w:r>
          </w:p>
        </w:tc>
        <w:tc>
          <w:tcPr>
            <w:tcW w:w="1068" w:type="dxa"/>
            <w:vAlign w:val="center"/>
          </w:tcPr>
          <w:p w:rsidR="00BB3516" w:rsidRDefault="00AA1887">
            <w:pPr>
              <w:jc w:val="center"/>
            </w:pPr>
            <w:r>
              <w:rPr>
                <w:sz w:val="24"/>
                <w:szCs w:val="24"/>
              </w:rPr>
              <w:t>110037</w:t>
            </w:r>
          </w:p>
        </w:tc>
        <w:tc>
          <w:tcPr>
            <w:tcW w:w="1072" w:type="dxa"/>
            <w:vAlign w:val="center"/>
          </w:tcPr>
          <w:p w:rsidR="00BB3516" w:rsidRDefault="00AA1887">
            <w:pPr>
              <w:jc w:val="center"/>
            </w:pPr>
            <w:r>
              <w:rPr>
                <w:sz w:val="24"/>
                <w:szCs w:val="24"/>
              </w:rPr>
              <w:t>易方达纯债债券</w:t>
            </w:r>
            <w:r>
              <w:rPr>
                <w:sz w:val="24"/>
                <w:szCs w:val="24"/>
              </w:rPr>
              <w:t>A</w:t>
            </w:r>
          </w:p>
        </w:tc>
        <w:tc>
          <w:tcPr>
            <w:tcW w:w="1072" w:type="dxa"/>
            <w:vAlign w:val="center"/>
          </w:tcPr>
          <w:p w:rsidR="00BB3516" w:rsidRDefault="00AA1887">
            <w:pPr>
              <w:jc w:val="center"/>
            </w:pPr>
            <w:r>
              <w:rPr>
                <w:sz w:val="24"/>
                <w:szCs w:val="24"/>
              </w:rPr>
              <w:t>契约型开放式</w:t>
            </w:r>
          </w:p>
        </w:tc>
        <w:tc>
          <w:tcPr>
            <w:tcW w:w="1070" w:type="dxa"/>
            <w:vAlign w:val="center"/>
          </w:tcPr>
          <w:p w:rsidR="00BB3516" w:rsidRDefault="00AA1887">
            <w:pPr>
              <w:jc w:val="center"/>
            </w:pPr>
            <w:r>
              <w:rPr>
                <w:sz w:val="24"/>
                <w:szCs w:val="24"/>
              </w:rPr>
              <w:t>17,619,606.53</w:t>
            </w:r>
          </w:p>
        </w:tc>
        <w:tc>
          <w:tcPr>
            <w:tcW w:w="1204" w:type="dxa"/>
            <w:vAlign w:val="center"/>
          </w:tcPr>
          <w:p w:rsidR="00BB3516" w:rsidRDefault="00AA1887">
            <w:pPr>
              <w:jc w:val="center"/>
            </w:pPr>
            <w:r>
              <w:rPr>
                <w:sz w:val="24"/>
                <w:szCs w:val="24"/>
              </w:rPr>
              <w:t>19,645,861.28</w:t>
            </w:r>
          </w:p>
        </w:tc>
        <w:tc>
          <w:tcPr>
            <w:tcW w:w="1072" w:type="dxa"/>
            <w:vAlign w:val="center"/>
          </w:tcPr>
          <w:p w:rsidR="00BB3516" w:rsidRDefault="00AA1887">
            <w:pPr>
              <w:jc w:val="center"/>
            </w:pPr>
            <w:r>
              <w:rPr>
                <w:sz w:val="24"/>
                <w:szCs w:val="24"/>
              </w:rPr>
              <w:t>7.38%</w:t>
            </w:r>
          </w:p>
        </w:tc>
        <w:tc>
          <w:tcPr>
            <w:tcW w:w="1068" w:type="dxa"/>
            <w:vAlign w:val="center"/>
          </w:tcPr>
          <w:p w:rsidR="00BB3516" w:rsidRDefault="00AA1887">
            <w:pPr>
              <w:jc w:val="center"/>
            </w:pPr>
            <w:r>
              <w:rPr>
                <w:sz w:val="24"/>
                <w:szCs w:val="24"/>
              </w:rPr>
              <w:t>是</w:t>
            </w:r>
          </w:p>
        </w:tc>
      </w:tr>
      <w:tr w:rsidR="00BB3516">
        <w:tc>
          <w:tcPr>
            <w:tcW w:w="668" w:type="dxa"/>
            <w:vAlign w:val="center"/>
          </w:tcPr>
          <w:p w:rsidR="00BB3516" w:rsidRDefault="00AA1887">
            <w:pPr>
              <w:jc w:val="center"/>
            </w:pPr>
            <w:r>
              <w:rPr>
                <w:sz w:val="24"/>
                <w:szCs w:val="24"/>
              </w:rPr>
              <w:t>5</w:t>
            </w:r>
          </w:p>
        </w:tc>
        <w:tc>
          <w:tcPr>
            <w:tcW w:w="1068" w:type="dxa"/>
            <w:vAlign w:val="center"/>
          </w:tcPr>
          <w:p w:rsidR="00BB3516" w:rsidRDefault="00AA1887">
            <w:pPr>
              <w:jc w:val="center"/>
            </w:pPr>
            <w:r>
              <w:rPr>
                <w:sz w:val="24"/>
                <w:szCs w:val="24"/>
              </w:rPr>
              <w:t>000147</w:t>
            </w:r>
          </w:p>
        </w:tc>
        <w:tc>
          <w:tcPr>
            <w:tcW w:w="1072" w:type="dxa"/>
            <w:vAlign w:val="center"/>
          </w:tcPr>
          <w:p w:rsidR="00BB3516" w:rsidRDefault="00AA1887">
            <w:pPr>
              <w:jc w:val="center"/>
            </w:pPr>
            <w:r>
              <w:rPr>
                <w:sz w:val="24"/>
                <w:szCs w:val="24"/>
              </w:rPr>
              <w:t>易方达高等级信用债债券</w:t>
            </w:r>
            <w:r>
              <w:rPr>
                <w:sz w:val="24"/>
                <w:szCs w:val="24"/>
              </w:rPr>
              <w:t>A</w:t>
            </w:r>
          </w:p>
        </w:tc>
        <w:tc>
          <w:tcPr>
            <w:tcW w:w="1072" w:type="dxa"/>
            <w:vAlign w:val="center"/>
          </w:tcPr>
          <w:p w:rsidR="00BB3516" w:rsidRDefault="00AA1887">
            <w:pPr>
              <w:jc w:val="center"/>
            </w:pPr>
            <w:r>
              <w:rPr>
                <w:sz w:val="24"/>
                <w:szCs w:val="24"/>
              </w:rPr>
              <w:t>契约型开放式</w:t>
            </w:r>
          </w:p>
        </w:tc>
        <w:tc>
          <w:tcPr>
            <w:tcW w:w="1070" w:type="dxa"/>
            <w:vAlign w:val="center"/>
          </w:tcPr>
          <w:p w:rsidR="00BB3516" w:rsidRDefault="00AA1887">
            <w:pPr>
              <w:jc w:val="center"/>
            </w:pPr>
            <w:r>
              <w:rPr>
                <w:sz w:val="24"/>
                <w:szCs w:val="24"/>
              </w:rPr>
              <w:t>17,064,846.42</w:t>
            </w:r>
          </w:p>
        </w:tc>
        <w:tc>
          <w:tcPr>
            <w:tcW w:w="1204" w:type="dxa"/>
            <w:vAlign w:val="center"/>
          </w:tcPr>
          <w:p w:rsidR="00BB3516" w:rsidRDefault="00AA1887">
            <w:pPr>
              <w:jc w:val="center"/>
            </w:pPr>
            <w:r>
              <w:rPr>
                <w:sz w:val="24"/>
                <w:szCs w:val="24"/>
              </w:rPr>
              <w:t>19,590,443.69</w:t>
            </w:r>
          </w:p>
        </w:tc>
        <w:tc>
          <w:tcPr>
            <w:tcW w:w="1072" w:type="dxa"/>
            <w:vAlign w:val="center"/>
          </w:tcPr>
          <w:p w:rsidR="00BB3516" w:rsidRDefault="00AA1887">
            <w:pPr>
              <w:jc w:val="center"/>
            </w:pPr>
            <w:r>
              <w:rPr>
                <w:sz w:val="24"/>
                <w:szCs w:val="24"/>
              </w:rPr>
              <w:t>7.36%</w:t>
            </w:r>
          </w:p>
        </w:tc>
        <w:tc>
          <w:tcPr>
            <w:tcW w:w="1068" w:type="dxa"/>
            <w:vAlign w:val="center"/>
          </w:tcPr>
          <w:p w:rsidR="00BB3516" w:rsidRDefault="00AA1887">
            <w:pPr>
              <w:jc w:val="center"/>
            </w:pPr>
            <w:r>
              <w:rPr>
                <w:sz w:val="24"/>
                <w:szCs w:val="24"/>
              </w:rPr>
              <w:t>是</w:t>
            </w:r>
          </w:p>
        </w:tc>
      </w:tr>
      <w:tr w:rsidR="00BB3516">
        <w:tc>
          <w:tcPr>
            <w:tcW w:w="668" w:type="dxa"/>
            <w:vAlign w:val="center"/>
          </w:tcPr>
          <w:p w:rsidR="00BB3516" w:rsidRDefault="00AA1887">
            <w:pPr>
              <w:jc w:val="center"/>
            </w:pPr>
            <w:r>
              <w:rPr>
                <w:sz w:val="24"/>
                <w:szCs w:val="24"/>
              </w:rPr>
              <w:t>6</w:t>
            </w:r>
          </w:p>
        </w:tc>
        <w:tc>
          <w:tcPr>
            <w:tcW w:w="1068" w:type="dxa"/>
            <w:vAlign w:val="center"/>
          </w:tcPr>
          <w:p w:rsidR="00BB3516" w:rsidRDefault="00AA1887">
            <w:pPr>
              <w:jc w:val="center"/>
            </w:pPr>
            <w:r>
              <w:rPr>
                <w:sz w:val="24"/>
                <w:szCs w:val="24"/>
              </w:rPr>
              <w:t>000032</w:t>
            </w:r>
          </w:p>
        </w:tc>
        <w:tc>
          <w:tcPr>
            <w:tcW w:w="1072" w:type="dxa"/>
            <w:vAlign w:val="center"/>
          </w:tcPr>
          <w:p w:rsidR="00BB3516" w:rsidRDefault="00AA1887">
            <w:pPr>
              <w:jc w:val="center"/>
            </w:pPr>
            <w:r>
              <w:rPr>
                <w:sz w:val="24"/>
                <w:szCs w:val="24"/>
              </w:rPr>
              <w:t>易方达</w:t>
            </w:r>
            <w:r>
              <w:rPr>
                <w:sz w:val="24"/>
                <w:szCs w:val="24"/>
              </w:rPr>
              <w:lastRenderedPageBreak/>
              <w:t>信用债债券</w:t>
            </w:r>
            <w:r>
              <w:rPr>
                <w:sz w:val="24"/>
                <w:szCs w:val="24"/>
              </w:rPr>
              <w:t>A</w:t>
            </w:r>
          </w:p>
        </w:tc>
        <w:tc>
          <w:tcPr>
            <w:tcW w:w="1072" w:type="dxa"/>
            <w:vAlign w:val="center"/>
          </w:tcPr>
          <w:p w:rsidR="00BB3516" w:rsidRDefault="00AA1887">
            <w:pPr>
              <w:jc w:val="center"/>
            </w:pPr>
            <w:r>
              <w:rPr>
                <w:sz w:val="24"/>
                <w:szCs w:val="24"/>
              </w:rPr>
              <w:lastRenderedPageBreak/>
              <w:t>契约型</w:t>
            </w:r>
            <w:r>
              <w:rPr>
                <w:sz w:val="24"/>
                <w:szCs w:val="24"/>
              </w:rPr>
              <w:lastRenderedPageBreak/>
              <w:t>开放式</w:t>
            </w:r>
          </w:p>
        </w:tc>
        <w:tc>
          <w:tcPr>
            <w:tcW w:w="1070" w:type="dxa"/>
            <w:vAlign w:val="center"/>
          </w:tcPr>
          <w:p w:rsidR="00BB3516" w:rsidRDefault="00AA1887">
            <w:pPr>
              <w:jc w:val="center"/>
            </w:pPr>
            <w:r>
              <w:rPr>
                <w:sz w:val="24"/>
                <w:szCs w:val="24"/>
              </w:rPr>
              <w:lastRenderedPageBreak/>
              <w:t>16,764,4</w:t>
            </w:r>
            <w:r>
              <w:rPr>
                <w:sz w:val="24"/>
                <w:szCs w:val="24"/>
              </w:rPr>
              <w:lastRenderedPageBreak/>
              <w:t>59.35</w:t>
            </w:r>
          </w:p>
        </w:tc>
        <w:tc>
          <w:tcPr>
            <w:tcW w:w="1204" w:type="dxa"/>
            <w:vAlign w:val="center"/>
          </w:tcPr>
          <w:p w:rsidR="00BB3516" w:rsidRDefault="00AA1887">
            <w:pPr>
              <w:jc w:val="center"/>
            </w:pPr>
            <w:r>
              <w:rPr>
                <w:sz w:val="24"/>
                <w:szCs w:val="24"/>
              </w:rPr>
              <w:lastRenderedPageBreak/>
              <w:t>18,927,07</w:t>
            </w:r>
            <w:r>
              <w:rPr>
                <w:sz w:val="24"/>
                <w:szCs w:val="24"/>
              </w:rPr>
              <w:lastRenderedPageBreak/>
              <w:t>4.61</w:t>
            </w:r>
          </w:p>
        </w:tc>
        <w:tc>
          <w:tcPr>
            <w:tcW w:w="1072" w:type="dxa"/>
            <w:vAlign w:val="center"/>
          </w:tcPr>
          <w:p w:rsidR="00BB3516" w:rsidRDefault="00AA1887">
            <w:pPr>
              <w:jc w:val="center"/>
            </w:pPr>
            <w:r>
              <w:rPr>
                <w:sz w:val="24"/>
                <w:szCs w:val="24"/>
              </w:rPr>
              <w:lastRenderedPageBreak/>
              <w:t>7.11%</w:t>
            </w:r>
          </w:p>
        </w:tc>
        <w:tc>
          <w:tcPr>
            <w:tcW w:w="1068" w:type="dxa"/>
            <w:vAlign w:val="center"/>
          </w:tcPr>
          <w:p w:rsidR="00BB3516" w:rsidRDefault="00AA1887">
            <w:pPr>
              <w:jc w:val="center"/>
            </w:pPr>
            <w:r>
              <w:rPr>
                <w:sz w:val="24"/>
                <w:szCs w:val="24"/>
              </w:rPr>
              <w:t>是</w:t>
            </w:r>
          </w:p>
        </w:tc>
      </w:tr>
      <w:tr w:rsidR="00BB3516">
        <w:tc>
          <w:tcPr>
            <w:tcW w:w="668" w:type="dxa"/>
            <w:vAlign w:val="center"/>
          </w:tcPr>
          <w:p w:rsidR="00BB3516" w:rsidRDefault="00AA1887">
            <w:pPr>
              <w:jc w:val="center"/>
            </w:pPr>
            <w:r>
              <w:rPr>
                <w:sz w:val="24"/>
                <w:szCs w:val="24"/>
              </w:rPr>
              <w:t>7</w:t>
            </w:r>
          </w:p>
        </w:tc>
        <w:tc>
          <w:tcPr>
            <w:tcW w:w="1068" w:type="dxa"/>
            <w:vAlign w:val="center"/>
          </w:tcPr>
          <w:p w:rsidR="00BB3516" w:rsidRDefault="00AA1887">
            <w:pPr>
              <w:jc w:val="center"/>
            </w:pPr>
            <w:r>
              <w:rPr>
                <w:sz w:val="24"/>
                <w:szCs w:val="24"/>
              </w:rPr>
              <w:t>110011</w:t>
            </w:r>
          </w:p>
        </w:tc>
        <w:tc>
          <w:tcPr>
            <w:tcW w:w="1072" w:type="dxa"/>
            <w:vAlign w:val="center"/>
          </w:tcPr>
          <w:p w:rsidR="00BB3516" w:rsidRDefault="00AA1887">
            <w:pPr>
              <w:jc w:val="center"/>
            </w:pPr>
            <w:r>
              <w:rPr>
                <w:sz w:val="24"/>
                <w:szCs w:val="24"/>
              </w:rPr>
              <w:t>易方达中小盘混合</w:t>
            </w:r>
          </w:p>
        </w:tc>
        <w:tc>
          <w:tcPr>
            <w:tcW w:w="1072" w:type="dxa"/>
            <w:vAlign w:val="center"/>
          </w:tcPr>
          <w:p w:rsidR="00BB3516" w:rsidRDefault="00AA1887">
            <w:pPr>
              <w:jc w:val="center"/>
            </w:pPr>
            <w:r>
              <w:rPr>
                <w:sz w:val="24"/>
                <w:szCs w:val="24"/>
              </w:rPr>
              <w:t>契约型开放式</w:t>
            </w:r>
          </w:p>
        </w:tc>
        <w:tc>
          <w:tcPr>
            <w:tcW w:w="1070" w:type="dxa"/>
            <w:vAlign w:val="center"/>
          </w:tcPr>
          <w:p w:rsidR="00BB3516" w:rsidRDefault="00AA1887">
            <w:pPr>
              <w:jc w:val="center"/>
            </w:pPr>
            <w:r>
              <w:rPr>
                <w:sz w:val="24"/>
                <w:szCs w:val="24"/>
              </w:rPr>
              <w:t>3,263,041.25</w:t>
            </w:r>
          </w:p>
        </w:tc>
        <w:tc>
          <w:tcPr>
            <w:tcW w:w="1204" w:type="dxa"/>
            <w:vAlign w:val="center"/>
          </w:tcPr>
          <w:p w:rsidR="00BB3516" w:rsidRDefault="00AA1887">
            <w:pPr>
              <w:jc w:val="center"/>
            </w:pPr>
            <w:r>
              <w:rPr>
                <w:sz w:val="24"/>
                <w:szCs w:val="24"/>
              </w:rPr>
              <w:t>17,063,421.61</w:t>
            </w:r>
          </w:p>
        </w:tc>
        <w:tc>
          <w:tcPr>
            <w:tcW w:w="1072" w:type="dxa"/>
            <w:vAlign w:val="center"/>
          </w:tcPr>
          <w:p w:rsidR="00BB3516" w:rsidRDefault="00AA1887">
            <w:pPr>
              <w:jc w:val="center"/>
            </w:pPr>
            <w:r>
              <w:rPr>
                <w:sz w:val="24"/>
                <w:szCs w:val="24"/>
              </w:rPr>
              <w:t>6.41%</w:t>
            </w:r>
          </w:p>
        </w:tc>
        <w:tc>
          <w:tcPr>
            <w:tcW w:w="1068" w:type="dxa"/>
            <w:vAlign w:val="center"/>
          </w:tcPr>
          <w:p w:rsidR="00BB3516" w:rsidRDefault="00AA1887">
            <w:pPr>
              <w:jc w:val="center"/>
            </w:pPr>
            <w:r>
              <w:rPr>
                <w:sz w:val="24"/>
                <w:szCs w:val="24"/>
              </w:rPr>
              <w:t>是</w:t>
            </w:r>
          </w:p>
        </w:tc>
      </w:tr>
      <w:tr w:rsidR="00BB3516">
        <w:tc>
          <w:tcPr>
            <w:tcW w:w="668" w:type="dxa"/>
            <w:vAlign w:val="center"/>
          </w:tcPr>
          <w:p w:rsidR="00BB3516" w:rsidRDefault="00AA1887">
            <w:pPr>
              <w:jc w:val="center"/>
            </w:pPr>
            <w:r>
              <w:rPr>
                <w:sz w:val="24"/>
                <w:szCs w:val="24"/>
              </w:rPr>
              <w:t>8</w:t>
            </w:r>
          </w:p>
        </w:tc>
        <w:tc>
          <w:tcPr>
            <w:tcW w:w="1068" w:type="dxa"/>
            <w:vAlign w:val="center"/>
          </w:tcPr>
          <w:p w:rsidR="00BB3516" w:rsidRDefault="00AA1887">
            <w:pPr>
              <w:jc w:val="center"/>
            </w:pPr>
            <w:r>
              <w:rPr>
                <w:sz w:val="24"/>
                <w:szCs w:val="24"/>
              </w:rPr>
              <w:t>510900</w:t>
            </w:r>
          </w:p>
        </w:tc>
        <w:tc>
          <w:tcPr>
            <w:tcW w:w="1072" w:type="dxa"/>
            <w:vAlign w:val="center"/>
          </w:tcPr>
          <w:p w:rsidR="00BB3516" w:rsidRDefault="00AA1887">
            <w:pPr>
              <w:jc w:val="center"/>
            </w:pPr>
            <w:r>
              <w:rPr>
                <w:sz w:val="24"/>
                <w:szCs w:val="24"/>
              </w:rPr>
              <w:t>易方达恒生中国企业</w:t>
            </w:r>
            <w:r>
              <w:rPr>
                <w:sz w:val="24"/>
                <w:szCs w:val="24"/>
              </w:rPr>
              <w:t>ETF(QDII)</w:t>
            </w:r>
          </w:p>
        </w:tc>
        <w:tc>
          <w:tcPr>
            <w:tcW w:w="1072" w:type="dxa"/>
            <w:vAlign w:val="center"/>
          </w:tcPr>
          <w:p w:rsidR="00BB3516" w:rsidRDefault="00AA1887">
            <w:pPr>
              <w:jc w:val="center"/>
            </w:pPr>
            <w:r>
              <w:rPr>
                <w:sz w:val="24"/>
                <w:szCs w:val="24"/>
              </w:rPr>
              <w:t>契约型开放式</w:t>
            </w:r>
          </w:p>
        </w:tc>
        <w:tc>
          <w:tcPr>
            <w:tcW w:w="1070" w:type="dxa"/>
            <w:vAlign w:val="center"/>
          </w:tcPr>
          <w:p w:rsidR="00BB3516" w:rsidRDefault="00AA1887">
            <w:pPr>
              <w:jc w:val="center"/>
            </w:pPr>
            <w:r>
              <w:rPr>
                <w:sz w:val="24"/>
                <w:szCs w:val="24"/>
              </w:rPr>
              <w:t>11,900,000.00</w:t>
            </w:r>
          </w:p>
        </w:tc>
        <w:tc>
          <w:tcPr>
            <w:tcW w:w="1204" w:type="dxa"/>
            <w:vAlign w:val="center"/>
          </w:tcPr>
          <w:p w:rsidR="00BB3516" w:rsidRDefault="00AA1887">
            <w:pPr>
              <w:jc w:val="center"/>
            </w:pPr>
            <w:r>
              <w:rPr>
                <w:sz w:val="24"/>
                <w:szCs w:val="24"/>
              </w:rPr>
              <w:t>14,101,500.00</w:t>
            </w:r>
          </w:p>
        </w:tc>
        <w:tc>
          <w:tcPr>
            <w:tcW w:w="1072" w:type="dxa"/>
            <w:vAlign w:val="center"/>
          </w:tcPr>
          <w:p w:rsidR="00BB3516" w:rsidRDefault="00AA1887">
            <w:pPr>
              <w:jc w:val="center"/>
            </w:pPr>
            <w:r>
              <w:rPr>
                <w:sz w:val="24"/>
                <w:szCs w:val="24"/>
              </w:rPr>
              <w:t>5.30%</w:t>
            </w:r>
          </w:p>
        </w:tc>
        <w:tc>
          <w:tcPr>
            <w:tcW w:w="1068" w:type="dxa"/>
            <w:vAlign w:val="center"/>
          </w:tcPr>
          <w:p w:rsidR="00BB3516" w:rsidRDefault="00AA1887">
            <w:pPr>
              <w:jc w:val="center"/>
            </w:pPr>
            <w:r>
              <w:rPr>
                <w:sz w:val="24"/>
                <w:szCs w:val="24"/>
              </w:rPr>
              <w:t>是</w:t>
            </w:r>
          </w:p>
        </w:tc>
      </w:tr>
      <w:tr w:rsidR="00BB3516">
        <w:tc>
          <w:tcPr>
            <w:tcW w:w="668" w:type="dxa"/>
            <w:vAlign w:val="center"/>
          </w:tcPr>
          <w:p w:rsidR="00BB3516" w:rsidRDefault="00AA1887">
            <w:pPr>
              <w:jc w:val="center"/>
            </w:pPr>
            <w:r>
              <w:rPr>
                <w:sz w:val="24"/>
                <w:szCs w:val="24"/>
              </w:rPr>
              <w:t>9</w:t>
            </w:r>
          </w:p>
        </w:tc>
        <w:tc>
          <w:tcPr>
            <w:tcW w:w="1068" w:type="dxa"/>
            <w:vAlign w:val="center"/>
          </w:tcPr>
          <w:p w:rsidR="00BB3516" w:rsidRDefault="00AA1887">
            <w:pPr>
              <w:jc w:val="center"/>
            </w:pPr>
            <w:r>
              <w:rPr>
                <w:sz w:val="24"/>
                <w:szCs w:val="24"/>
              </w:rPr>
              <w:t>000992</w:t>
            </w:r>
          </w:p>
        </w:tc>
        <w:tc>
          <w:tcPr>
            <w:tcW w:w="1072" w:type="dxa"/>
            <w:vAlign w:val="center"/>
          </w:tcPr>
          <w:p w:rsidR="00BB3516" w:rsidRDefault="00AA1887">
            <w:pPr>
              <w:jc w:val="center"/>
            </w:pPr>
            <w:r>
              <w:rPr>
                <w:sz w:val="24"/>
                <w:szCs w:val="24"/>
              </w:rPr>
              <w:t>广发对冲套利定期开放混合</w:t>
            </w:r>
          </w:p>
        </w:tc>
        <w:tc>
          <w:tcPr>
            <w:tcW w:w="1072" w:type="dxa"/>
            <w:vAlign w:val="center"/>
          </w:tcPr>
          <w:p w:rsidR="00BB3516" w:rsidRDefault="00AA1887">
            <w:pPr>
              <w:jc w:val="center"/>
            </w:pPr>
            <w:r>
              <w:rPr>
                <w:sz w:val="24"/>
                <w:szCs w:val="24"/>
              </w:rPr>
              <w:t>契约型开放式</w:t>
            </w:r>
          </w:p>
        </w:tc>
        <w:tc>
          <w:tcPr>
            <w:tcW w:w="1070" w:type="dxa"/>
            <w:vAlign w:val="center"/>
          </w:tcPr>
          <w:p w:rsidR="00BB3516" w:rsidRDefault="00AA1887">
            <w:pPr>
              <w:jc w:val="center"/>
            </w:pPr>
            <w:r>
              <w:rPr>
                <w:sz w:val="24"/>
                <w:szCs w:val="24"/>
              </w:rPr>
              <w:t>10,255,555.56</w:t>
            </w:r>
          </w:p>
        </w:tc>
        <w:tc>
          <w:tcPr>
            <w:tcW w:w="1204" w:type="dxa"/>
            <w:vAlign w:val="center"/>
          </w:tcPr>
          <w:p w:rsidR="00BB3516" w:rsidRDefault="00AA1887">
            <w:pPr>
              <w:jc w:val="center"/>
            </w:pPr>
            <w:r>
              <w:rPr>
                <w:sz w:val="24"/>
                <w:szCs w:val="24"/>
              </w:rPr>
              <w:t>13,127,111.12</w:t>
            </w:r>
          </w:p>
        </w:tc>
        <w:tc>
          <w:tcPr>
            <w:tcW w:w="1072" w:type="dxa"/>
            <w:vAlign w:val="center"/>
          </w:tcPr>
          <w:p w:rsidR="00BB3516" w:rsidRDefault="00AA1887">
            <w:pPr>
              <w:jc w:val="center"/>
            </w:pPr>
            <w:r>
              <w:rPr>
                <w:sz w:val="24"/>
                <w:szCs w:val="24"/>
              </w:rPr>
              <w:t>4.93%</w:t>
            </w:r>
          </w:p>
        </w:tc>
        <w:tc>
          <w:tcPr>
            <w:tcW w:w="1068" w:type="dxa"/>
            <w:vAlign w:val="center"/>
          </w:tcPr>
          <w:p w:rsidR="00BB3516" w:rsidRDefault="00AA1887">
            <w:pPr>
              <w:jc w:val="center"/>
            </w:pPr>
            <w:r>
              <w:rPr>
                <w:sz w:val="24"/>
                <w:szCs w:val="24"/>
              </w:rPr>
              <w:t>否</w:t>
            </w:r>
          </w:p>
        </w:tc>
      </w:tr>
      <w:tr w:rsidR="00BB3516">
        <w:tc>
          <w:tcPr>
            <w:tcW w:w="668" w:type="dxa"/>
            <w:vAlign w:val="center"/>
          </w:tcPr>
          <w:p w:rsidR="00BB3516" w:rsidRDefault="00AA1887">
            <w:pPr>
              <w:jc w:val="center"/>
            </w:pPr>
            <w:r>
              <w:rPr>
                <w:sz w:val="24"/>
                <w:szCs w:val="24"/>
              </w:rPr>
              <w:t>10</w:t>
            </w:r>
          </w:p>
        </w:tc>
        <w:tc>
          <w:tcPr>
            <w:tcW w:w="1068" w:type="dxa"/>
            <w:vAlign w:val="center"/>
          </w:tcPr>
          <w:p w:rsidR="00BB3516" w:rsidRDefault="00AA1887">
            <w:pPr>
              <w:jc w:val="center"/>
            </w:pPr>
            <w:r>
              <w:rPr>
                <w:sz w:val="24"/>
                <w:szCs w:val="24"/>
              </w:rPr>
              <w:t>001811</w:t>
            </w:r>
          </w:p>
        </w:tc>
        <w:tc>
          <w:tcPr>
            <w:tcW w:w="1072" w:type="dxa"/>
            <w:vAlign w:val="center"/>
          </w:tcPr>
          <w:p w:rsidR="00BB3516" w:rsidRDefault="00AA1887">
            <w:pPr>
              <w:jc w:val="center"/>
            </w:pPr>
            <w:r>
              <w:rPr>
                <w:sz w:val="24"/>
                <w:szCs w:val="24"/>
              </w:rPr>
              <w:t>中欧明睿新常态混合</w:t>
            </w:r>
            <w:r>
              <w:rPr>
                <w:sz w:val="24"/>
                <w:szCs w:val="24"/>
              </w:rPr>
              <w:t>A</w:t>
            </w:r>
          </w:p>
        </w:tc>
        <w:tc>
          <w:tcPr>
            <w:tcW w:w="1072" w:type="dxa"/>
            <w:vAlign w:val="center"/>
          </w:tcPr>
          <w:p w:rsidR="00BB3516" w:rsidRDefault="00AA1887">
            <w:pPr>
              <w:jc w:val="center"/>
            </w:pPr>
            <w:r>
              <w:rPr>
                <w:sz w:val="24"/>
                <w:szCs w:val="24"/>
              </w:rPr>
              <w:t>契约型开放式</w:t>
            </w:r>
          </w:p>
        </w:tc>
        <w:tc>
          <w:tcPr>
            <w:tcW w:w="1070" w:type="dxa"/>
            <w:vAlign w:val="center"/>
          </w:tcPr>
          <w:p w:rsidR="00BB3516" w:rsidRDefault="00AA1887">
            <w:pPr>
              <w:jc w:val="center"/>
            </w:pPr>
            <w:r>
              <w:rPr>
                <w:sz w:val="24"/>
                <w:szCs w:val="24"/>
              </w:rPr>
              <w:t>9,068,519.54</w:t>
            </w:r>
          </w:p>
        </w:tc>
        <w:tc>
          <w:tcPr>
            <w:tcW w:w="1204" w:type="dxa"/>
            <w:vAlign w:val="center"/>
          </w:tcPr>
          <w:p w:rsidR="00BB3516" w:rsidRDefault="00AA1887">
            <w:pPr>
              <w:jc w:val="center"/>
            </w:pPr>
            <w:r>
              <w:rPr>
                <w:sz w:val="24"/>
                <w:szCs w:val="24"/>
              </w:rPr>
              <w:t>12,378,529.17</w:t>
            </w:r>
          </w:p>
        </w:tc>
        <w:tc>
          <w:tcPr>
            <w:tcW w:w="1072" w:type="dxa"/>
            <w:vAlign w:val="center"/>
          </w:tcPr>
          <w:p w:rsidR="00BB3516" w:rsidRDefault="00AA1887">
            <w:pPr>
              <w:jc w:val="center"/>
            </w:pPr>
            <w:r>
              <w:rPr>
                <w:sz w:val="24"/>
                <w:szCs w:val="24"/>
              </w:rPr>
              <w:t>4.65%</w:t>
            </w:r>
          </w:p>
        </w:tc>
        <w:tc>
          <w:tcPr>
            <w:tcW w:w="1068" w:type="dxa"/>
            <w:vAlign w:val="center"/>
          </w:tcPr>
          <w:p w:rsidR="00BB3516" w:rsidRDefault="00AA1887">
            <w:pPr>
              <w:jc w:val="center"/>
            </w:pPr>
            <w:r>
              <w:rPr>
                <w:sz w:val="24"/>
                <w:szCs w:val="24"/>
              </w:rPr>
              <w:t>否</w:t>
            </w:r>
          </w:p>
        </w:tc>
      </w:tr>
    </w:tbl>
    <w:p w:rsidR="006A5FB3" w:rsidRPr="006A5FB3" w:rsidRDefault="006A5FB3" w:rsidP="006A5FB3">
      <w:pPr>
        <w:autoSpaceDE w:val="0"/>
        <w:autoSpaceDN w:val="0"/>
        <w:adjustRightInd w:val="0"/>
        <w:spacing w:line="360" w:lineRule="auto"/>
        <w:jc w:val="left"/>
        <w:rPr>
          <w:color w:val="000000"/>
          <w:sz w:val="24"/>
          <w:szCs w:val="24"/>
        </w:rPr>
      </w:pPr>
      <w:r w:rsidRPr="006A5FB3">
        <w:rPr>
          <w:color w:val="000000"/>
          <w:sz w:val="24"/>
          <w:szCs w:val="24"/>
        </w:rPr>
        <w:t xml:space="preserve">6.2 </w:t>
      </w:r>
      <w:r w:rsidRPr="006A5FB3">
        <w:rPr>
          <w:color w:val="000000"/>
          <w:sz w:val="24"/>
          <w:szCs w:val="24"/>
        </w:rPr>
        <w:t>当期交易及持有基金产生的费用</w:t>
      </w:r>
    </w:p>
    <w:tbl>
      <w:tblPr>
        <w:tblStyle w:val="af7"/>
        <w:tblW w:w="8364" w:type="dxa"/>
        <w:tblInd w:w="108" w:type="dxa"/>
        <w:tblLayout w:type="fixed"/>
        <w:tblLook w:val="04A0" w:firstRow="1" w:lastRow="0" w:firstColumn="1" w:lastColumn="0" w:noHBand="0" w:noVBand="1"/>
      </w:tblPr>
      <w:tblGrid>
        <w:gridCol w:w="2410"/>
        <w:gridCol w:w="2835"/>
        <w:gridCol w:w="3119"/>
      </w:tblGrid>
      <w:tr w:rsidR="006A5FB3" w:rsidRPr="006A5FB3" w:rsidTr="006D75A5">
        <w:tc>
          <w:tcPr>
            <w:tcW w:w="2410" w:type="dxa"/>
            <w:vAlign w:val="center"/>
          </w:tcPr>
          <w:p w:rsidR="006A5FB3" w:rsidRPr="006A5FB3" w:rsidRDefault="006A5FB3" w:rsidP="006A5FB3">
            <w:pPr>
              <w:adjustRightInd w:val="0"/>
              <w:snapToGrid w:val="0"/>
              <w:spacing w:beforeLines="50" w:before="156"/>
              <w:jc w:val="center"/>
              <w:rPr>
                <w:color w:val="000000" w:themeColor="text1"/>
                <w:sz w:val="24"/>
                <w:szCs w:val="24"/>
              </w:rPr>
            </w:pPr>
            <w:r w:rsidRPr="006A5FB3">
              <w:rPr>
                <w:sz w:val="24"/>
                <w:szCs w:val="24"/>
              </w:rPr>
              <w:t>项目</w:t>
            </w:r>
          </w:p>
        </w:tc>
        <w:tc>
          <w:tcPr>
            <w:tcW w:w="2835" w:type="dxa"/>
            <w:vAlign w:val="center"/>
          </w:tcPr>
          <w:p w:rsidR="006A5FB3" w:rsidRDefault="006A5FB3" w:rsidP="00F94C5F">
            <w:pPr>
              <w:jc w:val="center"/>
              <w:rPr>
                <w:sz w:val="24"/>
                <w:szCs w:val="24"/>
              </w:rPr>
            </w:pPr>
            <w:r w:rsidRPr="006A5FB3">
              <w:rPr>
                <w:sz w:val="24"/>
                <w:szCs w:val="24"/>
              </w:rPr>
              <w:t>本期费用</w:t>
            </w:r>
          </w:p>
          <w:p w:rsidR="00457DBA" w:rsidRPr="006A5FB3" w:rsidRDefault="00457DBA" w:rsidP="00F94C5F">
            <w:pPr>
              <w:jc w:val="center"/>
              <w:rPr>
                <w:sz w:val="24"/>
                <w:szCs w:val="24"/>
              </w:rPr>
            </w:pPr>
            <w:r>
              <w:rPr>
                <w:rFonts w:eastAsiaTheme="minorEastAsia"/>
              </w:rPr>
              <w:t>2019</w:t>
            </w:r>
            <w:r>
              <w:rPr>
                <w:rFonts w:eastAsiaTheme="minorEastAsia"/>
              </w:rPr>
              <w:t>年</w:t>
            </w:r>
            <w:r>
              <w:rPr>
                <w:rFonts w:eastAsiaTheme="minorEastAsia"/>
              </w:rPr>
              <w:t>7</w:t>
            </w:r>
            <w:r>
              <w:rPr>
                <w:rFonts w:eastAsiaTheme="minorEastAsia"/>
              </w:rPr>
              <w:t>月</w:t>
            </w:r>
            <w:r>
              <w:rPr>
                <w:rFonts w:eastAsiaTheme="minorEastAsia"/>
              </w:rPr>
              <w:t>1</w:t>
            </w:r>
            <w:r>
              <w:rPr>
                <w:rFonts w:eastAsiaTheme="minorEastAsia"/>
              </w:rPr>
              <w:t>日</w:t>
            </w:r>
            <w:r>
              <w:rPr>
                <w:rFonts w:eastAsiaTheme="minorEastAsia" w:hint="eastAsia"/>
              </w:rPr>
              <w:t>至</w:t>
            </w:r>
            <w:r>
              <w:rPr>
                <w:rFonts w:eastAsiaTheme="minorEastAsia"/>
              </w:rPr>
              <w:t>2019</w:t>
            </w:r>
            <w:r>
              <w:rPr>
                <w:rFonts w:eastAsiaTheme="minorEastAsia"/>
              </w:rPr>
              <w:t>年</w:t>
            </w:r>
            <w:r>
              <w:rPr>
                <w:rFonts w:eastAsiaTheme="minorEastAsia"/>
              </w:rPr>
              <w:t>9</w:t>
            </w:r>
            <w:r>
              <w:rPr>
                <w:rFonts w:eastAsiaTheme="minorEastAsia"/>
              </w:rPr>
              <w:t>月</w:t>
            </w:r>
            <w:r>
              <w:rPr>
                <w:rFonts w:eastAsiaTheme="minorEastAsia"/>
              </w:rPr>
              <w:t>30</w:t>
            </w:r>
            <w:r>
              <w:rPr>
                <w:rFonts w:eastAsiaTheme="minorEastAsia"/>
              </w:rPr>
              <w:t>日</w:t>
            </w:r>
          </w:p>
        </w:tc>
        <w:tc>
          <w:tcPr>
            <w:tcW w:w="3119" w:type="dxa"/>
            <w:vAlign w:val="center"/>
          </w:tcPr>
          <w:p w:rsidR="006A5FB3" w:rsidRPr="006A5FB3" w:rsidRDefault="006A5FB3" w:rsidP="00F94C5F">
            <w:pPr>
              <w:jc w:val="center"/>
              <w:rPr>
                <w:sz w:val="24"/>
                <w:szCs w:val="24"/>
              </w:rPr>
            </w:pPr>
            <w:r w:rsidRPr="006A5FB3">
              <w:rPr>
                <w:sz w:val="24"/>
                <w:szCs w:val="24"/>
              </w:rPr>
              <w:t>其中：交易及持有基金管理人以及管理人关联方所管理基金产生的费用</w:t>
            </w:r>
          </w:p>
        </w:tc>
      </w:tr>
      <w:tr w:rsidR="006A5FB3" w:rsidRPr="006A5FB3" w:rsidTr="006D75A5">
        <w:tc>
          <w:tcPr>
            <w:tcW w:w="2410" w:type="dxa"/>
            <w:vAlign w:val="center"/>
          </w:tcPr>
          <w:p w:rsidR="006A5FB3" w:rsidRPr="006A5FB3" w:rsidRDefault="006A5FB3" w:rsidP="006A5FB3">
            <w:pPr>
              <w:adjustRightInd w:val="0"/>
              <w:snapToGrid w:val="0"/>
              <w:spacing w:beforeLines="50" w:before="156"/>
              <w:rPr>
                <w:color w:val="000000" w:themeColor="text1"/>
                <w:sz w:val="24"/>
                <w:szCs w:val="24"/>
              </w:rPr>
            </w:pPr>
            <w:r w:rsidRPr="006A5FB3">
              <w:rPr>
                <w:sz w:val="24"/>
                <w:szCs w:val="24"/>
              </w:rPr>
              <w:t>当期交易基金产生的申购费（元）</w:t>
            </w:r>
          </w:p>
        </w:tc>
        <w:tc>
          <w:tcPr>
            <w:tcW w:w="2835" w:type="dxa"/>
            <w:vAlign w:val="center"/>
          </w:tcPr>
          <w:p w:rsidR="006A5FB3" w:rsidRPr="006A5FB3" w:rsidRDefault="006A5FB3" w:rsidP="006A5FB3">
            <w:pPr>
              <w:adjustRightInd w:val="0"/>
              <w:snapToGrid w:val="0"/>
              <w:spacing w:beforeLines="50" w:before="156"/>
              <w:jc w:val="right"/>
              <w:rPr>
                <w:color w:val="000000" w:themeColor="text1"/>
                <w:sz w:val="24"/>
                <w:szCs w:val="24"/>
              </w:rPr>
            </w:pPr>
            <w:r w:rsidRPr="006A5FB3">
              <w:rPr>
                <w:color w:val="000000" w:themeColor="text1"/>
                <w:sz w:val="24"/>
                <w:szCs w:val="24"/>
              </w:rPr>
              <w:t>2,000.00</w:t>
            </w:r>
          </w:p>
        </w:tc>
        <w:tc>
          <w:tcPr>
            <w:tcW w:w="3119" w:type="dxa"/>
            <w:vAlign w:val="center"/>
          </w:tcPr>
          <w:p w:rsidR="006A5FB3" w:rsidRPr="006A5FB3" w:rsidRDefault="006A5FB3" w:rsidP="006A5FB3">
            <w:pPr>
              <w:adjustRightInd w:val="0"/>
              <w:snapToGrid w:val="0"/>
              <w:spacing w:beforeLines="50" w:before="156"/>
              <w:jc w:val="right"/>
              <w:rPr>
                <w:color w:val="000000" w:themeColor="text1"/>
                <w:sz w:val="24"/>
                <w:szCs w:val="24"/>
              </w:rPr>
            </w:pPr>
            <w:r w:rsidRPr="006A5FB3">
              <w:rPr>
                <w:color w:val="000000" w:themeColor="text1"/>
                <w:sz w:val="24"/>
                <w:szCs w:val="24"/>
              </w:rPr>
              <w:t>-</w:t>
            </w:r>
          </w:p>
        </w:tc>
      </w:tr>
      <w:tr w:rsidR="006A5FB3" w:rsidRPr="006A5FB3" w:rsidTr="006D75A5">
        <w:tc>
          <w:tcPr>
            <w:tcW w:w="2410" w:type="dxa"/>
            <w:vAlign w:val="center"/>
          </w:tcPr>
          <w:p w:rsidR="006A5FB3" w:rsidRPr="006A5FB3" w:rsidRDefault="006A5FB3" w:rsidP="006A5FB3">
            <w:pPr>
              <w:adjustRightInd w:val="0"/>
              <w:snapToGrid w:val="0"/>
              <w:spacing w:beforeLines="50" w:before="156"/>
              <w:rPr>
                <w:color w:val="000000" w:themeColor="text1"/>
                <w:sz w:val="24"/>
                <w:szCs w:val="24"/>
              </w:rPr>
            </w:pPr>
            <w:r w:rsidRPr="006A5FB3">
              <w:rPr>
                <w:sz w:val="24"/>
                <w:szCs w:val="24"/>
              </w:rPr>
              <w:t>当期交易基金产生的赎回费（元）</w:t>
            </w:r>
          </w:p>
        </w:tc>
        <w:tc>
          <w:tcPr>
            <w:tcW w:w="2835" w:type="dxa"/>
            <w:vAlign w:val="center"/>
          </w:tcPr>
          <w:p w:rsidR="006A5FB3" w:rsidRPr="006A5FB3" w:rsidRDefault="006A5FB3" w:rsidP="006A5FB3">
            <w:pPr>
              <w:adjustRightInd w:val="0"/>
              <w:snapToGrid w:val="0"/>
              <w:spacing w:beforeLines="50" w:before="156"/>
              <w:jc w:val="right"/>
              <w:rPr>
                <w:color w:val="000000" w:themeColor="text1"/>
                <w:sz w:val="24"/>
                <w:szCs w:val="24"/>
              </w:rPr>
            </w:pPr>
            <w:r w:rsidRPr="006A5FB3">
              <w:rPr>
                <w:color w:val="000000" w:themeColor="text1"/>
                <w:sz w:val="24"/>
                <w:szCs w:val="24"/>
              </w:rPr>
              <w:t>-</w:t>
            </w:r>
          </w:p>
        </w:tc>
        <w:tc>
          <w:tcPr>
            <w:tcW w:w="3119" w:type="dxa"/>
            <w:vAlign w:val="center"/>
          </w:tcPr>
          <w:p w:rsidR="006A5FB3" w:rsidRPr="006A5FB3" w:rsidRDefault="006A5FB3" w:rsidP="006A5FB3">
            <w:pPr>
              <w:adjustRightInd w:val="0"/>
              <w:snapToGrid w:val="0"/>
              <w:spacing w:beforeLines="50" w:before="156"/>
              <w:jc w:val="right"/>
              <w:rPr>
                <w:color w:val="000000" w:themeColor="text1"/>
                <w:sz w:val="24"/>
                <w:szCs w:val="24"/>
              </w:rPr>
            </w:pPr>
            <w:r w:rsidRPr="006A5FB3">
              <w:rPr>
                <w:color w:val="000000" w:themeColor="text1"/>
                <w:sz w:val="24"/>
                <w:szCs w:val="24"/>
              </w:rPr>
              <w:t>-</w:t>
            </w:r>
          </w:p>
        </w:tc>
      </w:tr>
      <w:tr w:rsidR="006A5FB3" w:rsidRPr="006A5FB3" w:rsidTr="006D75A5">
        <w:tc>
          <w:tcPr>
            <w:tcW w:w="2410" w:type="dxa"/>
            <w:vAlign w:val="center"/>
          </w:tcPr>
          <w:p w:rsidR="006A5FB3" w:rsidRPr="006A5FB3" w:rsidRDefault="006A5FB3" w:rsidP="006A5FB3">
            <w:pPr>
              <w:adjustRightInd w:val="0"/>
              <w:snapToGrid w:val="0"/>
              <w:spacing w:beforeLines="50" w:before="156"/>
              <w:rPr>
                <w:color w:val="000000" w:themeColor="text1"/>
                <w:sz w:val="24"/>
                <w:szCs w:val="24"/>
              </w:rPr>
            </w:pPr>
            <w:r w:rsidRPr="006A5FB3">
              <w:rPr>
                <w:sz w:val="24"/>
                <w:szCs w:val="24"/>
              </w:rPr>
              <w:t>当期持有基金产生的应支付销售服务费（元）</w:t>
            </w:r>
          </w:p>
        </w:tc>
        <w:tc>
          <w:tcPr>
            <w:tcW w:w="2835" w:type="dxa"/>
            <w:vAlign w:val="center"/>
          </w:tcPr>
          <w:p w:rsidR="006A5FB3" w:rsidRPr="006A5FB3" w:rsidRDefault="006A5FB3" w:rsidP="006A5FB3">
            <w:pPr>
              <w:adjustRightInd w:val="0"/>
              <w:snapToGrid w:val="0"/>
              <w:spacing w:beforeLines="50" w:before="156"/>
              <w:jc w:val="right"/>
              <w:rPr>
                <w:color w:val="000000" w:themeColor="text1"/>
                <w:sz w:val="24"/>
                <w:szCs w:val="24"/>
              </w:rPr>
            </w:pPr>
            <w:r w:rsidRPr="006A5FB3">
              <w:rPr>
                <w:color w:val="000000" w:themeColor="text1"/>
                <w:sz w:val="24"/>
                <w:szCs w:val="24"/>
              </w:rPr>
              <w:t>-</w:t>
            </w:r>
          </w:p>
        </w:tc>
        <w:tc>
          <w:tcPr>
            <w:tcW w:w="3119" w:type="dxa"/>
            <w:vAlign w:val="center"/>
          </w:tcPr>
          <w:p w:rsidR="006A5FB3" w:rsidRPr="006A5FB3" w:rsidRDefault="006A5FB3" w:rsidP="006A5FB3">
            <w:pPr>
              <w:adjustRightInd w:val="0"/>
              <w:snapToGrid w:val="0"/>
              <w:spacing w:beforeLines="50" w:before="156"/>
              <w:jc w:val="right"/>
              <w:rPr>
                <w:color w:val="000000" w:themeColor="text1"/>
                <w:sz w:val="24"/>
                <w:szCs w:val="24"/>
              </w:rPr>
            </w:pPr>
            <w:r w:rsidRPr="006A5FB3">
              <w:rPr>
                <w:color w:val="000000" w:themeColor="text1"/>
                <w:sz w:val="24"/>
                <w:szCs w:val="24"/>
              </w:rPr>
              <w:t>-</w:t>
            </w:r>
          </w:p>
        </w:tc>
      </w:tr>
      <w:tr w:rsidR="006A5FB3" w:rsidRPr="006A5FB3" w:rsidTr="006D75A5">
        <w:tc>
          <w:tcPr>
            <w:tcW w:w="2410" w:type="dxa"/>
            <w:vAlign w:val="center"/>
          </w:tcPr>
          <w:p w:rsidR="006A5FB3" w:rsidRPr="006A5FB3" w:rsidRDefault="006A5FB3" w:rsidP="006A5FB3">
            <w:pPr>
              <w:adjustRightInd w:val="0"/>
              <w:snapToGrid w:val="0"/>
              <w:spacing w:beforeLines="50" w:before="156"/>
              <w:rPr>
                <w:color w:val="000000" w:themeColor="text1"/>
                <w:sz w:val="24"/>
                <w:szCs w:val="24"/>
              </w:rPr>
            </w:pPr>
            <w:r w:rsidRPr="006A5FB3">
              <w:rPr>
                <w:sz w:val="24"/>
                <w:szCs w:val="24"/>
              </w:rPr>
              <w:t>当期持有基金产生的应支付管理费（元）</w:t>
            </w:r>
          </w:p>
        </w:tc>
        <w:tc>
          <w:tcPr>
            <w:tcW w:w="2835" w:type="dxa"/>
            <w:vAlign w:val="center"/>
          </w:tcPr>
          <w:p w:rsidR="006A5FB3" w:rsidRPr="006A5FB3" w:rsidRDefault="006A5FB3" w:rsidP="006A5FB3">
            <w:pPr>
              <w:adjustRightInd w:val="0"/>
              <w:snapToGrid w:val="0"/>
              <w:spacing w:beforeLines="50" w:before="156"/>
              <w:jc w:val="right"/>
              <w:rPr>
                <w:color w:val="000000" w:themeColor="text1"/>
                <w:sz w:val="24"/>
                <w:szCs w:val="24"/>
              </w:rPr>
            </w:pPr>
            <w:r w:rsidRPr="006A5FB3">
              <w:rPr>
                <w:color w:val="000000" w:themeColor="text1"/>
                <w:sz w:val="24"/>
                <w:szCs w:val="24"/>
              </w:rPr>
              <w:t>589,594.77</w:t>
            </w:r>
          </w:p>
        </w:tc>
        <w:tc>
          <w:tcPr>
            <w:tcW w:w="3119" w:type="dxa"/>
            <w:vAlign w:val="center"/>
          </w:tcPr>
          <w:p w:rsidR="006A5FB3" w:rsidRPr="006A5FB3" w:rsidRDefault="006A5FB3" w:rsidP="006A5FB3">
            <w:pPr>
              <w:adjustRightInd w:val="0"/>
              <w:snapToGrid w:val="0"/>
              <w:spacing w:beforeLines="50" w:before="156"/>
              <w:jc w:val="right"/>
              <w:rPr>
                <w:color w:val="000000" w:themeColor="text1"/>
                <w:sz w:val="24"/>
                <w:szCs w:val="24"/>
              </w:rPr>
            </w:pPr>
            <w:r w:rsidRPr="006A5FB3">
              <w:rPr>
                <w:color w:val="000000" w:themeColor="text1"/>
                <w:sz w:val="24"/>
                <w:szCs w:val="24"/>
              </w:rPr>
              <w:t>155,217.91</w:t>
            </w:r>
          </w:p>
        </w:tc>
      </w:tr>
      <w:tr w:rsidR="006A5FB3" w:rsidRPr="006A5FB3" w:rsidTr="006D75A5">
        <w:tc>
          <w:tcPr>
            <w:tcW w:w="2410" w:type="dxa"/>
            <w:vAlign w:val="center"/>
          </w:tcPr>
          <w:p w:rsidR="006A5FB3" w:rsidRPr="006A5FB3" w:rsidRDefault="006A5FB3" w:rsidP="006A5FB3">
            <w:pPr>
              <w:adjustRightInd w:val="0"/>
              <w:snapToGrid w:val="0"/>
              <w:spacing w:beforeLines="50" w:before="156"/>
              <w:rPr>
                <w:color w:val="000000" w:themeColor="text1"/>
                <w:sz w:val="24"/>
                <w:szCs w:val="24"/>
              </w:rPr>
            </w:pPr>
            <w:r w:rsidRPr="006A5FB3">
              <w:rPr>
                <w:sz w:val="24"/>
                <w:szCs w:val="24"/>
              </w:rPr>
              <w:t>当期持有基金产生的应支付托管费（元）</w:t>
            </w:r>
          </w:p>
        </w:tc>
        <w:tc>
          <w:tcPr>
            <w:tcW w:w="2835" w:type="dxa"/>
            <w:vAlign w:val="center"/>
          </w:tcPr>
          <w:p w:rsidR="006A5FB3" w:rsidRPr="006A5FB3" w:rsidRDefault="006A5FB3" w:rsidP="006A5FB3">
            <w:pPr>
              <w:adjustRightInd w:val="0"/>
              <w:snapToGrid w:val="0"/>
              <w:spacing w:beforeLines="50" w:before="156"/>
              <w:jc w:val="right"/>
              <w:rPr>
                <w:color w:val="000000" w:themeColor="text1"/>
                <w:sz w:val="24"/>
                <w:szCs w:val="24"/>
              </w:rPr>
            </w:pPr>
            <w:r w:rsidRPr="006A5FB3">
              <w:rPr>
                <w:color w:val="000000" w:themeColor="text1"/>
                <w:sz w:val="24"/>
                <w:szCs w:val="24"/>
              </w:rPr>
              <w:t>122,642.76</w:t>
            </w:r>
          </w:p>
        </w:tc>
        <w:tc>
          <w:tcPr>
            <w:tcW w:w="3119" w:type="dxa"/>
            <w:vAlign w:val="center"/>
          </w:tcPr>
          <w:p w:rsidR="006A5FB3" w:rsidRPr="006A5FB3" w:rsidRDefault="006A5FB3" w:rsidP="006A5FB3">
            <w:pPr>
              <w:adjustRightInd w:val="0"/>
              <w:snapToGrid w:val="0"/>
              <w:spacing w:beforeLines="50" w:before="156"/>
              <w:jc w:val="right"/>
              <w:rPr>
                <w:color w:val="000000" w:themeColor="text1"/>
                <w:sz w:val="24"/>
                <w:szCs w:val="24"/>
              </w:rPr>
            </w:pPr>
            <w:r w:rsidRPr="006A5FB3">
              <w:rPr>
                <w:color w:val="000000" w:themeColor="text1"/>
                <w:sz w:val="24"/>
                <w:szCs w:val="24"/>
              </w:rPr>
              <w:t>38,015.69</w:t>
            </w:r>
          </w:p>
        </w:tc>
      </w:tr>
      <w:tr w:rsidR="00BB3516">
        <w:tc>
          <w:tcPr>
            <w:tcW w:w="2410" w:type="dxa"/>
            <w:vAlign w:val="center"/>
          </w:tcPr>
          <w:p w:rsidR="00BB3516" w:rsidRDefault="00AA1887">
            <w:pPr>
              <w:jc w:val="left"/>
            </w:pPr>
            <w:r>
              <w:rPr>
                <w:color w:val="000000" w:themeColor="text1"/>
                <w:sz w:val="24"/>
                <w:szCs w:val="24"/>
              </w:rPr>
              <w:t>当期交易所交易基金产生的交易费（元）</w:t>
            </w:r>
          </w:p>
        </w:tc>
        <w:tc>
          <w:tcPr>
            <w:tcW w:w="2835" w:type="dxa"/>
            <w:vAlign w:val="center"/>
          </w:tcPr>
          <w:p w:rsidR="00BB3516" w:rsidRDefault="00AA1887">
            <w:pPr>
              <w:jc w:val="right"/>
            </w:pPr>
            <w:r>
              <w:rPr>
                <w:color w:val="000000" w:themeColor="text1"/>
                <w:sz w:val="24"/>
                <w:szCs w:val="24"/>
              </w:rPr>
              <w:t>285.62</w:t>
            </w:r>
          </w:p>
        </w:tc>
        <w:tc>
          <w:tcPr>
            <w:tcW w:w="3119" w:type="dxa"/>
            <w:vAlign w:val="center"/>
          </w:tcPr>
          <w:p w:rsidR="00BB3516" w:rsidRDefault="00AA1887">
            <w:pPr>
              <w:jc w:val="right"/>
            </w:pPr>
            <w:r>
              <w:rPr>
                <w:color w:val="000000" w:themeColor="text1"/>
                <w:sz w:val="24"/>
                <w:szCs w:val="24"/>
              </w:rPr>
              <w:t>211.99</w:t>
            </w:r>
          </w:p>
        </w:tc>
      </w:tr>
      <w:tr w:rsidR="00BB3516">
        <w:tc>
          <w:tcPr>
            <w:tcW w:w="2410" w:type="dxa"/>
            <w:vAlign w:val="center"/>
          </w:tcPr>
          <w:p w:rsidR="00BB3516" w:rsidRDefault="00AA1887">
            <w:pPr>
              <w:jc w:val="left"/>
            </w:pPr>
            <w:r>
              <w:rPr>
                <w:color w:val="000000" w:themeColor="text1"/>
                <w:sz w:val="24"/>
                <w:szCs w:val="24"/>
              </w:rPr>
              <w:t>当期交易基金产生的转换费（元）</w:t>
            </w:r>
          </w:p>
        </w:tc>
        <w:tc>
          <w:tcPr>
            <w:tcW w:w="2835" w:type="dxa"/>
            <w:vAlign w:val="center"/>
          </w:tcPr>
          <w:p w:rsidR="00BB3516" w:rsidRDefault="00AA1887">
            <w:pPr>
              <w:jc w:val="right"/>
            </w:pPr>
            <w:r>
              <w:rPr>
                <w:color w:val="000000" w:themeColor="text1"/>
                <w:sz w:val="24"/>
                <w:szCs w:val="24"/>
              </w:rPr>
              <w:t>-</w:t>
            </w:r>
          </w:p>
        </w:tc>
        <w:tc>
          <w:tcPr>
            <w:tcW w:w="3119" w:type="dxa"/>
            <w:vAlign w:val="center"/>
          </w:tcPr>
          <w:p w:rsidR="00BB3516" w:rsidRDefault="00AA1887">
            <w:pPr>
              <w:jc w:val="right"/>
            </w:pPr>
            <w:r>
              <w:rPr>
                <w:color w:val="000000" w:themeColor="text1"/>
                <w:sz w:val="24"/>
                <w:szCs w:val="24"/>
              </w:rPr>
              <w:t>-</w:t>
            </w:r>
          </w:p>
        </w:tc>
      </w:tr>
    </w:tbl>
    <w:p w:rsidR="00BB3516" w:rsidRDefault="00AA1887">
      <w:pPr>
        <w:pStyle w:val="11"/>
        <w:spacing w:line="360" w:lineRule="auto"/>
        <w:ind w:firstLine="420"/>
        <w:jc w:val="left"/>
        <w:rPr>
          <w:sz w:val="24"/>
        </w:rPr>
      </w:pPr>
      <w:r>
        <w:rPr>
          <w:sz w:val="24"/>
        </w:rPr>
        <w:t>注：当期持有基金产生的应支付销售服务费、应支付管理费、应支付托管费按照被投资基金基金合同约定已作为费用计入被投资基金的基金份额净值，上表列示金额为按照本基金对被投资基金的实际持仓情况根据被投资基金基金合同</w:t>
      </w:r>
      <w:r>
        <w:rPr>
          <w:sz w:val="24"/>
        </w:rPr>
        <w:lastRenderedPageBreak/>
        <w:t>约定的相应费率计算得出。</w:t>
      </w:r>
      <w:r>
        <w:rPr>
          <w:sz w:val="24"/>
        </w:rPr>
        <w:t xml:space="preserve"> </w:t>
      </w:r>
    </w:p>
    <w:p w:rsidR="006A5FB3" w:rsidRPr="006A5FB3" w:rsidRDefault="006A5FB3" w:rsidP="006A5FB3">
      <w:pPr>
        <w:pStyle w:val="11"/>
        <w:spacing w:line="360" w:lineRule="auto"/>
        <w:ind w:firstLine="420"/>
        <w:jc w:val="left"/>
        <w:rPr>
          <w:sz w:val="24"/>
        </w:rPr>
      </w:pPr>
      <w:r w:rsidRPr="006A5FB3">
        <w:rPr>
          <w:sz w:val="24"/>
        </w:rPr>
        <w:t>根据相关法律法规及本基金合同的约定，基金管理人不得对基金中基金财产中持有的自身管理的基金部分收取基金中基金的管理费，基金托管人不得对基金中基金财产中持有的自身托管的基金部分收取基金中基金的托管费。基金管理人运用本基金财产申购自身管理的其他基金的（</w:t>
      </w:r>
      <w:r w:rsidRPr="006A5FB3">
        <w:rPr>
          <w:sz w:val="24"/>
        </w:rPr>
        <w:t>ETF</w:t>
      </w:r>
      <w:r w:rsidRPr="006A5FB3">
        <w:rPr>
          <w:sz w:val="24"/>
        </w:rPr>
        <w:t>除外），应当通过直销渠道申购且不收取申购费、赎回费（按照相关法规、基金招募说明书约定应当收取，并计入基金资产的赎回费用除外）、销售服务费等销售费用，其中申购费、赎回费在实际申购、赎回时按上述规定执行，销售服务费由本基金管理人从被投资基金收取后返还至本基金基金资产。</w:t>
      </w:r>
    </w:p>
    <w:p w:rsidR="006A5FB3" w:rsidRPr="006A5FB3" w:rsidRDefault="006A5FB3" w:rsidP="006A5FB3">
      <w:pPr>
        <w:autoSpaceDE w:val="0"/>
        <w:autoSpaceDN w:val="0"/>
        <w:adjustRightInd w:val="0"/>
        <w:spacing w:line="360" w:lineRule="auto"/>
        <w:jc w:val="left"/>
        <w:rPr>
          <w:color w:val="000000"/>
          <w:sz w:val="24"/>
          <w:szCs w:val="24"/>
        </w:rPr>
      </w:pPr>
      <w:r w:rsidRPr="006A5FB3">
        <w:rPr>
          <w:color w:val="000000"/>
          <w:sz w:val="24"/>
          <w:szCs w:val="24"/>
        </w:rPr>
        <w:t xml:space="preserve">6.3 </w:t>
      </w:r>
      <w:r w:rsidRPr="006A5FB3">
        <w:rPr>
          <w:color w:val="000000"/>
          <w:sz w:val="24"/>
          <w:szCs w:val="24"/>
        </w:rPr>
        <w:t>本报告期持有的基金发生的重大影响事件</w:t>
      </w:r>
    </w:p>
    <w:tbl>
      <w:tblPr>
        <w:tblStyle w:val="af7"/>
        <w:tblW w:w="0" w:type="auto"/>
        <w:tblInd w:w="108" w:type="dxa"/>
        <w:tblLook w:val="04A0" w:firstRow="1" w:lastRow="0" w:firstColumn="1" w:lastColumn="0" w:noHBand="0" w:noVBand="1"/>
      </w:tblPr>
      <w:tblGrid>
        <w:gridCol w:w="8420"/>
      </w:tblGrid>
      <w:tr w:rsidR="006A5FB3" w:rsidRPr="006A5FB3" w:rsidTr="00F94C5F">
        <w:tc>
          <w:tcPr>
            <w:tcW w:w="8789" w:type="dxa"/>
            <w:vAlign w:val="center"/>
          </w:tcPr>
          <w:p w:rsidR="006A5FB3" w:rsidRPr="006A5FB3" w:rsidRDefault="006A5FB3" w:rsidP="00F94C5F">
            <w:pPr>
              <w:autoSpaceDE w:val="0"/>
              <w:autoSpaceDN w:val="0"/>
              <w:adjustRightInd w:val="0"/>
              <w:rPr>
                <w:color w:val="000000" w:themeColor="text1"/>
                <w:sz w:val="24"/>
                <w:szCs w:val="24"/>
              </w:rPr>
            </w:pPr>
            <w:r w:rsidRPr="006A5FB3">
              <w:rPr>
                <w:color w:val="000000" w:themeColor="text1"/>
                <w:sz w:val="24"/>
                <w:szCs w:val="24"/>
              </w:rPr>
              <w:t>本基金持有的基金在报告期未发生重大影响事件。</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006D75A5" w:rsidRPr="006A5FB3">
        <w:rPr>
          <w:color w:val="000000"/>
          <w:kern w:val="0"/>
          <w:sz w:val="24"/>
          <w:szCs w:val="24"/>
        </w:rPr>
        <w:t>7</w:t>
      </w:r>
      <w:r w:rsidRPr="00264E55">
        <w:rPr>
          <w:rFonts w:ascii="宋体" w:hAnsi="宋体"/>
          <w:color w:val="000000"/>
          <w:kern w:val="0"/>
          <w:sz w:val="24"/>
          <w:szCs w:val="24"/>
        </w:rPr>
        <w:t xml:space="preserve">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243,001,650.83</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6,266,467.79</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249,268,118.62</w:t>
            </w:r>
          </w:p>
        </w:tc>
      </w:tr>
    </w:tbl>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8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8.1 </w:t>
      </w:r>
      <w:r>
        <w:rPr>
          <w:rFonts w:hint="eastAsia"/>
          <w:b/>
          <w:sz w:val="24"/>
        </w:rPr>
        <w:t>基金管理人持有本基金份额变动情况</w:t>
      </w:r>
    </w:p>
    <w:p w:rsidR="00AC11B0" w:rsidRPr="005A564A" w:rsidRDefault="00AC11B0" w:rsidP="00AC11B0">
      <w:pPr>
        <w:autoSpaceDE w:val="0"/>
        <w:autoSpaceDN w:val="0"/>
        <w:adjustRightInd w:val="0"/>
        <w:spacing w:before="29" w:line="360" w:lineRule="auto"/>
        <w:ind w:left="15"/>
        <w:jc w:val="right"/>
        <w:rPr>
          <w:sz w:val="24"/>
        </w:rPr>
      </w:pPr>
      <w:r w:rsidRPr="005A564A">
        <w:rPr>
          <w:sz w:val="24"/>
        </w:rPr>
        <w:t>单位：份</w:t>
      </w:r>
    </w:p>
    <w:tbl>
      <w:tblPr>
        <w:tblW w:w="8415" w:type="dxa"/>
        <w:tblInd w:w="108" w:type="dxa"/>
        <w:tblLayout w:type="fixed"/>
        <w:tblLook w:val="04A0" w:firstRow="1" w:lastRow="0" w:firstColumn="1" w:lastColumn="0" w:noHBand="0" w:noVBand="1"/>
      </w:tblPr>
      <w:tblGrid>
        <w:gridCol w:w="5037"/>
        <w:gridCol w:w="3378"/>
      </w:tblGrid>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pStyle w:val="ad"/>
              <w:adjustRightInd w:val="0"/>
              <w:snapToGrid w:val="0"/>
              <w:spacing w:line="360" w:lineRule="exact"/>
              <w:rPr>
                <w:rFonts w:eastAsiaTheme="minorEastAsia"/>
                <w:color w:val="000000" w:themeColor="text1"/>
              </w:rPr>
            </w:pPr>
            <w:r w:rsidRPr="003B42FF">
              <w:rPr>
                <w:rFonts w:eastAsiaTheme="minorEastAsia"/>
                <w:color w:val="000000" w:themeColor="text1"/>
              </w:rPr>
              <w:t>报告期期初管理人持有的本基金份额</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sz w:val="24"/>
                <w:szCs w:val="24"/>
              </w:rPr>
            </w:pPr>
            <w:r w:rsidRPr="003B42FF">
              <w:rPr>
                <w:rFonts w:eastAsiaTheme="minorEastAsia"/>
                <w:color w:val="000000" w:themeColor="text1"/>
                <w:sz w:val="24"/>
                <w:szCs w:val="24"/>
              </w:rPr>
              <w:t>200,045,000.22</w:t>
            </w:r>
          </w:p>
        </w:tc>
      </w:tr>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adjustRightInd w:val="0"/>
              <w:snapToGrid w:val="0"/>
              <w:spacing w:line="360" w:lineRule="exact"/>
              <w:rPr>
                <w:rFonts w:eastAsiaTheme="minorEastAsia"/>
                <w:color w:val="000000" w:themeColor="text1"/>
                <w:sz w:val="24"/>
                <w:szCs w:val="24"/>
              </w:rPr>
            </w:pPr>
            <w:r w:rsidRPr="003B42FF">
              <w:rPr>
                <w:rFonts w:eastAsiaTheme="minorEastAsia"/>
                <w:color w:val="000000" w:themeColor="text1"/>
                <w:kern w:val="0"/>
                <w:sz w:val="24"/>
                <w:szCs w:val="24"/>
              </w:rPr>
              <w:t>报告期</w:t>
            </w:r>
            <w:r w:rsidR="00B53067" w:rsidRPr="00B53067">
              <w:rPr>
                <w:rFonts w:eastAsiaTheme="minorEastAsia"/>
                <w:color w:val="000000" w:themeColor="text1"/>
                <w:sz w:val="24"/>
                <w:szCs w:val="24"/>
              </w:rPr>
              <w:t>期间</w:t>
            </w:r>
            <w:r w:rsidRPr="003B42FF">
              <w:rPr>
                <w:rFonts w:eastAsiaTheme="minorEastAsia"/>
                <w:color w:val="000000" w:themeColor="text1"/>
                <w:sz w:val="24"/>
                <w:szCs w:val="24"/>
              </w:rPr>
              <w:t>买入</w:t>
            </w:r>
            <w:r w:rsidRPr="003B42FF">
              <w:rPr>
                <w:rFonts w:eastAsiaTheme="minorEastAsia"/>
                <w:color w:val="000000" w:themeColor="text1"/>
                <w:sz w:val="24"/>
                <w:szCs w:val="24"/>
              </w:rPr>
              <w:t>/</w:t>
            </w:r>
            <w:r w:rsidRPr="003B42FF">
              <w:rPr>
                <w:rFonts w:eastAsiaTheme="minorEastAsia"/>
                <w:color w:val="000000" w:themeColor="text1"/>
                <w:sz w:val="24"/>
                <w:szCs w:val="24"/>
              </w:rPr>
              <w:t>申购总份额</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kern w:val="0"/>
                <w:sz w:val="24"/>
                <w:szCs w:val="24"/>
              </w:rPr>
            </w:pPr>
            <w:r w:rsidRPr="003B42FF">
              <w:rPr>
                <w:rFonts w:eastAsiaTheme="minorEastAsia"/>
                <w:color w:val="000000" w:themeColor="text1"/>
                <w:sz w:val="24"/>
                <w:szCs w:val="24"/>
              </w:rPr>
              <w:t>-</w:t>
            </w:r>
          </w:p>
        </w:tc>
      </w:tr>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adjustRightInd w:val="0"/>
              <w:snapToGrid w:val="0"/>
              <w:spacing w:line="360" w:lineRule="exact"/>
              <w:rPr>
                <w:rFonts w:eastAsiaTheme="minorEastAsia"/>
                <w:color w:val="000000" w:themeColor="text1"/>
                <w:sz w:val="24"/>
                <w:szCs w:val="24"/>
              </w:rPr>
            </w:pPr>
            <w:r w:rsidRPr="003B42FF">
              <w:rPr>
                <w:rFonts w:eastAsiaTheme="minorEastAsia"/>
                <w:color w:val="000000" w:themeColor="text1"/>
                <w:kern w:val="0"/>
                <w:sz w:val="24"/>
                <w:szCs w:val="24"/>
              </w:rPr>
              <w:t>报告期</w:t>
            </w:r>
            <w:r w:rsidR="00B53067" w:rsidRPr="00B53067">
              <w:rPr>
                <w:rFonts w:eastAsiaTheme="minorEastAsia"/>
                <w:color w:val="000000" w:themeColor="text1"/>
                <w:sz w:val="24"/>
                <w:szCs w:val="24"/>
              </w:rPr>
              <w:t>期间</w:t>
            </w:r>
            <w:r w:rsidRPr="003B42FF">
              <w:rPr>
                <w:rFonts w:eastAsiaTheme="minorEastAsia"/>
                <w:color w:val="000000" w:themeColor="text1"/>
                <w:sz w:val="24"/>
                <w:szCs w:val="24"/>
              </w:rPr>
              <w:t>卖出</w:t>
            </w:r>
            <w:r w:rsidRPr="003B42FF">
              <w:rPr>
                <w:rFonts w:eastAsiaTheme="minorEastAsia"/>
                <w:color w:val="000000" w:themeColor="text1"/>
                <w:sz w:val="24"/>
                <w:szCs w:val="24"/>
              </w:rPr>
              <w:t>/</w:t>
            </w:r>
            <w:r w:rsidRPr="003B42FF">
              <w:rPr>
                <w:rFonts w:eastAsiaTheme="minorEastAsia"/>
                <w:color w:val="000000" w:themeColor="text1"/>
                <w:sz w:val="24"/>
                <w:szCs w:val="24"/>
              </w:rPr>
              <w:t>赎回总份额</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kern w:val="0"/>
                <w:sz w:val="24"/>
                <w:szCs w:val="24"/>
              </w:rPr>
            </w:pPr>
            <w:r w:rsidRPr="003B42FF">
              <w:rPr>
                <w:rFonts w:eastAsiaTheme="minorEastAsia"/>
                <w:color w:val="000000" w:themeColor="text1"/>
                <w:sz w:val="24"/>
                <w:szCs w:val="24"/>
              </w:rPr>
              <w:t>-</w:t>
            </w:r>
          </w:p>
        </w:tc>
      </w:tr>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adjustRightInd w:val="0"/>
              <w:snapToGrid w:val="0"/>
              <w:spacing w:line="360" w:lineRule="exact"/>
              <w:rPr>
                <w:rFonts w:eastAsiaTheme="minorEastAsia"/>
                <w:color w:val="000000" w:themeColor="text1"/>
                <w:sz w:val="24"/>
                <w:szCs w:val="24"/>
              </w:rPr>
            </w:pPr>
            <w:r w:rsidRPr="003B42FF">
              <w:rPr>
                <w:rFonts w:eastAsiaTheme="minorEastAsia"/>
                <w:color w:val="000000" w:themeColor="text1"/>
                <w:sz w:val="24"/>
                <w:szCs w:val="24"/>
              </w:rPr>
              <w:t>报告期期末管理人持有的本基金份额</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sz w:val="24"/>
                <w:szCs w:val="24"/>
              </w:rPr>
            </w:pPr>
            <w:r w:rsidRPr="003B42FF">
              <w:rPr>
                <w:rFonts w:eastAsiaTheme="minorEastAsia"/>
                <w:color w:val="000000" w:themeColor="text1"/>
                <w:sz w:val="24"/>
                <w:szCs w:val="24"/>
              </w:rPr>
              <w:t>200,045,000.22</w:t>
            </w:r>
          </w:p>
        </w:tc>
      </w:tr>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adjustRightInd w:val="0"/>
              <w:snapToGrid w:val="0"/>
              <w:spacing w:line="360" w:lineRule="exact"/>
              <w:rPr>
                <w:rFonts w:eastAsiaTheme="minorEastAsia"/>
                <w:color w:val="000000" w:themeColor="text1"/>
                <w:sz w:val="24"/>
                <w:szCs w:val="24"/>
              </w:rPr>
            </w:pPr>
            <w:r w:rsidRPr="003B42FF">
              <w:rPr>
                <w:rFonts w:eastAsiaTheme="minorEastAsia"/>
                <w:color w:val="000000" w:themeColor="text1"/>
                <w:sz w:val="24"/>
                <w:szCs w:val="24"/>
              </w:rPr>
              <w:t>报告期期末持有的本基金份额占基金总份额比例（</w:t>
            </w:r>
            <w:r w:rsidRPr="003B42FF">
              <w:rPr>
                <w:rFonts w:eastAsiaTheme="minorEastAsia"/>
                <w:color w:val="000000" w:themeColor="text1"/>
                <w:sz w:val="24"/>
                <w:szCs w:val="24"/>
              </w:rPr>
              <w:t>%</w:t>
            </w:r>
            <w:r w:rsidRPr="003B42FF">
              <w:rPr>
                <w:rFonts w:eastAsiaTheme="minorEastAsia"/>
                <w:color w:val="000000" w:themeColor="text1"/>
                <w:sz w:val="24"/>
                <w:szCs w:val="24"/>
              </w:rPr>
              <w:t>）</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kern w:val="0"/>
                <w:sz w:val="24"/>
                <w:szCs w:val="24"/>
              </w:rPr>
            </w:pPr>
            <w:r w:rsidRPr="003B42FF">
              <w:rPr>
                <w:rFonts w:eastAsiaTheme="minorEastAsia"/>
                <w:color w:val="000000" w:themeColor="text1"/>
                <w:sz w:val="24"/>
                <w:szCs w:val="24"/>
              </w:rPr>
              <w:t>80.25</w:t>
            </w:r>
          </w:p>
        </w:tc>
      </w:tr>
    </w:tbl>
    <w:p w:rsidR="00750D48" w:rsidRDefault="00750D48" w:rsidP="00EB374A">
      <w:pPr>
        <w:spacing w:line="360" w:lineRule="auto"/>
        <w:jc w:val="left"/>
        <w:rPr>
          <w:sz w:val="24"/>
        </w:rPr>
      </w:pPr>
      <w:r>
        <w:rPr>
          <w:b/>
          <w:sz w:val="24"/>
        </w:rPr>
        <w:t xml:space="preserve">8.2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lastRenderedPageBreak/>
        <w:t>本报告期内基金管理人未运用固有资金申购、赎回、买卖本基金份额。</w:t>
      </w:r>
    </w:p>
    <w:p w:rsidR="004B7A92" w:rsidRPr="004B7A92" w:rsidRDefault="00013E6E" w:rsidP="004B7A92">
      <w:pPr>
        <w:pStyle w:val="1"/>
        <w:spacing w:beforeLines="100" w:before="312" w:afterLines="100" w:after="312" w:line="360" w:lineRule="auto"/>
        <w:jc w:val="center"/>
        <w:rPr>
          <w:rFonts w:ascii="宋体" w:hAnsi="宋体"/>
          <w:color w:val="000000"/>
          <w:kern w:val="0"/>
          <w:sz w:val="24"/>
          <w:szCs w:val="24"/>
        </w:rPr>
      </w:pPr>
      <w:r w:rsidRPr="00264E55">
        <w:rPr>
          <w:rFonts w:ascii="宋体" w:hAnsi="宋体" w:hint="eastAsia"/>
          <w:color w:val="000000"/>
          <w:kern w:val="0"/>
          <w:sz w:val="24"/>
          <w:szCs w:val="24"/>
        </w:rPr>
        <w:t>§</w:t>
      </w:r>
      <w:r w:rsidR="004B7A92" w:rsidRPr="004B7A92">
        <w:rPr>
          <w:rFonts w:ascii="宋体" w:hAnsi="宋体"/>
          <w:color w:val="000000"/>
          <w:kern w:val="0"/>
          <w:sz w:val="24"/>
          <w:szCs w:val="24"/>
        </w:rPr>
        <w:t>9</w:t>
      </w:r>
      <w:r w:rsidR="0043199A" w:rsidRPr="00264E55">
        <w:rPr>
          <w:rFonts w:ascii="宋体" w:hAnsi="宋体"/>
          <w:color w:val="000000"/>
          <w:kern w:val="0"/>
          <w:sz w:val="24"/>
          <w:szCs w:val="24"/>
        </w:rPr>
        <w:t xml:space="preserve">  </w:t>
      </w:r>
      <w:r w:rsidR="004B7A92" w:rsidRPr="004B7A92">
        <w:rPr>
          <w:rFonts w:ascii="宋体" w:hAnsi="宋体"/>
          <w:color w:val="000000"/>
          <w:kern w:val="0"/>
          <w:sz w:val="24"/>
          <w:szCs w:val="24"/>
        </w:rPr>
        <w:t>影响投资者决策的其他重要信息</w:t>
      </w:r>
    </w:p>
    <w:p w:rsidR="001F5F5D" w:rsidRPr="001F5F5D" w:rsidRDefault="001F5F5D" w:rsidP="001F5F5D">
      <w:pPr>
        <w:autoSpaceDE w:val="0"/>
        <w:autoSpaceDN w:val="0"/>
        <w:adjustRightInd w:val="0"/>
        <w:spacing w:line="360" w:lineRule="auto"/>
        <w:jc w:val="left"/>
        <w:rPr>
          <w:rFonts w:ascii="宋体"/>
          <w:b/>
          <w:bCs/>
          <w:color w:val="000000"/>
          <w:kern w:val="0"/>
          <w:sz w:val="24"/>
          <w:szCs w:val="24"/>
        </w:rPr>
      </w:pPr>
      <w:r w:rsidRPr="001F5F5D">
        <w:rPr>
          <w:rFonts w:ascii="宋体"/>
          <w:b/>
          <w:bCs/>
          <w:color w:val="000000"/>
          <w:kern w:val="0"/>
          <w:sz w:val="24"/>
          <w:szCs w:val="24"/>
        </w:rPr>
        <w:t>9.1 报告期内单一投资者持有基金份额比例达到或超过20%的情况</w:t>
      </w:r>
    </w:p>
    <w:tbl>
      <w:tblPr>
        <w:tblStyle w:val="af7"/>
        <w:tblW w:w="9640" w:type="dxa"/>
        <w:jc w:val="center"/>
        <w:tblLayout w:type="fixed"/>
        <w:tblLook w:val="04A0" w:firstRow="1" w:lastRow="0" w:firstColumn="1" w:lastColumn="0" w:noHBand="0" w:noVBand="1"/>
      </w:tblPr>
      <w:tblGrid>
        <w:gridCol w:w="1798"/>
        <w:gridCol w:w="709"/>
        <w:gridCol w:w="1985"/>
        <w:gridCol w:w="1134"/>
        <w:gridCol w:w="992"/>
        <w:gridCol w:w="1134"/>
        <w:gridCol w:w="1037"/>
        <w:gridCol w:w="851"/>
      </w:tblGrid>
      <w:tr w:rsidR="001F5F5D" w:rsidRPr="00FC0759" w:rsidTr="007125DB">
        <w:trPr>
          <w:jc w:val="center"/>
        </w:trPr>
        <w:tc>
          <w:tcPr>
            <w:tcW w:w="1798" w:type="dxa"/>
            <w:vMerge w:val="restart"/>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投资者类别</w:t>
            </w:r>
          </w:p>
        </w:tc>
        <w:tc>
          <w:tcPr>
            <w:tcW w:w="5954" w:type="dxa"/>
            <w:gridSpan w:val="5"/>
            <w:vAlign w:val="center"/>
          </w:tcPr>
          <w:p w:rsidR="001F5F5D" w:rsidRPr="00FC0759" w:rsidRDefault="001F5F5D" w:rsidP="00D9482C">
            <w:pPr>
              <w:autoSpaceDE w:val="0"/>
              <w:autoSpaceDN w:val="0"/>
              <w:adjustRightInd w:val="0"/>
              <w:ind w:firstLine="1126"/>
              <w:jc w:val="center"/>
              <w:rPr>
                <w:rFonts w:eastAsiaTheme="minorEastAsia"/>
                <w:b/>
                <w:bCs/>
                <w:color w:val="000000" w:themeColor="text1"/>
                <w:sz w:val="24"/>
                <w:szCs w:val="24"/>
              </w:rPr>
            </w:pPr>
            <w:r w:rsidRPr="00FC0759">
              <w:rPr>
                <w:color w:val="000000"/>
                <w:sz w:val="24"/>
                <w:szCs w:val="24"/>
              </w:rPr>
              <w:t>报告期内持有基金份额变化情况</w:t>
            </w:r>
          </w:p>
        </w:tc>
        <w:tc>
          <w:tcPr>
            <w:tcW w:w="1888" w:type="dxa"/>
            <w:gridSpan w:val="2"/>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报告期末持有基金情况</w:t>
            </w:r>
          </w:p>
        </w:tc>
      </w:tr>
      <w:tr w:rsidR="001F5F5D" w:rsidRPr="00FC0759" w:rsidTr="007125DB">
        <w:trPr>
          <w:jc w:val="center"/>
        </w:trPr>
        <w:tc>
          <w:tcPr>
            <w:tcW w:w="1798" w:type="dxa"/>
            <w:vMerge/>
            <w:vAlign w:val="center"/>
          </w:tcPr>
          <w:p w:rsidR="001F5F5D" w:rsidRPr="00FC0759" w:rsidRDefault="001F5F5D" w:rsidP="00D9482C">
            <w:pPr>
              <w:autoSpaceDE w:val="0"/>
              <w:autoSpaceDN w:val="0"/>
              <w:adjustRightInd w:val="0"/>
              <w:ind w:firstLine="1234"/>
              <w:jc w:val="center"/>
              <w:rPr>
                <w:rFonts w:eastAsiaTheme="minorEastAsia"/>
                <w:b/>
                <w:bCs/>
                <w:color w:val="000000" w:themeColor="text1"/>
                <w:sz w:val="24"/>
                <w:szCs w:val="24"/>
              </w:rPr>
            </w:pPr>
          </w:p>
        </w:tc>
        <w:tc>
          <w:tcPr>
            <w:tcW w:w="709"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序号</w:t>
            </w:r>
          </w:p>
        </w:tc>
        <w:tc>
          <w:tcPr>
            <w:tcW w:w="1985"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持有基金份额比例达到或者超过</w:t>
            </w:r>
            <w:r w:rsidRPr="00FC0759">
              <w:rPr>
                <w:color w:val="000000"/>
                <w:sz w:val="24"/>
                <w:szCs w:val="24"/>
              </w:rPr>
              <w:t>20%</w:t>
            </w:r>
            <w:r w:rsidRPr="00FC0759">
              <w:rPr>
                <w:color w:val="000000"/>
                <w:sz w:val="24"/>
                <w:szCs w:val="24"/>
              </w:rPr>
              <w:t>的时间区间</w:t>
            </w:r>
          </w:p>
        </w:tc>
        <w:tc>
          <w:tcPr>
            <w:tcW w:w="1134"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期初份额</w:t>
            </w:r>
          </w:p>
        </w:tc>
        <w:tc>
          <w:tcPr>
            <w:tcW w:w="992"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申购份额</w:t>
            </w:r>
          </w:p>
        </w:tc>
        <w:tc>
          <w:tcPr>
            <w:tcW w:w="1134"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赎回份额</w:t>
            </w:r>
          </w:p>
        </w:tc>
        <w:tc>
          <w:tcPr>
            <w:tcW w:w="1037"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持有份额</w:t>
            </w:r>
          </w:p>
        </w:tc>
        <w:tc>
          <w:tcPr>
            <w:tcW w:w="851"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份额占比</w:t>
            </w:r>
          </w:p>
        </w:tc>
      </w:tr>
      <w:tr w:rsidR="00BB3516">
        <w:trPr>
          <w:jc w:val="center"/>
        </w:trPr>
        <w:tc>
          <w:tcPr>
            <w:tcW w:w="1798" w:type="dxa"/>
            <w:vMerge w:val="restart"/>
            <w:vAlign w:val="center"/>
          </w:tcPr>
          <w:p w:rsidR="00BB3516" w:rsidRDefault="00AA1887">
            <w:r>
              <w:rPr>
                <w:rFonts w:eastAsiaTheme="minorEastAsia"/>
                <w:bCs/>
                <w:color w:val="000000" w:themeColor="text1"/>
                <w:sz w:val="24"/>
                <w:szCs w:val="24"/>
              </w:rPr>
              <w:t>机构</w:t>
            </w:r>
          </w:p>
        </w:tc>
        <w:tc>
          <w:tcPr>
            <w:tcW w:w="709" w:type="dxa"/>
            <w:vAlign w:val="center"/>
          </w:tcPr>
          <w:p w:rsidR="00BB3516" w:rsidRDefault="00AA1887">
            <w:pPr>
              <w:jc w:val="center"/>
            </w:pPr>
            <w:r>
              <w:rPr>
                <w:sz w:val="24"/>
                <w:szCs w:val="24"/>
              </w:rPr>
              <w:t>1</w:t>
            </w:r>
          </w:p>
        </w:tc>
        <w:tc>
          <w:tcPr>
            <w:tcW w:w="1985" w:type="dxa"/>
            <w:vAlign w:val="center"/>
          </w:tcPr>
          <w:p w:rsidR="00BB3516" w:rsidRDefault="00AA1887">
            <w:pPr>
              <w:jc w:val="center"/>
            </w:pPr>
            <w:r>
              <w:rPr>
                <w:sz w:val="24"/>
                <w:szCs w:val="24"/>
              </w:rPr>
              <w:t>2019</w:t>
            </w:r>
            <w:r>
              <w:rPr>
                <w:sz w:val="24"/>
                <w:szCs w:val="24"/>
              </w:rPr>
              <w:t>年</w:t>
            </w:r>
            <w:r>
              <w:rPr>
                <w:sz w:val="24"/>
                <w:szCs w:val="24"/>
              </w:rPr>
              <w:t>07</w:t>
            </w:r>
            <w:r>
              <w:rPr>
                <w:sz w:val="24"/>
                <w:szCs w:val="24"/>
              </w:rPr>
              <w:t>月</w:t>
            </w:r>
            <w:r>
              <w:rPr>
                <w:sz w:val="24"/>
                <w:szCs w:val="24"/>
              </w:rPr>
              <w:t>01</w:t>
            </w:r>
            <w:r>
              <w:rPr>
                <w:sz w:val="24"/>
                <w:szCs w:val="24"/>
              </w:rPr>
              <w:t>日</w:t>
            </w:r>
            <w:r>
              <w:rPr>
                <w:sz w:val="24"/>
                <w:szCs w:val="24"/>
              </w:rPr>
              <w:t>~2019</w:t>
            </w:r>
            <w:r>
              <w:rPr>
                <w:sz w:val="24"/>
                <w:szCs w:val="24"/>
              </w:rPr>
              <w:t>年</w:t>
            </w:r>
            <w:r>
              <w:rPr>
                <w:sz w:val="24"/>
                <w:szCs w:val="24"/>
              </w:rPr>
              <w:t>09</w:t>
            </w:r>
            <w:r>
              <w:rPr>
                <w:sz w:val="24"/>
                <w:szCs w:val="24"/>
              </w:rPr>
              <w:t>月</w:t>
            </w:r>
            <w:r>
              <w:rPr>
                <w:sz w:val="24"/>
                <w:szCs w:val="24"/>
              </w:rPr>
              <w:t>30</w:t>
            </w:r>
            <w:r>
              <w:rPr>
                <w:sz w:val="24"/>
                <w:szCs w:val="24"/>
              </w:rPr>
              <w:t>日</w:t>
            </w:r>
          </w:p>
        </w:tc>
        <w:tc>
          <w:tcPr>
            <w:tcW w:w="1134" w:type="dxa"/>
            <w:vAlign w:val="center"/>
          </w:tcPr>
          <w:p w:rsidR="00BB3516" w:rsidRDefault="00AA1887">
            <w:pPr>
              <w:jc w:val="center"/>
            </w:pPr>
            <w:r>
              <w:rPr>
                <w:sz w:val="24"/>
                <w:szCs w:val="24"/>
              </w:rPr>
              <w:t>200,045,000.22</w:t>
            </w:r>
          </w:p>
        </w:tc>
        <w:tc>
          <w:tcPr>
            <w:tcW w:w="992" w:type="dxa"/>
            <w:vAlign w:val="center"/>
          </w:tcPr>
          <w:p w:rsidR="00BB3516" w:rsidRDefault="00AA1887">
            <w:pPr>
              <w:jc w:val="center"/>
            </w:pPr>
            <w:r>
              <w:rPr>
                <w:sz w:val="24"/>
                <w:szCs w:val="24"/>
              </w:rPr>
              <w:t>-</w:t>
            </w:r>
          </w:p>
        </w:tc>
        <w:tc>
          <w:tcPr>
            <w:tcW w:w="1134" w:type="dxa"/>
            <w:vAlign w:val="center"/>
          </w:tcPr>
          <w:p w:rsidR="00BB3516" w:rsidRDefault="00AA1887">
            <w:pPr>
              <w:jc w:val="center"/>
            </w:pPr>
            <w:r>
              <w:rPr>
                <w:sz w:val="24"/>
                <w:szCs w:val="24"/>
              </w:rPr>
              <w:t>-</w:t>
            </w:r>
          </w:p>
        </w:tc>
        <w:tc>
          <w:tcPr>
            <w:tcW w:w="1037" w:type="dxa"/>
            <w:vAlign w:val="center"/>
          </w:tcPr>
          <w:p w:rsidR="00BB3516" w:rsidRDefault="00AA1887">
            <w:pPr>
              <w:jc w:val="center"/>
            </w:pPr>
            <w:r>
              <w:rPr>
                <w:sz w:val="24"/>
                <w:szCs w:val="24"/>
              </w:rPr>
              <w:t>200,045,000.22</w:t>
            </w:r>
          </w:p>
        </w:tc>
        <w:tc>
          <w:tcPr>
            <w:tcW w:w="851" w:type="dxa"/>
            <w:vAlign w:val="center"/>
          </w:tcPr>
          <w:p w:rsidR="00BB3516" w:rsidRDefault="00AA1887">
            <w:pPr>
              <w:jc w:val="center"/>
            </w:pPr>
            <w:r>
              <w:rPr>
                <w:sz w:val="24"/>
                <w:szCs w:val="24"/>
              </w:rPr>
              <w:t>80.25%</w:t>
            </w:r>
          </w:p>
        </w:tc>
      </w:tr>
      <w:tr w:rsidR="001F5F5D" w:rsidRPr="00FC0759" w:rsidTr="00D9482C">
        <w:trPr>
          <w:jc w:val="center"/>
        </w:trPr>
        <w:tc>
          <w:tcPr>
            <w:tcW w:w="9637" w:type="dxa"/>
            <w:gridSpan w:val="8"/>
            <w:vAlign w:val="center"/>
          </w:tcPr>
          <w:p w:rsidR="001F5F5D" w:rsidRPr="00FC0759" w:rsidRDefault="001F5F5D" w:rsidP="003350A8">
            <w:pPr>
              <w:autoSpaceDE w:val="0"/>
              <w:autoSpaceDN w:val="0"/>
              <w:adjustRightInd w:val="0"/>
              <w:jc w:val="center"/>
              <w:rPr>
                <w:sz w:val="24"/>
                <w:szCs w:val="24"/>
              </w:rPr>
            </w:pPr>
            <w:r w:rsidRPr="00FC0759">
              <w:rPr>
                <w:color w:val="000000"/>
                <w:sz w:val="24"/>
                <w:szCs w:val="24"/>
              </w:rPr>
              <w:t>产品特有风险</w:t>
            </w:r>
          </w:p>
        </w:tc>
      </w:tr>
      <w:tr w:rsidR="001F5F5D" w:rsidRPr="00FC0759" w:rsidTr="00D9482C">
        <w:trPr>
          <w:jc w:val="center"/>
        </w:trPr>
        <w:tc>
          <w:tcPr>
            <w:tcW w:w="9637" w:type="dxa"/>
            <w:gridSpan w:val="8"/>
            <w:vAlign w:val="center"/>
          </w:tcPr>
          <w:p w:rsidR="001F5F5D" w:rsidRPr="00FC0759" w:rsidRDefault="001F5F5D" w:rsidP="00D9482C">
            <w:pPr>
              <w:autoSpaceDE w:val="0"/>
              <w:autoSpaceDN w:val="0"/>
              <w:adjustRightInd w:val="0"/>
              <w:jc w:val="left"/>
              <w:rPr>
                <w:sz w:val="24"/>
                <w:szCs w:val="24"/>
              </w:rPr>
            </w:pPr>
            <w:r w:rsidRPr="00FC0759">
              <w:rPr>
                <w:sz w:val="24"/>
                <w:szCs w:val="24"/>
              </w:rPr>
              <w:t>报告期内，本基金存在单一投资者持有份额比例达到或超过</w:t>
            </w:r>
            <w:r w:rsidRPr="00FC0759">
              <w:rPr>
                <w:sz w:val="24"/>
                <w:szCs w:val="24"/>
              </w:rPr>
              <w:t>20%</w:t>
            </w:r>
            <w:r w:rsidRPr="00FC0759">
              <w:rPr>
                <w:sz w:val="24"/>
                <w:szCs w:val="24"/>
              </w:rPr>
              <w:t>的情况，由此可能导致的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发巨额赎回，基金管理人可能根据基金合同约定决定部分延期赎回或暂停接受基金的赎回申请，可能影响投资者赎回业务办理；若个别投资者大额赎回后本基金出现连续六十个工作日基金资产净值低于</w:t>
            </w:r>
            <w:r w:rsidRPr="00FC0759">
              <w:rPr>
                <w:sz w:val="24"/>
                <w:szCs w:val="24"/>
              </w:rPr>
              <w:t>5000</w:t>
            </w:r>
            <w:r w:rsidRPr="00FC0759">
              <w:rPr>
                <w:sz w:val="24"/>
                <w:szCs w:val="24"/>
              </w:rPr>
              <w:t>万元，基金还可能面临转换运作方式、与其他基金合并或者终止基金合同等情形；持有基金份额占比较高的投资者在召开持有人大会并对审议事项进行投票表决时可能拥有较大话语权。</w:t>
            </w:r>
          </w:p>
        </w:tc>
      </w:tr>
    </w:tbl>
    <w:p w:rsidR="001F5F5D" w:rsidRPr="001F5F5D" w:rsidRDefault="001F5F5D" w:rsidP="001F5F5D">
      <w:pPr>
        <w:autoSpaceDE w:val="0"/>
        <w:autoSpaceDN w:val="0"/>
        <w:adjustRightInd w:val="0"/>
        <w:spacing w:line="360" w:lineRule="auto"/>
        <w:jc w:val="left"/>
        <w:rPr>
          <w:rFonts w:ascii="宋体"/>
          <w:b/>
          <w:bCs/>
          <w:color w:val="000000"/>
          <w:kern w:val="0"/>
          <w:sz w:val="24"/>
          <w:szCs w:val="24"/>
        </w:rPr>
      </w:pPr>
      <w:r w:rsidRPr="001F5F5D">
        <w:rPr>
          <w:rFonts w:ascii="宋体"/>
          <w:b/>
          <w:bCs/>
          <w:color w:val="000000"/>
          <w:kern w:val="0"/>
          <w:sz w:val="24"/>
          <w:szCs w:val="24"/>
        </w:rPr>
        <w:t>9.2 影响投资者决策的其他重要信息</w:t>
      </w:r>
    </w:p>
    <w:p w:rsidR="00BB3516" w:rsidRDefault="00AA1887">
      <w:pPr>
        <w:spacing w:line="360" w:lineRule="auto"/>
        <w:ind w:firstLineChars="200" w:firstLine="480"/>
        <w:rPr>
          <w:color w:val="000000"/>
          <w:sz w:val="24"/>
          <w:szCs w:val="24"/>
        </w:rPr>
      </w:pPr>
      <w:r>
        <w:rPr>
          <w:rFonts w:eastAsiaTheme="minorEastAsia"/>
          <w:color w:val="000000" w:themeColor="text1"/>
          <w:sz w:val="24"/>
          <w:szCs w:val="24"/>
        </w:rPr>
        <w:t>本基金投资于其他基金的比例不低于本基金资产的</w:t>
      </w:r>
      <w:r>
        <w:rPr>
          <w:rFonts w:eastAsiaTheme="minorEastAsia"/>
          <w:color w:val="000000" w:themeColor="text1"/>
          <w:sz w:val="24"/>
          <w:szCs w:val="24"/>
        </w:rPr>
        <w:t>80%</w:t>
      </w:r>
      <w:r>
        <w:rPr>
          <w:rFonts w:eastAsiaTheme="minorEastAsia"/>
          <w:color w:val="000000" w:themeColor="text1"/>
          <w:sz w:val="24"/>
          <w:szCs w:val="24"/>
        </w:rPr>
        <w:t>，由此可能面临如下风险：</w:t>
      </w:r>
    </w:p>
    <w:p w:rsidR="00BB3516" w:rsidRDefault="00AA1887">
      <w:pPr>
        <w:spacing w:line="360" w:lineRule="auto"/>
        <w:ind w:firstLineChars="200" w:firstLine="480"/>
        <w:rPr>
          <w:color w:val="000000"/>
          <w:sz w:val="24"/>
          <w:szCs w:val="24"/>
        </w:rPr>
      </w:pPr>
      <w:r>
        <w:rPr>
          <w:rFonts w:eastAsiaTheme="minorEastAsia"/>
          <w:color w:val="000000" w:themeColor="text1"/>
          <w:sz w:val="24"/>
          <w:szCs w:val="24"/>
        </w:rPr>
        <w:t>（</w:t>
      </w:r>
      <w:r>
        <w:rPr>
          <w:rFonts w:eastAsiaTheme="minorEastAsia"/>
          <w:color w:val="000000" w:themeColor="text1"/>
          <w:sz w:val="24"/>
          <w:szCs w:val="24"/>
        </w:rPr>
        <w:t>1</w:t>
      </w:r>
      <w:r>
        <w:rPr>
          <w:rFonts w:eastAsiaTheme="minorEastAsia"/>
          <w:color w:val="000000" w:themeColor="text1"/>
          <w:sz w:val="24"/>
          <w:szCs w:val="24"/>
        </w:rPr>
        <w:t>）被投资基金的业绩风险。本基金投资于其他基金的比例不低于基金资产的</w:t>
      </w:r>
      <w:r>
        <w:rPr>
          <w:rFonts w:eastAsiaTheme="minorEastAsia"/>
          <w:color w:val="000000" w:themeColor="text1"/>
          <w:sz w:val="24"/>
          <w:szCs w:val="24"/>
        </w:rPr>
        <w:t>80%</w:t>
      </w:r>
      <w:r>
        <w:rPr>
          <w:rFonts w:eastAsiaTheme="minorEastAsia"/>
          <w:color w:val="000000" w:themeColor="text1"/>
          <w:sz w:val="24"/>
          <w:szCs w:val="24"/>
        </w:rPr>
        <w:t>，因此本基金投资目标的实现建立在被投资基金本身投资目标实现的基础上。如果由于被投资基金未能实现投资目标，则本基金存在达不成投资目标的风险。</w:t>
      </w:r>
    </w:p>
    <w:p w:rsidR="00BB3516" w:rsidRDefault="00AA1887">
      <w:pPr>
        <w:spacing w:line="360" w:lineRule="auto"/>
        <w:ind w:firstLineChars="200" w:firstLine="480"/>
        <w:rPr>
          <w:color w:val="000000"/>
          <w:sz w:val="24"/>
          <w:szCs w:val="24"/>
        </w:rPr>
      </w:pPr>
      <w:r>
        <w:rPr>
          <w:rFonts w:eastAsiaTheme="minorEastAsia"/>
          <w:color w:val="000000" w:themeColor="text1"/>
          <w:sz w:val="24"/>
          <w:szCs w:val="24"/>
        </w:rPr>
        <w:t>（</w:t>
      </w:r>
      <w:r>
        <w:rPr>
          <w:rFonts w:eastAsiaTheme="minorEastAsia"/>
          <w:color w:val="000000" w:themeColor="text1"/>
          <w:sz w:val="24"/>
          <w:szCs w:val="24"/>
        </w:rPr>
        <w:t>2</w:t>
      </w:r>
      <w:r>
        <w:rPr>
          <w:rFonts w:eastAsiaTheme="minorEastAsia"/>
          <w:color w:val="000000" w:themeColor="text1"/>
          <w:sz w:val="24"/>
          <w:szCs w:val="24"/>
        </w:rPr>
        <w:t>）赎回资金到账时间较晚的风</w:t>
      </w:r>
      <w:r>
        <w:rPr>
          <w:rFonts w:eastAsiaTheme="minorEastAsia"/>
          <w:color w:val="000000" w:themeColor="text1"/>
          <w:sz w:val="24"/>
          <w:szCs w:val="24"/>
        </w:rPr>
        <w:t>险。基金赎回的资金交收效率慢于基础证券市场交易的证券，因此本基金赎回款实际到达投资者账户的时间可能晚于普通境内开放式基金，存在对投资者资金安排造成影响的风险。</w:t>
      </w:r>
    </w:p>
    <w:p w:rsidR="00BB3516" w:rsidRDefault="00AA1887">
      <w:pPr>
        <w:spacing w:line="360" w:lineRule="auto"/>
        <w:ind w:firstLineChars="200" w:firstLine="480"/>
        <w:rPr>
          <w:color w:val="000000"/>
          <w:sz w:val="24"/>
          <w:szCs w:val="24"/>
        </w:rPr>
      </w:pPr>
      <w:r>
        <w:rPr>
          <w:rFonts w:eastAsiaTheme="minorEastAsia"/>
          <w:color w:val="000000" w:themeColor="text1"/>
          <w:sz w:val="24"/>
          <w:szCs w:val="24"/>
        </w:rPr>
        <w:t>（</w:t>
      </w:r>
      <w:r>
        <w:rPr>
          <w:rFonts w:eastAsiaTheme="minorEastAsia"/>
          <w:color w:val="000000" w:themeColor="text1"/>
          <w:sz w:val="24"/>
          <w:szCs w:val="24"/>
        </w:rPr>
        <w:t>3</w:t>
      </w:r>
      <w:r>
        <w:rPr>
          <w:rFonts w:eastAsiaTheme="minorEastAsia"/>
          <w:color w:val="000000" w:themeColor="text1"/>
          <w:sz w:val="24"/>
          <w:szCs w:val="24"/>
        </w:rPr>
        <w:t>）双重收费风险。本基金的投资范围包含全市场基金，投资于非本基金管理人管理的其他基金时，存在本基金与被投资基金各类基金费用的双重收取情况，相较于其他基金产品存在额外增加投资者投资成本的风险。</w:t>
      </w:r>
    </w:p>
    <w:p w:rsidR="00BB3516" w:rsidRDefault="00AA1887">
      <w:pPr>
        <w:spacing w:line="360" w:lineRule="auto"/>
        <w:ind w:firstLineChars="200" w:firstLine="480"/>
        <w:rPr>
          <w:color w:val="000000"/>
          <w:sz w:val="24"/>
          <w:szCs w:val="24"/>
        </w:rPr>
      </w:pPr>
      <w:r>
        <w:rPr>
          <w:rFonts w:eastAsiaTheme="minorEastAsia"/>
          <w:color w:val="000000" w:themeColor="text1"/>
          <w:sz w:val="24"/>
          <w:szCs w:val="24"/>
        </w:rPr>
        <w:lastRenderedPageBreak/>
        <w:t>（</w:t>
      </w:r>
      <w:r>
        <w:rPr>
          <w:rFonts w:eastAsiaTheme="minorEastAsia"/>
          <w:color w:val="000000" w:themeColor="text1"/>
          <w:sz w:val="24"/>
          <w:szCs w:val="24"/>
        </w:rPr>
        <w:t>4</w:t>
      </w:r>
      <w:r>
        <w:rPr>
          <w:rFonts w:eastAsiaTheme="minorEastAsia"/>
          <w:color w:val="000000" w:themeColor="text1"/>
          <w:sz w:val="24"/>
          <w:szCs w:val="24"/>
        </w:rPr>
        <w:t>）投资</w:t>
      </w:r>
      <w:r>
        <w:rPr>
          <w:rFonts w:eastAsiaTheme="minorEastAsia"/>
          <w:color w:val="000000" w:themeColor="text1"/>
          <w:sz w:val="24"/>
          <w:szCs w:val="24"/>
        </w:rPr>
        <w:t>QDII</w:t>
      </w:r>
      <w:r>
        <w:rPr>
          <w:rFonts w:eastAsiaTheme="minorEastAsia"/>
          <w:color w:val="000000" w:themeColor="text1"/>
          <w:sz w:val="24"/>
          <w:szCs w:val="24"/>
        </w:rPr>
        <w:t>基金的特有风险。本基金可投资于</w:t>
      </w:r>
      <w:r>
        <w:rPr>
          <w:rFonts w:eastAsiaTheme="minorEastAsia"/>
          <w:color w:val="000000" w:themeColor="text1"/>
          <w:sz w:val="24"/>
          <w:szCs w:val="24"/>
        </w:rPr>
        <w:t>QDII</w:t>
      </w:r>
      <w:r>
        <w:rPr>
          <w:rFonts w:eastAsiaTheme="minorEastAsia"/>
          <w:color w:val="000000" w:themeColor="text1"/>
          <w:sz w:val="24"/>
          <w:szCs w:val="24"/>
        </w:rPr>
        <w:t>基金，主要存在如下风险：</w:t>
      </w:r>
      <w:r>
        <w:rPr>
          <w:rFonts w:eastAsiaTheme="minorEastAsia"/>
          <w:color w:val="000000" w:themeColor="text1"/>
          <w:sz w:val="24"/>
          <w:szCs w:val="24"/>
        </w:rPr>
        <w:t>①QDII</w:t>
      </w:r>
      <w:r>
        <w:rPr>
          <w:rFonts w:eastAsiaTheme="minorEastAsia"/>
          <w:color w:val="000000" w:themeColor="text1"/>
          <w:sz w:val="24"/>
          <w:szCs w:val="24"/>
        </w:rPr>
        <w:t>基金主要投资境外市场，因此本基金投资</w:t>
      </w:r>
      <w:r>
        <w:rPr>
          <w:rFonts w:eastAsiaTheme="minorEastAsia"/>
          <w:color w:val="000000" w:themeColor="text1"/>
          <w:sz w:val="24"/>
          <w:szCs w:val="24"/>
        </w:rPr>
        <w:t>QDII</w:t>
      </w:r>
      <w:r>
        <w:rPr>
          <w:rFonts w:eastAsiaTheme="minorEastAsia"/>
          <w:color w:val="000000" w:themeColor="text1"/>
          <w:sz w:val="24"/>
          <w:szCs w:val="24"/>
        </w:rPr>
        <w:t>基金时，将间接承担境外市场波动以及汇率波动的风险；</w:t>
      </w:r>
      <w:r>
        <w:rPr>
          <w:rFonts w:eastAsiaTheme="minorEastAsia"/>
          <w:color w:val="000000" w:themeColor="text1"/>
          <w:sz w:val="24"/>
          <w:szCs w:val="24"/>
        </w:rPr>
        <w:t>②</w:t>
      </w:r>
      <w:r>
        <w:rPr>
          <w:rFonts w:eastAsiaTheme="minorEastAsia"/>
          <w:color w:val="000000" w:themeColor="text1"/>
          <w:sz w:val="24"/>
          <w:szCs w:val="24"/>
        </w:rPr>
        <w:t>按照目前的业务规则，</w:t>
      </w:r>
      <w:r>
        <w:rPr>
          <w:rFonts w:eastAsiaTheme="minorEastAsia"/>
          <w:color w:val="000000" w:themeColor="text1"/>
          <w:sz w:val="24"/>
          <w:szCs w:val="24"/>
        </w:rPr>
        <w:t>QDII</w:t>
      </w:r>
      <w:r>
        <w:rPr>
          <w:rFonts w:eastAsiaTheme="minorEastAsia"/>
          <w:color w:val="000000" w:themeColor="text1"/>
          <w:sz w:val="24"/>
          <w:szCs w:val="24"/>
        </w:rPr>
        <w:t>基金的赎回款项将在</w:t>
      </w:r>
      <w:r>
        <w:rPr>
          <w:rFonts w:eastAsiaTheme="minorEastAsia"/>
          <w:color w:val="000000" w:themeColor="text1"/>
          <w:sz w:val="24"/>
          <w:szCs w:val="24"/>
        </w:rPr>
        <w:t>T+10</w:t>
      </w:r>
      <w:r>
        <w:rPr>
          <w:rFonts w:eastAsiaTheme="minorEastAsia"/>
          <w:color w:val="000000" w:themeColor="text1"/>
          <w:sz w:val="24"/>
          <w:szCs w:val="24"/>
        </w:rPr>
        <w:t>内进行支付（</w:t>
      </w:r>
      <w:r>
        <w:rPr>
          <w:rFonts w:eastAsiaTheme="minorEastAsia"/>
          <w:color w:val="000000" w:themeColor="text1"/>
          <w:sz w:val="24"/>
          <w:szCs w:val="24"/>
        </w:rPr>
        <w:t>T</w:t>
      </w:r>
      <w:r>
        <w:rPr>
          <w:rFonts w:eastAsiaTheme="minorEastAsia"/>
          <w:color w:val="000000" w:themeColor="text1"/>
          <w:sz w:val="24"/>
          <w:szCs w:val="24"/>
        </w:rPr>
        <w:t>为赎回申请日），晚于普通境内基金的支付时间。因此，可能存在</w:t>
      </w:r>
      <w:r>
        <w:rPr>
          <w:rFonts w:eastAsiaTheme="minorEastAsia"/>
          <w:color w:val="000000" w:themeColor="text1"/>
          <w:sz w:val="24"/>
          <w:szCs w:val="24"/>
        </w:rPr>
        <w:t>QDII</w:t>
      </w:r>
      <w:r>
        <w:rPr>
          <w:rFonts w:eastAsiaTheme="minorEastAsia"/>
          <w:color w:val="000000" w:themeColor="text1"/>
          <w:sz w:val="24"/>
          <w:szCs w:val="24"/>
        </w:rPr>
        <w:t>基金赎回款到帐时间较晚，本基金无法及时支付投资者赎回款项的风险；</w:t>
      </w:r>
      <w:r>
        <w:rPr>
          <w:rFonts w:eastAsiaTheme="minorEastAsia"/>
          <w:color w:val="000000" w:themeColor="text1"/>
          <w:sz w:val="24"/>
          <w:szCs w:val="24"/>
        </w:rPr>
        <w:t>③</w:t>
      </w:r>
      <w:r>
        <w:rPr>
          <w:rFonts w:eastAsiaTheme="minorEastAsia"/>
          <w:color w:val="000000" w:themeColor="text1"/>
          <w:sz w:val="24"/>
          <w:szCs w:val="24"/>
        </w:rPr>
        <w:t>由于投资</w:t>
      </w:r>
      <w:r>
        <w:rPr>
          <w:rFonts w:eastAsiaTheme="minorEastAsia"/>
          <w:color w:val="000000" w:themeColor="text1"/>
          <w:sz w:val="24"/>
          <w:szCs w:val="24"/>
        </w:rPr>
        <w:t>QDII</w:t>
      </w:r>
      <w:r>
        <w:rPr>
          <w:rFonts w:eastAsiaTheme="minorEastAsia"/>
          <w:color w:val="000000" w:themeColor="text1"/>
          <w:sz w:val="24"/>
          <w:szCs w:val="24"/>
        </w:rPr>
        <w:t>基金，正常情况下，本基金将于</w:t>
      </w:r>
      <w:r>
        <w:rPr>
          <w:rFonts w:eastAsiaTheme="minorEastAsia"/>
          <w:color w:val="000000" w:themeColor="text1"/>
          <w:sz w:val="24"/>
          <w:szCs w:val="24"/>
        </w:rPr>
        <w:t>T+2</w:t>
      </w:r>
      <w:r>
        <w:rPr>
          <w:rFonts w:eastAsiaTheme="minorEastAsia"/>
          <w:color w:val="000000" w:themeColor="text1"/>
          <w:sz w:val="24"/>
          <w:szCs w:val="24"/>
        </w:rPr>
        <w:t>日（</w:t>
      </w:r>
      <w:r>
        <w:rPr>
          <w:rFonts w:eastAsiaTheme="minorEastAsia"/>
          <w:color w:val="000000" w:themeColor="text1"/>
          <w:sz w:val="24"/>
          <w:szCs w:val="24"/>
        </w:rPr>
        <w:t>T</w:t>
      </w:r>
      <w:r>
        <w:rPr>
          <w:rFonts w:eastAsiaTheme="minorEastAsia"/>
          <w:color w:val="000000" w:themeColor="text1"/>
          <w:sz w:val="24"/>
          <w:szCs w:val="24"/>
        </w:rPr>
        <w:t>日为开放日）对</w:t>
      </w:r>
      <w:r>
        <w:rPr>
          <w:rFonts w:eastAsiaTheme="minorEastAsia"/>
          <w:color w:val="000000" w:themeColor="text1"/>
          <w:sz w:val="24"/>
          <w:szCs w:val="24"/>
        </w:rPr>
        <w:t>T</w:t>
      </w:r>
      <w:r>
        <w:rPr>
          <w:rFonts w:eastAsiaTheme="minorEastAsia"/>
          <w:color w:val="000000" w:themeColor="text1"/>
          <w:sz w:val="24"/>
          <w:szCs w:val="24"/>
        </w:rPr>
        <w:t>日的基金资产净值进行估值，</w:t>
      </w:r>
      <w:r>
        <w:rPr>
          <w:rFonts w:eastAsiaTheme="minorEastAsia"/>
          <w:color w:val="000000" w:themeColor="text1"/>
          <w:sz w:val="24"/>
          <w:szCs w:val="24"/>
        </w:rPr>
        <w:t>T+3</w:t>
      </w:r>
      <w:r>
        <w:rPr>
          <w:rFonts w:eastAsiaTheme="minorEastAsia"/>
          <w:color w:val="000000" w:themeColor="text1"/>
          <w:sz w:val="24"/>
          <w:szCs w:val="24"/>
        </w:rPr>
        <w:t>日对投资人申购、赎回申</w:t>
      </w:r>
      <w:r>
        <w:rPr>
          <w:rFonts w:eastAsiaTheme="minorEastAsia"/>
          <w:color w:val="000000" w:themeColor="text1"/>
          <w:sz w:val="24"/>
          <w:szCs w:val="24"/>
        </w:rPr>
        <w:t>请的有效性进行确认，投资人可于</w:t>
      </w:r>
      <w:r>
        <w:rPr>
          <w:rFonts w:eastAsiaTheme="minorEastAsia"/>
          <w:color w:val="000000" w:themeColor="text1"/>
          <w:sz w:val="24"/>
          <w:szCs w:val="24"/>
        </w:rPr>
        <w:t>T+4</w:t>
      </w:r>
      <w:r>
        <w:rPr>
          <w:rFonts w:eastAsiaTheme="minorEastAsia"/>
          <w:color w:val="000000" w:themeColor="text1"/>
          <w:sz w:val="24"/>
          <w:szCs w:val="24"/>
        </w:rPr>
        <w:t>日到销售网点柜台或以销售机构规定的其他方式查询申请的确认情况，这将导致投资者承担更长时间基金净值波动的风险。</w:t>
      </w:r>
    </w:p>
    <w:p w:rsidR="00BB3516" w:rsidRDefault="00AA1887">
      <w:pPr>
        <w:spacing w:line="360" w:lineRule="auto"/>
        <w:ind w:firstLineChars="200" w:firstLine="480"/>
        <w:rPr>
          <w:color w:val="000000"/>
          <w:sz w:val="24"/>
          <w:szCs w:val="24"/>
        </w:rPr>
      </w:pPr>
      <w:r>
        <w:rPr>
          <w:rFonts w:eastAsiaTheme="minorEastAsia"/>
          <w:color w:val="000000" w:themeColor="text1"/>
          <w:sz w:val="24"/>
          <w:szCs w:val="24"/>
        </w:rPr>
        <w:t>（</w:t>
      </w:r>
      <w:r>
        <w:rPr>
          <w:rFonts w:eastAsiaTheme="minorEastAsia"/>
          <w:color w:val="000000" w:themeColor="text1"/>
          <w:sz w:val="24"/>
          <w:szCs w:val="24"/>
        </w:rPr>
        <w:t>5</w:t>
      </w:r>
      <w:r>
        <w:rPr>
          <w:rFonts w:eastAsiaTheme="minorEastAsia"/>
          <w:color w:val="000000" w:themeColor="text1"/>
          <w:sz w:val="24"/>
          <w:szCs w:val="24"/>
        </w:rPr>
        <w:t>）可上市交易基金的二级市场投资风险本基金可通过二级市场进行</w:t>
      </w:r>
      <w:r>
        <w:rPr>
          <w:rFonts w:eastAsiaTheme="minorEastAsia"/>
          <w:color w:val="000000" w:themeColor="text1"/>
          <w:sz w:val="24"/>
          <w:szCs w:val="24"/>
        </w:rPr>
        <w:t>ETF</w:t>
      </w:r>
      <w:r>
        <w:rPr>
          <w:rFonts w:eastAsiaTheme="minorEastAsia"/>
          <w:color w:val="000000" w:themeColor="text1"/>
          <w:sz w:val="24"/>
          <w:szCs w:val="24"/>
        </w:rPr>
        <w:t>、</w:t>
      </w:r>
      <w:r>
        <w:rPr>
          <w:rFonts w:eastAsiaTheme="minorEastAsia"/>
          <w:color w:val="000000" w:themeColor="text1"/>
          <w:sz w:val="24"/>
          <w:szCs w:val="24"/>
        </w:rPr>
        <w:t>LOF</w:t>
      </w:r>
      <w:r>
        <w:rPr>
          <w:rFonts w:eastAsiaTheme="minorEastAsia"/>
          <w:color w:val="000000" w:themeColor="text1"/>
          <w:sz w:val="24"/>
          <w:szCs w:val="24"/>
        </w:rPr>
        <w:t>、封闭式基金的买卖交易，由此可能面临交易量不足所引起的流动性风险、交易价格与基金份额净值之间的折溢价风险以及被投资基金暂停交易或退市的风险等。</w:t>
      </w:r>
    </w:p>
    <w:p w:rsidR="00BB3516" w:rsidRDefault="00AA1887">
      <w:pPr>
        <w:spacing w:line="360" w:lineRule="auto"/>
        <w:ind w:firstLineChars="200" w:firstLine="480"/>
        <w:rPr>
          <w:color w:val="000000"/>
          <w:sz w:val="24"/>
          <w:szCs w:val="24"/>
        </w:rPr>
      </w:pPr>
      <w:r>
        <w:rPr>
          <w:rFonts w:eastAsiaTheme="minorEastAsia"/>
          <w:color w:val="000000" w:themeColor="text1"/>
          <w:sz w:val="24"/>
          <w:szCs w:val="24"/>
        </w:rPr>
        <w:t>（</w:t>
      </w:r>
      <w:r>
        <w:rPr>
          <w:rFonts w:eastAsiaTheme="minorEastAsia"/>
          <w:color w:val="000000" w:themeColor="text1"/>
          <w:sz w:val="24"/>
          <w:szCs w:val="24"/>
        </w:rPr>
        <w:t>6</w:t>
      </w:r>
      <w:r>
        <w:rPr>
          <w:rFonts w:eastAsiaTheme="minorEastAsia"/>
          <w:color w:val="000000" w:themeColor="text1"/>
          <w:sz w:val="24"/>
          <w:szCs w:val="24"/>
        </w:rPr>
        <w:t>）被投资基金的运作风险具体包括基金投资风格漂移风险、基金经理变更风险、基金实际运作风险以及基金产品设计开发创新风险等。此外，封闭式基金到期转开</w:t>
      </w:r>
      <w:r>
        <w:rPr>
          <w:rFonts w:eastAsiaTheme="minorEastAsia"/>
          <w:color w:val="000000" w:themeColor="text1"/>
          <w:sz w:val="24"/>
          <w:szCs w:val="24"/>
        </w:rPr>
        <w:t>放、基金清算、基金合并等事件也会带来风险。虽然本基金管理人将会从基金风格、投资能力、管理团队、实际运作情况等多方面精选基金投资品种，但无法完全规避基金运作风险。</w:t>
      </w:r>
    </w:p>
    <w:p w:rsidR="00BB3516" w:rsidRDefault="00AA1887">
      <w:pPr>
        <w:spacing w:line="360" w:lineRule="auto"/>
        <w:ind w:firstLineChars="200" w:firstLine="480"/>
        <w:rPr>
          <w:color w:val="000000"/>
          <w:sz w:val="24"/>
          <w:szCs w:val="24"/>
        </w:rPr>
      </w:pPr>
      <w:r>
        <w:rPr>
          <w:rFonts w:eastAsiaTheme="minorEastAsia"/>
          <w:color w:val="000000" w:themeColor="text1"/>
          <w:sz w:val="24"/>
          <w:szCs w:val="24"/>
        </w:rPr>
        <w:t>（</w:t>
      </w:r>
      <w:r>
        <w:rPr>
          <w:rFonts w:eastAsiaTheme="minorEastAsia"/>
          <w:color w:val="000000" w:themeColor="text1"/>
          <w:sz w:val="24"/>
          <w:szCs w:val="24"/>
        </w:rPr>
        <w:t>7</w:t>
      </w:r>
      <w:r>
        <w:rPr>
          <w:rFonts w:eastAsiaTheme="minorEastAsia"/>
          <w:color w:val="000000" w:themeColor="text1"/>
          <w:sz w:val="24"/>
          <w:szCs w:val="24"/>
        </w:rPr>
        <w:t>）被投资基金的基金管理人经营风险基金的投资业绩会受到基金管理人的经营状况的影响。如基金管理人面临的管理能力、财务状况、市场前景、行业竞争、人员素质等因素的变化均会导致基金投资业绩的波动。虽然本基金可以通过投资多样化分散这种非系统风险，但不能完全规避。特别地，在本基金投资策略的实施过程中，可将基金资产部分或全部投资于本基金管理人管理的其他基金，在</w:t>
      </w:r>
      <w:r>
        <w:rPr>
          <w:rFonts w:eastAsiaTheme="minorEastAsia"/>
          <w:color w:val="000000" w:themeColor="text1"/>
          <w:sz w:val="24"/>
          <w:szCs w:val="24"/>
        </w:rPr>
        <w:t>这种情况下，本基金将无法通过投资多样化来分散这种非系统性风险。</w:t>
      </w:r>
    </w:p>
    <w:p w:rsidR="00750D48" w:rsidRPr="004B7A92" w:rsidRDefault="001F5F5D" w:rsidP="001F5F5D">
      <w:pPr>
        <w:spacing w:line="360" w:lineRule="auto"/>
        <w:ind w:firstLineChars="200" w:firstLine="480"/>
        <w:rPr>
          <w:color w:val="000000"/>
          <w:sz w:val="24"/>
          <w:szCs w:val="24"/>
        </w:rPr>
      </w:pPr>
      <w:r w:rsidRPr="00FC0759">
        <w:rPr>
          <w:rFonts w:eastAsiaTheme="minorEastAsia"/>
          <w:color w:val="000000" w:themeColor="text1"/>
          <w:sz w:val="24"/>
          <w:szCs w:val="24"/>
        </w:rPr>
        <w:t>（</w:t>
      </w:r>
      <w:r w:rsidRPr="00FC0759">
        <w:rPr>
          <w:rFonts w:eastAsiaTheme="minorEastAsia"/>
          <w:color w:val="000000" w:themeColor="text1"/>
          <w:sz w:val="24"/>
          <w:szCs w:val="24"/>
        </w:rPr>
        <w:t>8</w:t>
      </w:r>
      <w:r w:rsidRPr="00FC0759">
        <w:rPr>
          <w:rFonts w:eastAsiaTheme="minorEastAsia"/>
          <w:color w:val="000000" w:themeColor="text1"/>
          <w:sz w:val="24"/>
          <w:szCs w:val="24"/>
        </w:rPr>
        <w:t>）被投资基金的相关政策风险本基金主要投资于各类其他基金，如遇国家金融政策发生重大调整，导致被投资基金的基金管理人、基金投资操作、基金运作方式发生较大变化，可能影响本基金的收益水平。</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10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10.1 </w:t>
      </w:r>
      <w:r w:rsidRPr="00264E55">
        <w:rPr>
          <w:rFonts w:ascii="宋体" w:hAnsi="宋体" w:hint="eastAsia"/>
          <w:b/>
          <w:bCs/>
          <w:color w:val="000000"/>
          <w:kern w:val="0"/>
          <w:sz w:val="24"/>
          <w:szCs w:val="24"/>
        </w:rPr>
        <w:t>备查文件目录</w:t>
      </w:r>
    </w:p>
    <w:p w:rsidR="00BB3516" w:rsidRDefault="00AA1887">
      <w:pPr>
        <w:spacing w:line="360" w:lineRule="auto"/>
        <w:ind w:firstLineChars="200" w:firstLine="480"/>
        <w:rPr>
          <w:color w:val="000000"/>
          <w:sz w:val="24"/>
          <w:szCs w:val="24"/>
        </w:rPr>
      </w:pPr>
      <w:r>
        <w:rPr>
          <w:color w:val="000000"/>
          <w:sz w:val="24"/>
          <w:szCs w:val="24"/>
        </w:rPr>
        <w:t>1.</w:t>
      </w:r>
      <w:r>
        <w:rPr>
          <w:color w:val="000000"/>
          <w:sz w:val="24"/>
          <w:szCs w:val="24"/>
        </w:rPr>
        <w:t>中国证监会准予易方达汇诚养老目标日期</w:t>
      </w:r>
      <w:r>
        <w:rPr>
          <w:color w:val="000000"/>
          <w:sz w:val="24"/>
          <w:szCs w:val="24"/>
        </w:rPr>
        <w:t>2043</w:t>
      </w:r>
      <w:r>
        <w:rPr>
          <w:color w:val="000000"/>
          <w:sz w:val="24"/>
          <w:szCs w:val="24"/>
        </w:rPr>
        <w:t>三年持有期混合型基金中基金（</w:t>
      </w:r>
      <w:r>
        <w:rPr>
          <w:color w:val="000000"/>
          <w:sz w:val="24"/>
          <w:szCs w:val="24"/>
        </w:rPr>
        <w:t>FOF</w:t>
      </w:r>
      <w:r>
        <w:rPr>
          <w:color w:val="000000"/>
          <w:sz w:val="24"/>
          <w:szCs w:val="24"/>
        </w:rPr>
        <w:t>）注册的文件；</w:t>
      </w:r>
    </w:p>
    <w:p w:rsidR="00BB3516" w:rsidRDefault="00AA1887">
      <w:pPr>
        <w:spacing w:line="360" w:lineRule="auto"/>
        <w:ind w:firstLineChars="200" w:firstLine="480"/>
        <w:rPr>
          <w:color w:val="000000"/>
          <w:sz w:val="24"/>
          <w:szCs w:val="24"/>
        </w:rPr>
      </w:pPr>
      <w:r>
        <w:rPr>
          <w:color w:val="000000"/>
          <w:sz w:val="24"/>
          <w:szCs w:val="24"/>
        </w:rPr>
        <w:t>2.</w:t>
      </w:r>
      <w:r>
        <w:rPr>
          <w:color w:val="000000"/>
          <w:sz w:val="24"/>
          <w:szCs w:val="24"/>
        </w:rPr>
        <w:t>《易方达汇诚养老目标日期</w:t>
      </w:r>
      <w:r>
        <w:rPr>
          <w:color w:val="000000"/>
          <w:sz w:val="24"/>
          <w:szCs w:val="24"/>
        </w:rPr>
        <w:t>2043</w:t>
      </w:r>
      <w:r>
        <w:rPr>
          <w:color w:val="000000"/>
          <w:sz w:val="24"/>
          <w:szCs w:val="24"/>
        </w:rPr>
        <w:t>三年持有期混合型基金中基金（</w:t>
      </w:r>
      <w:r>
        <w:rPr>
          <w:color w:val="000000"/>
          <w:sz w:val="24"/>
          <w:szCs w:val="24"/>
        </w:rPr>
        <w:t>FOF</w:t>
      </w:r>
      <w:r>
        <w:rPr>
          <w:color w:val="000000"/>
          <w:sz w:val="24"/>
          <w:szCs w:val="24"/>
        </w:rPr>
        <w:t>）基金合同》；</w:t>
      </w:r>
    </w:p>
    <w:p w:rsidR="00BB3516" w:rsidRDefault="00AA1887">
      <w:pPr>
        <w:spacing w:line="360" w:lineRule="auto"/>
        <w:ind w:firstLineChars="200" w:firstLine="480"/>
        <w:rPr>
          <w:color w:val="000000"/>
          <w:sz w:val="24"/>
          <w:szCs w:val="24"/>
        </w:rPr>
      </w:pPr>
      <w:r>
        <w:rPr>
          <w:color w:val="000000"/>
          <w:sz w:val="24"/>
          <w:szCs w:val="24"/>
        </w:rPr>
        <w:t>3.</w:t>
      </w:r>
      <w:r>
        <w:rPr>
          <w:color w:val="000000"/>
          <w:sz w:val="24"/>
          <w:szCs w:val="24"/>
        </w:rPr>
        <w:t>《易方达汇诚养老目标日期</w:t>
      </w:r>
      <w:r>
        <w:rPr>
          <w:color w:val="000000"/>
          <w:sz w:val="24"/>
          <w:szCs w:val="24"/>
        </w:rPr>
        <w:t>2043</w:t>
      </w:r>
      <w:r>
        <w:rPr>
          <w:color w:val="000000"/>
          <w:sz w:val="24"/>
          <w:szCs w:val="24"/>
        </w:rPr>
        <w:t>三年持有期混合型基金中基金（</w:t>
      </w:r>
      <w:r>
        <w:rPr>
          <w:color w:val="000000"/>
          <w:sz w:val="24"/>
          <w:szCs w:val="24"/>
        </w:rPr>
        <w:t>FOF</w:t>
      </w:r>
      <w:r>
        <w:rPr>
          <w:color w:val="000000"/>
          <w:sz w:val="24"/>
          <w:szCs w:val="24"/>
        </w:rPr>
        <w:t>）托管协议》；</w:t>
      </w:r>
    </w:p>
    <w:p w:rsidR="00BB3516" w:rsidRDefault="00AA1887">
      <w:pPr>
        <w:spacing w:line="360" w:lineRule="auto"/>
        <w:ind w:firstLineChars="200" w:firstLine="480"/>
        <w:rPr>
          <w:color w:val="000000"/>
          <w:sz w:val="24"/>
          <w:szCs w:val="24"/>
        </w:rPr>
      </w:pPr>
      <w:r>
        <w:rPr>
          <w:color w:val="000000"/>
          <w:sz w:val="24"/>
          <w:szCs w:val="24"/>
        </w:rPr>
        <w:t>4.</w:t>
      </w:r>
      <w:r>
        <w:rPr>
          <w:color w:val="000000"/>
          <w:sz w:val="24"/>
          <w:szCs w:val="24"/>
        </w:rPr>
        <w:t>《易方达基金管理有限公司开放式基金业务规则》；</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5.</w:t>
      </w:r>
      <w:r w:rsidRPr="006C56AA">
        <w:rPr>
          <w:color w:val="000000"/>
          <w:sz w:val="24"/>
          <w:szCs w:val="24"/>
        </w:rPr>
        <w:t>基金管理人业务资格批件、营业执照。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10.2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10.3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2E2237" w:rsidRDefault="00750D48" w:rsidP="002E223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2E223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19D" w:rsidRDefault="00AB519D" w:rsidP="00876D65">
      <w:r>
        <w:separator/>
      </w:r>
    </w:p>
  </w:endnote>
  <w:endnote w:type="continuationSeparator" w:id="0">
    <w:p w:rsidR="00AB519D" w:rsidRDefault="00AB519D"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AA1887">
      <w:rPr>
        <w:rStyle w:val="a7"/>
        <w:noProof/>
      </w:rPr>
      <w:t>1</w:t>
    </w:r>
    <w:r>
      <w:rPr>
        <w:rStyle w:val="a7"/>
      </w:rPr>
      <w:fldChar w:fldCharType="end"/>
    </w:r>
    <w:r>
      <w:rPr>
        <w:rStyle w:val="a7"/>
        <w:rFonts w:hint="eastAsia"/>
      </w:rPr>
      <w:t>页共</w:t>
    </w:r>
    <w:r w:rsidR="00AA1887">
      <w:fldChar w:fldCharType="begin"/>
    </w:r>
    <w:r w:rsidR="00AA1887">
      <w:instrText xml:space="preserve"> NUMPAGES  \* Arabic  \* MERGEFORMAT </w:instrText>
    </w:r>
    <w:r w:rsidR="00AA1887">
      <w:fldChar w:fldCharType="separate"/>
    </w:r>
    <w:r w:rsidR="00AA1887" w:rsidRPr="00AA1887">
      <w:rPr>
        <w:rStyle w:val="a7"/>
        <w:noProof/>
      </w:rPr>
      <w:t>3</w:t>
    </w:r>
    <w:r w:rsidR="00AA1887">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AA1887">
      <w:rPr>
        <w:rStyle w:val="a7"/>
        <w:noProof/>
      </w:rPr>
      <w:t>16</w:t>
    </w:r>
    <w:r>
      <w:rPr>
        <w:rStyle w:val="a7"/>
      </w:rPr>
      <w:fldChar w:fldCharType="end"/>
    </w:r>
    <w:r>
      <w:rPr>
        <w:rStyle w:val="a7"/>
        <w:rFonts w:hint="eastAsia"/>
      </w:rPr>
      <w:t>页共</w:t>
    </w:r>
    <w:r w:rsidR="00AA1887">
      <w:fldChar w:fldCharType="begin"/>
    </w:r>
    <w:r w:rsidR="00AA1887">
      <w:instrText xml:space="preserve"> NUMPAGES  \* Arabic  \* MERGEFORMAT </w:instrText>
    </w:r>
    <w:r w:rsidR="00AA1887">
      <w:fldChar w:fldCharType="separate"/>
    </w:r>
    <w:r w:rsidR="00AA1887" w:rsidRPr="00AA1887">
      <w:rPr>
        <w:rStyle w:val="a7"/>
        <w:noProof/>
      </w:rPr>
      <w:t>16</w:t>
    </w:r>
    <w:r w:rsidR="00AA1887">
      <w:rPr>
        <w:rStyle w:val="a7"/>
        <w:noProof/>
      </w:rPr>
      <w:fldChar w:fldCharType="end"/>
    </w:r>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19D" w:rsidRDefault="00AB519D" w:rsidP="00876D65">
      <w:r>
        <w:separator/>
      </w:r>
    </w:p>
  </w:footnote>
  <w:footnote w:type="continuationSeparator" w:id="0">
    <w:p w:rsidR="00AB519D" w:rsidRDefault="00AB519D"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易方达汇诚养老目标日期</w:t>
    </w:r>
    <w:r w:rsidRPr="00093704">
      <w:t>2043</w:t>
    </w:r>
    <w:r w:rsidRPr="00093704">
      <w:t>三年持有期混合型基金中基金（</w:t>
    </w:r>
    <w:r w:rsidRPr="00093704">
      <w:t>FOF</w:t>
    </w:r>
    <w:r w:rsidRPr="00093704">
      <w:t>）</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31EBB"/>
    <w:rsid w:val="00033B8D"/>
    <w:rsid w:val="00033E3E"/>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33843"/>
    <w:rsid w:val="00137452"/>
    <w:rsid w:val="00142CAF"/>
    <w:rsid w:val="00144F93"/>
    <w:rsid w:val="00147376"/>
    <w:rsid w:val="00150E7E"/>
    <w:rsid w:val="00154BE1"/>
    <w:rsid w:val="00154C17"/>
    <w:rsid w:val="00160E0A"/>
    <w:rsid w:val="00160EDC"/>
    <w:rsid w:val="0016180A"/>
    <w:rsid w:val="001675CD"/>
    <w:rsid w:val="00170435"/>
    <w:rsid w:val="00171EF0"/>
    <w:rsid w:val="001761D2"/>
    <w:rsid w:val="001830D7"/>
    <w:rsid w:val="00185A34"/>
    <w:rsid w:val="001878B0"/>
    <w:rsid w:val="0019049E"/>
    <w:rsid w:val="00191BDE"/>
    <w:rsid w:val="00196E6C"/>
    <w:rsid w:val="001A73E8"/>
    <w:rsid w:val="001B0A62"/>
    <w:rsid w:val="001B2F35"/>
    <w:rsid w:val="001B3C1C"/>
    <w:rsid w:val="001B6E7E"/>
    <w:rsid w:val="001C0993"/>
    <w:rsid w:val="001C5F9B"/>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80C9F"/>
    <w:rsid w:val="00286BEF"/>
    <w:rsid w:val="00286FA2"/>
    <w:rsid w:val="002918E3"/>
    <w:rsid w:val="002973A9"/>
    <w:rsid w:val="002B1D1A"/>
    <w:rsid w:val="002C28F2"/>
    <w:rsid w:val="002C5960"/>
    <w:rsid w:val="002D6FB6"/>
    <w:rsid w:val="002E2237"/>
    <w:rsid w:val="002E2255"/>
    <w:rsid w:val="002E3B09"/>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57DBA"/>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420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3843"/>
    <w:rsid w:val="0069426C"/>
    <w:rsid w:val="00694DFB"/>
    <w:rsid w:val="006A1C62"/>
    <w:rsid w:val="006A48FD"/>
    <w:rsid w:val="006A5FB3"/>
    <w:rsid w:val="006A67F8"/>
    <w:rsid w:val="006A7AF1"/>
    <w:rsid w:val="006B11BB"/>
    <w:rsid w:val="006B4C11"/>
    <w:rsid w:val="006C12B8"/>
    <w:rsid w:val="006C37FC"/>
    <w:rsid w:val="006C56AA"/>
    <w:rsid w:val="006C7EA3"/>
    <w:rsid w:val="006D07F3"/>
    <w:rsid w:val="006D39E9"/>
    <w:rsid w:val="006D3BE3"/>
    <w:rsid w:val="006D7004"/>
    <w:rsid w:val="006D75A5"/>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7D16"/>
    <w:rsid w:val="00796CA8"/>
    <w:rsid w:val="00797305"/>
    <w:rsid w:val="007B035B"/>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431FA"/>
    <w:rsid w:val="00945AF6"/>
    <w:rsid w:val="00951C43"/>
    <w:rsid w:val="0095204B"/>
    <w:rsid w:val="0095280A"/>
    <w:rsid w:val="00954A4B"/>
    <w:rsid w:val="009550BE"/>
    <w:rsid w:val="00955531"/>
    <w:rsid w:val="00955BE8"/>
    <w:rsid w:val="00957594"/>
    <w:rsid w:val="00963F40"/>
    <w:rsid w:val="00965CFB"/>
    <w:rsid w:val="0098122D"/>
    <w:rsid w:val="00986596"/>
    <w:rsid w:val="00990685"/>
    <w:rsid w:val="00991411"/>
    <w:rsid w:val="00992238"/>
    <w:rsid w:val="009A0ABE"/>
    <w:rsid w:val="009B2D4B"/>
    <w:rsid w:val="009B3243"/>
    <w:rsid w:val="009C4E99"/>
    <w:rsid w:val="009C5186"/>
    <w:rsid w:val="009C60F7"/>
    <w:rsid w:val="009D0952"/>
    <w:rsid w:val="009D54EA"/>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42"/>
    <w:rsid w:val="00A727C1"/>
    <w:rsid w:val="00A76625"/>
    <w:rsid w:val="00A82CBA"/>
    <w:rsid w:val="00A83500"/>
    <w:rsid w:val="00A90049"/>
    <w:rsid w:val="00A917BF"/>
    <w:rsid w:val="00A96A94"/>
    <w:rsid w:val="00AA1887"/>
    <w:rsid w:val="00AA257D"/>
    <w:rsid w:val="00AA3A38"/>
    <w:rsid w:val="00AA4F94"/>
    <w:rsid w:val="00AB047E"/>
    <w:rsid w:val="00AB519D"/>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3516"/>
    <w:rsid w:val="00BB6813"/>
    <w:rsid w:val="00BC4585"/>
    <w:rsid w:val="00BC50F1"/>
    <w:rsid w:val="00BC73E5"/>
    <w:rsid w:val="00BD7473"/>
    <w:rsid w:val="00BD7703"/>
    <w:rsid w:val="00BE12B4"/>
    <w:rsid w:val="00BE3D2D"/>
    <w:rsid w:val="00BE420D"/>
    <w:rsid w:val="00BF4727"/>
    <w:rsid w:val="00C11A5E"/>
    <w:rsid w:val="00C21520"/>
    <w:rsid w:val="00C222B2"/>
    <w:rsid w:val="00C225FB"/>
    <w:rsid w:val="00C26ADA"/>
    <w:rsid w:val="00C370E0"/>
    <w:rsid w:val="00C41870"/>
    <w:rsid w:val="00C46B88"/>
    <w:rsid w:val="00C5218C"/>
    <w:rsid w:val="00C52191"/>
    <w:rsid w:val="00C5642F"/>
    <w:rsid w:val="00C57A3E"/>
    <w:rsid w:val="00C63554"/>
    <w:rsid w:val="00C71497"/>
    <w:rsid w:val="00C72F5B"/>
    <w:rsid w:val="00C73BCD"/>
    <w:rsid w:val="00C77AEF"/>
    <w:rsid w:val="00C77E37"/>
    <w:rsid w:val="00C86EB7"/>
    <w:rsid w:val="00C87129"/>
    <w:rsid w:val="00C91E1B"/>
    <w:rsid w:val="00CA2BD3"/>
    <w:rsid w:val="00CA4677"/>
    <w:rsid w:val="00CA5FD5"/>
    <w:rsid w:val="00CA7703"/>
    <w:rsid w:val="00CB0F92"/>
    <w:rsid w:val="00CB1953"/>
    <w:rsid w:val="00CD4E6D"/>
    <w:rsid w:val="00CD5707"/>
    <w:rsid w:val="00CD7702"/>
    <w:rsid w:val="00CD7FC9"/>
    <w:rsid w:val="00CE075A"/>
    <w:rsid w:val="00CE29EA"/>
    <w:rsid w:val="00CF47EB"/>
    <w:rsid w:val="00CF6572"/>
    <w:rsid w:val="00CF7885"/>
    <w:rsid w:val="00D02347"/>
    <w:rsid w:val="00D04755"/>
    <w:rsid w:val="00D1193B"/>
    <w:rsid w:val="00D13737"/>
    <w:rsid w:val="00D15D27"/>
    <w:rsid w:val="00D1638E"/>
    <w:rsid w:val="00D21D10"/>
    <w:rsid w:val="00D21FFF"/>
    <w:rsid w:val="00D272A5"/>
    <w:rsid w:val="00D43AFB"/>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E27F7"/>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21AA62B-1CFA-4E0D-A964-234978972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 w:type="character" w:customStyle="1" w:styleId="2CharCharChar">
    <w:name w:val="标题 2 Char Char Char"/>
    <w:rsid w:val="006A5FB3"/>
    <w:rPr>
      <w:rFonts w:ascii="Arial" w:eastAsia="宋体" w:hAnsi="Arial"/>
      <w:b/>
      <w:kern w:val="2"/>
      <w:sz w:val="28"/>
      <w:szCs w:val="28"/>
      <w:lang w:val="en-US" w:eastAsia="zh-CN" w:bidi="ar-SA"/>
    </w:rPr>
  </w:style>
  <w:style w:type="paragraph" w:customStyle="1" w:styleId="11">
    <w:name w:val="正文_1"/>
    <w:qFormat/>
    <w:rsid w:val="006A5FB3"/>
    <w:pPr>
      <w:widowControl w:val="0"/>
      <w:jc w:val="both"/>
    </w:pPr>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953">
      <w:bodyDiv w:val="1"/>
      <w:marLeft w:val="0"/>
      <w:marRight w:val="0"/>
      <w:marTop w:val="0"/>
      <w:marBottom w:val="0"/>
      <w:divBdr>
        <w:top w:val="none" w:sz="0" w:space="0" w:color="auto"/>
        <w:left w:val="none" w:sz="0" w:space="0" w:color="auto"/>
        <w:bottom w:val="none" w:sz="0" w:space="0" w:color="auto"/>
        <w:right w:val="none" w:sz="0" w:space="0" w:color="auto"/>
      </w:divBdr>
    </w:div>
    <w:div w:id="1068840387">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DD8E4-987C-4A1B-94AE-6BA00A3E6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1766</TotalTime>
  <Pages>3</Pages>
  <Words>1435</Words>
  <Characters>8185</Characters>
  <Application>Microsoft Office Word</Application>
  <DocSecurity>0</DocSecurity>
  <Lines>68</Lines>
  <Paragraphs>19</Paragraphs>
  <ScaleCrop>false</ScaleCrop>
  <Company/>
  <LinksUpToDate>false</LinksUpToDate>
  <CharactersWithSpaces>9601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338</cp:revision>
  <cp:lastPrinted>2019-10-16T13:55:00Z</cp:lastPrinted>
  <dcterms:created xsi:type="dcterms:W3CDTF">2012-10-16T06:07:00Z</dcterms:created>
  <dcterms:modified xsi:type="dcterms:W3CDTF">2019-10-16T13:55:00Z</dcterms:modified>
</cp:coreProperties>
</file>