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易方达中盘成长混合型证券投资基金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中国工商银行股份有限公司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7D25C7" w:rsidRDefault="009E575E">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7D25C7" w:rsidRDefault="009E575E">
      <w:pPr>
        <w:spacing w:line="360"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7D25C7" w:rsidRDefault="009E575E">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7D25C7" w:rsidRDefault="009E575E">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7D25C7" w:rsidRDefault="009E575E">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易方达中盘成长混合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005875</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005875</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2018</w:t>
            </w:r>
            <w:r w:rsidRPr="00232B03">
              <w:rPr>
                <w:color w:val="000000"/>
                <w:kern w:val="0"/>
                <w:sz w:val="24"/>
                <w:szCs w:val="24"/>
              </w:rPr>
              <w:t>年</w:t>
            </w:r>
            <w:r w:rsidRPr="00232B03">
              <w:rPr>
                <w:color w:val="000000"/>
                <w:kern w:val="0"/>
                <w:sz w:val="24"/>
                <w:szCs w:val="24"/>
              </w:rPr>
              <w:t>7</w:t>
            </w:r>
            <w:r w:rsidRPr="00232B03">
              <w:rPr>
                <w:color w:val="000000"/>
                <w:kern w:val="0"/>
                <w:sz w:val="24"/>
                <w:szCs w:val="24"/>
              </w:rPr>
              <w:t>月</w:t>
            </w:r>
            <w:r w:rsidRPr="00232B03">
              <w:rPr>
                <w:color w:val="000000"/>
                <w:kern w:val="0"/>
                <w:sz w:val="24"/>
                <w:szCs w:val="24"/>
              </w:rPr>
              <w:t>4</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537,589,810.15</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本基金在控制风险的前提下，追求超越业绩比较基准的投资回报。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本基金基于定量与定性相结合的宏观及市场分析，确定组合中股票、债券等资产类别的配置比例。在股票投资方面，本基金在所界定的中盘股（每季度末，对</w:t>
            </w:r>
            <w:r w:rsidRPr="00232B03">
              <w:rPr>
                <w:color w:val="000000"/>
                <w:kern w:val="0"/>
                <w:sz w:val="24"/>
                <w:szCs w:val="24"/>
              </w:rPr>
              <w:t>A</w:t>
            </w:r>
            <w:r w:rsidRPr="00232B03">
              <w:rPr>
                <w:color w:val="000000"/>
                <w:kern w:val="0"/>
                <w:sz w:val="24"/>
                <w:szCs w:val="24"/>
              </w:rPr>
              <w:t>股市场股票按总市值自大到小进行排序，累计总市值占</w:t>
            </w:r>
            <w:r w:rsidRPr="00232B03">
              <w:rPr>
                <w:color w:val="000000"/>
                <w:kern w:val="0"/>
                <w:sz w:val="24"/>
                <w:szCs w:val="24"/>
              </w:rPr>
              <w:t>A</w:t>
            </w:r>
            <w:r w:rsidRPr="00232B03">
              <w:rPr>
                <w:color w:val="000000"/>
                <w:kern w:val="0"/>
                <w:sz w:val="24"/>
                <w:szCs w:val="24"/>
              </w:rPr>
              <w:t>股总市值处于</w:t>
            </w:r>
            <w:r w:rsidRPr="00232B03">
              <w:rPr>
                <w:color w:val="000000"/>
                <w:kern w:val="0"/>
                <w:sz w:val="24"/>
                <w:szCs w:val="24"/>
              </w:rPr>
              <w:t>25%</w:t>
            </w:r>
            <w:r w:rsidRPr="00232B03">
              <w:rPr>
                <w:color w:val="000000"/>
                <w:kern w:val="0"/>
                <w:sz w:val="24"/>
                <w:szCs w:val="24"/>
              </w:rPr>
              <w:t>到</w:t>
            </w:r>
            <w:r w:rsidRPr="00232B03">
              <w:rPr>
                <w:color w:val="000000"/>
                <w:kern w:val="0"/>
                <w:sz w:val="24"/>
                <w:szCs w:val="24"/>
              </w:rPr>
              <w:t>75%</w:t>
            </w:r>
            <w:r w:rsidRPr="00232B03">
              <w:rPr>
                <w:color w:val="000000"/>
                <w:kern w:val="0"/>
                <w:sz w:val="24"/>
                <w:szCs w:val="24"/>
              </w:rPr>
              <w:t>范围之</w:t>
            </w:r>
            <w:r w:rsidRPr="00232B03">
              <w:rPr>
                <w:color w:val="000000"/>
                <w:kern w:val="0"/>
                <w:sz w:val="24"/>
                <w:szCs w:val="24"/>
              </w:rPr>
              <w:lastRenderedPageBreak/>
              <w:t>间的股票；或总市值在</w:t>
            </w:r>
            <w:r w:rsidRPr="00232B03">
              <w:rPr>
                <w:color w:val="000000"/>
                <w:kern w:val="0"/>
                <w:sz w:val="24"/>
                <w:szCs w:val="24"/>
              </w:rPr>
              <w:t>100</w:t>
            </w:r>
            <w:r w:rsidRPr="00232B03">
              <w:rPr>
                <w:color w:val="000000"/>
                <w:kern w:val="0"/>
                <w:sz w:val="24"/>
                <w:szCs w:val="24"/>
              </w:rPr>
              <w:t>亿港币至</w:t>
            </w:r>
            <w:r w:rsidRPr="00232B03">
              <w:rPr>
                <w:color w:val="000000"/>
                <w:kern w:val="0"/>
                <w:sz w:val="24"/>
                <w:szCs w:val="24"/>
              </w:rPr>
              <w:t>3000</w:t>
            </w:r>
            <w:r w:rsidRPr="00232B03">
              <w:rPr>
                <w:color w:val="000000"/>
                <w:kern w:val="0"/>
                <w:sz w:val="24"/>
                <w:szCs w:val="24"/>
              </w:rPr>
              <w:t>亿港币之间的香港市场股票）中根据行业景气度、竞争格局等因素选择预期成长性较好的成长股进行投资。在债券投资方面，本基金将通过类属配置与券种选择两个层次进行投资管理。</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中证</w:t>
            </w:r>
            <w:r w:rsidRPr="00232B03">
              <w:rPr>
                <w:color w:val="000000"/>
                <w:kern w:val="0"/>
                <w:sz w:val="24"/>
                <w:szCs w:val="24"/>
              </w:rPr>
              <w:t>700</w:t>
            </w:r>
            <w:r w:rsidRPr="00232B03">
              <w:rPr>
                <w:color w:val="000000"/>
                <w:kern w:val="0"/>
                <w:sz w:val="24"/>
                <w:szCs w:val="24"/>
              </w:rPr>
              <w:t>指数收益率</w:t>
            </w:r>
            <w:r w:rsidRPr="00232B03">
              <w:rPr>
                <w:color w:val="000000"/>
                <w:kern w:val="0"/>
                <w:sz w:val="24"/>
                <w:szCs w:val="24"/>
              </w:rPr>
              <w:t>×65%+</w:t>
            </w:r>
            <w:r w:rsidRPr="00232B03">
              <w:rPr>
                <w:color w:val="000000"/>
                <w:kern w:val="0"/>
                <w:sz w:val="24"/>
                <w:szCs w:val="24"/>
              </w:rPr>
              <w:t>中证港股通综合指数收益率</w:t>
            </w:r>
            <w:r w:rsidRPr="00232B03">
              <w:rPr>
                <w:color w:val="000000"/>
                <w:kern w:val="0"/>
                <w:sz w:val="24"/>
                <w:szCs w:val="24"/>
              </w:rPr>
              <w:t>×15%+</w:t>
            </w:r>
            <w:r w:rsidRPr="00232B03">
              <w:rPr>
                <w:color w:val="000000"/>
                <w:kern w:val="0"/>
                <w:sz w:val="24"/>
                <w:szCs w:val="24"/>
              </w:rPr>
              <w:t>中债总指数收益率</w:t>
            </w:r>
            <w:r w:rsidRPr="00232B03">
              <w:rPr>
                <w:color w:val="000000"/>
                <w:kern w:val="0"/>
                <w:sz w:val="24"/>
                <w:szCs w:val="24"/>
              </w:rPr>
              <w:t>×20%</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中国工商银行股份有限公司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14,699,119.45</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48,530,583.41</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0.1664</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802,083,477.17</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1.4920</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7D25C7" w:rsidRDefault="009E575E">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7D25C7">
        <w:tc>
          <w:tcPr>
            <w:tcW w:w="1395" w:type="dxa"/>
            <w:vAlign w:val="center"/>
          </w:tcPr>
          <w:p w:rsidR="007D25C7" w:rsidRDefault="009E575E">
            <w:pPr>
              <w:jc w:val="left"/>
            </w:pPr>
            <w:r>
              <w:rPr>
                <w:color w:val="000000"/>
                <w:kern w:val="0"/>
                <w:sz w:val="24"/>
                <w:szCs w:val="24"/>
              </w:rPr>
              <w:t>过去三个月</w:t>
            </w:r>
          </w:p>
        </w:tc>
        <w:tc>
          <w:tcPr>
            <w:tcW w:w="1092" w:type="dxa"/>
            <w:vAlign w:val="center"/>
          </w:tcPr>
          <w:p w:rsidR="007D25C7" w:rsidRDefault="009E575E">
            <w:pPr>
              <w:jc w:val="center"/>
            </w:pPr>
            <w:r>
              <w:rPr>
                <w:color w:val="000000"/>
                <w:kern w:val="0"/>
                <w:sz w:val="24"/>
                <w:szCs w:val="24"/>
              </w:rPr>
              <w:t>15.18%</w:t>
            </w:r>
          </w:p>
        </w:tc>
        <w:tc>
          <w:tcPr>
            <w:tcW w:w="1161" w:type="dxa"/>
            <w:vAlign w:val="center"/>
          </w:tcPr>
          <w:p w:rsidR="007D25C7" w:rsidRDefault="009E575E">
            <w:pPr>
              <w:jc w:val="center"/>
            </w:pPr>
            <w:r>
              <w:rPr>
                <w:color w:val="000000"/>
                <w:kern w:val="0"/>
                <w:sz w:val="24"/>
                <w:szCs w:val="24"/>
              </w:rPr>
              <w:t>1.15%</w:t>
            </w:r>
          </w:p>
        </w:tc>
        <w:tc>
          <w:tcPr>
            <w:tcW w:w="1181" w:type="dxa"/>
            <w:vAlign w:val="center"/>
          </w:tcPr>
          <w:p w:rsidR="007D25C7" w:rsidRDefault="009E575E">
            <w:pPr>
              <w:jc w:val="center"/>
            </w:pPr>
            <w:r>
              <w:rPr>
                <w:color w:val="000000"/>
                <w:kern w:val="0"/>
                <w:sz w:val="24"/>
                <w:szCs w:val="24"/>
              </w:rPr>
              <w:t>-0.32%</w:t>
            </w:r>
          </w:p>
        </w:tc>
        <w:tc>
          <w:tcPr>
            <w:tcW w:w="1188" w:type="dxa"/>
            <w:vAlign w:val="center"/>
          </w:tcPr>
          <w:p w:rsidR="007D25C7" w:rsidRDefault="009E575E">
            <w:pPr>
              <w:jc w:val="center"/>
            </w:pPr>
            <w:r>
              <w:rPr>
                <w:color w:val="000000"/>
                <w:kern w:val="0"/>
                <w:sz w:val="24"/>
                <w:szCs w:val="24"/>
              </w:rPr>
              <w:t>0.82%</w:t>
            </w:r>
          </w:p>
        </w:tc>
        <w:tc>
          <w:tcPr>
            <w:tcW w:w="1199" w:type="dxa"/>
            <w:vAlign w:val="center"/>
          </w:tcPr>
          <w:p w:rsidR="007D25C7" w:rsidRDefault="009E575E">
            <w:pPr>
              <w:jc w:val="center"/>
            </w:pPr>
            <w:r>
              <w:rPr>
                <w:color w:val="000000"/>
                <w:kern w:val="0"/>
                <w:sz w:val="24"/>
                <w:szCs w:val="24"/>
              </w:rPr>
              <w:t>15.50%</w:t>
            </w:r>
          </w:p>
        </w:tc>
        <w:tc>
          <w:tcPr>
            <w:tcW w:w="1204" w:type="dxa"/>
            <w:vAlign w:val="center"/>
          </w:tcPr>
          <w:p w:rsidR="007D25C7" w:rsidRDefault="009E575E">
            <w:pPr>
              <w:jc w:val="center"/>
            </w:pPr>
            <w:r>
              <w:rPr>
                <w:color w:val="000000"/>
                <w:kern w:val="0"/>
                <w:sz w:val="24"/>
                <w:szCs w:val="24"/>
              </w:rPr>
              <w:t>0.33%</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易方达中盘成长混合型证券投资基金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2018</w:t>
      </w:r>
      <w:r w:rsidRPr="0074694E">
        <w:rPr>
          <w:rFonts w:ascii="Times New Roman" w:hAnsi="Times New Roman"/>
          <w:sz w:val="24"/>
          <w:szCs w:val="24"/>
        </w:rPr>
        <w:t>年</w:t>
      </w:r>
      <w:r w:rsidRPr="0074694E">
        <w:rPr>
          <w:rFonts w:ascii="Times New Roman" w:hAnsi="Times New Roman"/>
          <w:sz w:val="24"/>
          <w:szCs w:val="24"/>
        </w:rPr>
        <w:t>7</w:t>
      </w:r>
      <w:r w:rsidRPr="0074694E">
        <w:rPr>
          <w:rFonts w:ascii="Times New Roman" w:hAnsi="Times New Roman"/>
          <w:sz w:val="24"/>
          <w:szCs w:val="24"/>
        </w:rPr>
        <w:t>月</w:t>
      </w:r>
      <w:r w:rsidRPr="0074694E">
        <w:rPr>
          <w:rFonts w:ascii="Times New Roman" w:hAnsi="Times New Roman"/>
          <w:sz w:val="24"/>
          <w:szCs w:val="24"/>
        </w:rPr>
        <w:t>4</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9E575E"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D25C7" w:rsidRDefault="009E575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按基金合同和招募说明书的约定，本基金的建仓期为六个月，建仓期结束时各项资产配置比例符合基金合同（第十二部分二、投资范围，三、投资策略和四、投资限制）的有关约定。</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2.</w:t>
      </w:r>
      <w:r w:rsidRPr="006C56AA">
        <w:rPr>
          <w:color w:val="000000"/>
          <w:sz w:val="24"/>
          <w:szCs w:val="24"/>
        </w:rPr>
        <w:t>自基金合同生效至报告期末，基金份额净值增长率为</w:t>
      </w:r>
      <w:r w:rsidRPr="006C56AA">
        <w:rPr>
          <w:color w:val="000000"/>
          <w:sz w:val="24"/>
          <w:szCs w:val="24"/>
        </w:rPr>
        <w:t>49.20%</w:t>
      </w:r>
      <w:r w:rsidRPr="006C56AA">
        <w:rPr>
          <w:color w:val="000000"/>
          <w:sz w:val="24"/>
          <w:szCs w:val="24"/>
        </w:rPr>
        <w:t>，同期业绩比较基准收益率为</w:t>
      </w:r>
      <w:r w:rsidRPr="006C56AA">
        <w:rPr>
          <w:color w:val="000000"/>
          <w:sz w:val="24"/>
          <w:szCs w:val="24"/>
        </w:rPr>
        <w:t>-0.42%</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7D25C7">
        <w:tc>
          <w:tcPr>
            <w:tcW w:w="567" w:type="dxa"/>
            <w:vAlign w:val="center"/>
          </w:tcPr>
          <w:p w:rsidR="007D25C7" w:rsidRDefault="009E575E">
            <w:pPr>
              <w:jc w:val="center"/>
            </w:pPr>
            <w:r>
              <w:rPr>
                <w:color w:val="000000"/>
                <w:sz w:val="24"/>
              </w:rPr>
              <w:t>冯波</w:t>
            </w:r>
          </w:p>
        </w:tc>
        <w:tc>
          <w:tcPr>
            <w:tcW w:w="2835" w:type="dxa"/>
            <w:vAlign w:val="center"/>
          </w:tcPr>
          <w:p w:rsidR="007D25C7" w:rsidRDefault="009E575E">
            <w:pPr>
              <w:jc w:val="center"/>
            </w:pPr>
            <w:r>
              <w:rPr>
                <w:color w:val="000000"/>
                <w:sz w:val="24"/>
              </w:rPr>
              <w:t>本基金的基金经理、易方达行业领先企业混合型证券投资基金的基金经理、研究部总经理</w:t>
            </w:r>
          </w:p>
        </w:tc>
        <w:tc>
          <w:tcPr>
            <w:tcW w:w="851" w:type="dxa"/>
            <w:vAlign w:val="center"/>
          </w:tcPr>
          <w:p w:rsidR="007D25C7" w:rsidRDefault="009E575E">
            <w:pPr>
              <w:jc w:val="center"/>
            </w:pPr>
            <w:r>
              <w:rPr>
                <w:color w:val="000000"/>
                <w:sz w:val="24"/>
              </w:rPr>
              <w:t>2018-07-04</w:t>
            </w:r>
          </w:p>
        </w:tc>
        <w:tc>
          <w:tcPr>
            <w:tcW w:w="850" w:type="dxa"/>
            <w:vAlign w:val="center"/>
          </w:tcPr>
          <w:p w:rsidR="007D25C7" w:rsidRDefault="009E575E">
            <w:pPr>
              <w:jc w:val="center"/>
            </w:pPr>
            <w:r>
              <w:rPr>
                <w:color w:val="000000"/>
                <w:sz w:val="24"/>
              </w:rPr>
              <w:t>-</w:t>
            </w:r>
          </w:p>
        </w:tc>
        <w:tc>
          <w:tcPr>
            <w:tcW w:w="851" w:type="dxa"/>
            <w:vAlign w:val="center"/>
          </w:tcPr>
          <w:p w:rsidR="007D25C7" w:rsidRDefault="009E575E">
            <w:pPr>
              <w:jc w:val="center"/>
            </w:pPr>
            <w:r>
              <w:rPr>
                <w:color w:val="000000"/>
                <w:sz w:val="24"/>
              </w:rPr>
              <w:t>18</w:t>
            </w:r>
            <w:r>
              <w:rPr>
                <w:color w:val="000000"/>
                <w:sz w:val="24"/>
              </w:rPr>
              <w:t>年</w:t>
            </w:r>
          </w:p>
        </w:tc>
        <w:tc>
          <w:tcPr>
            <w:tcW w:w="2977" w:type="dxa"/>
            <w:vAlign w:val="center"/>
          </w:tcPr>
          <w:p w:rsidR="007D25C7" w:rsidRDefault="009E575E">
            <w:r>
              <w:rPr>
                <w:color w:val="000000"/>
                <w:sz w:val="24"/>
              </w:rPr>
              <w:t>硕士研究生，曾任广东发展银行行员，易方达基金管理有限公司市场拓展部研究员、市场拓展部副经理、市场部大区销售经理、北京分公司副总经理、研究部行业研究员、基金经理助理、研究部总经理助理、研究部副总经理、易方达科汇灵活配置混合型证券投资基金基金经理。</w:t>
            </w:r>
          </w:p>
        </w:tc>
      </w:tr>
    </w:tbl>
    <w:p w:rsidR="007D25C7" w:rsidRDefault="009E575E">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7D25C7" w:rsidRDefault="009E575E">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本报告期内，公司旗下所有投资组合参与的交易所公开竞价交易中，同日反向交易成交较少的单</w:t>
      </w:r>
      <w:r>
        <w:rPr>
          <w:color w:val="000000"/>
          <w:sz w:val="24"/>
          <w:szCs w:val="24"/>
        </w:rPr>
        <w:t>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7D25C7" w:rsidRDefault="009E575E">
      <w:pPr>
        <w:spacing w:line="360" w:lineRule="auto"/>
        <w:ind w:firstLineChars="200" w:firstLine="480"/>
        <w:rPr>
          <w:color w:val="000000"/>
          <w:sz w:val="24"/>
          <w:szCs w:val="24"/>
        </w:rPr>
      </w:pPr>
      <w:r>
        <w:rPr>
          <w:color w:val="000000"/>
          <w:sz w:val="24"/>
          <w:szCs w:val="24"/>
        </w:rPr>
        <w:t>三季度，国内外政治、经济环境继续呈现较大的不确定性。全球主要经济体经济数据疲软，货币政策由紧转松。中美贸易谈判一波三折，民粹主义在全球政治生态中影响持续扩大，经济全球化趋势面临严峻挑战。国内经济数据仍然较弱，房地产投资韧性较强，但调控力度持续加大；基建投资略有回升，制造业投资则面临较大压力，政府逆周期调节政策也进一步加大力度。从资本主场来看，</w:t>
      </w:r>
      <w:r>
        <w:rPr>
          <w:color w:val="000000"/>
          <w:sz w:val="24"/>
          <w:szCs w:val="24"/>
        </w:rPr>
        <w:t>A</w:t>
      </w:r>
      <w:r>
        <w:rPr>
          <w:color w:val="000000"/>
          <w:sz w:val="24"/>
          <w:szCs w:val="24"/>
        </w:rPr>
        <w:t>股市场整体表现较弱。截止季末，上证综指收于</w:t>
      </w:r>
      <w:r>
        <w:rPr>
          <w:color w:val="000000"/>
          <w:sz w:val="24"/>
          <w:szCs w:val="24"/>
        </w:rPr>
        <w:t>2905</w:t>
      </w:r>
      <w:r>
        <w:rPr>
          <w:color w:val="000000"/>
          <w:sz w:val="24"/>
          <w:szCs w:val="24"/>
        </w:rPr>
        <w:t>点，下跌</w:t>
      </w:r>
      <w:r>
        <w:rPr>
          <w:color w:val="000000"/>
          <w:sz w:val="24"/>
          <w:szCs w:val="24"/>
        </w:rPr>
        <w:t>2.47%</w:t>
      </w:r>
      <w:r>
        <w:rPr>
          <w:color w:val="000000"/>
          <w:sz w:val="24"/>
          <w:szCs w:val="24"/>
        </w:rPr>
        <w:t>。随着</w:t>
      </w:r>
      <w:r>
        <w:rPr>
          <w:color w:val="000000"/>
          <w:sz w:val="24"/>
          <w:szCs w:val="24"/>
        </w:rPr>
        <w:t>5G</w:t>
      </w:r>
      <w:r>
        <w:rPr>
          <w:color w:val="000000"/>
          <w:sz w:val="24"/>
          <w:szCs w:val="24"/>
        </w:rPr>
        <w:t>投资力度加大，投资者对相关行业预期乐观，通讯、电子等表现强势；受益于国产替代和自主可控进</w:t>
      </w:r>
      <w:r>
        <w:rPr>
          <w:color w:val="000000"/>
          <w:sz w:val="24"/>
          <w:szCs w:val="24"/>
        </w:rPr>
        <w:t>程，半导体、软件等行业涨幅巨大。这些因素共同导致中小市值公司表现相对较好。三季度，创业板指数收于</w:t>
      </w:r>
      <w:r>
        <w:rPr>
          <w:color w:val="000000"/>
          <w:sz w:val="24"/>
          <w:szCs w:val="24"/>
        </w:rPr>
        <w:t>1628</w:t>
      </w:r>
      <w:r>
        <w:rPr>
          <w:color w:val="000000"/>
          <w:sz w:val="24"/>
          <w:szCs w:val="24"/>
        </w:rPr>
        <w:t>点，涨幅达</w:t>
      </w:r>
      <w:r>
        <w:rPr>
          <w:color w:val="000000"/>
          <w:sz w:val="24"/>
          <w:szCs w:val="24"/>
        </w:rPr>
        <w:t>7.68%</w:t>
      </w:r>
      <w:r>
        <w:rPr>
          <w:color w:val="000000"/>
          <w:sz w:val="24"/>
          <w:szCs w:val="24"/>
        </w:rPr>
        <w:t>。</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基于上述变化，本基金三季度在资产配置上，保持了相对灵活的股票仓位，根据市场变化适当调整股票投资比例。在保持前期家电、白酒、新能源发电、消费电子、医药等行业配置的基础上，进一步增加了软件、消费品、免税、消费电子的配置。个股方面，继续坚持配置中盘类核心竞争力强、成长性突出、与国际市场相比有较大低估的个股。同时，对一些涨幅较大、估值水平过高的个股行减持。考虑到部分港股估值水平较低，成长性较好，进一步增加了港股配置比例。</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1.4920</w:t>
      </w:r>
      <w:r w:rsidRPr="006C56AA">
        <w:rPr>
          <w:color w:val="000000"/>
          <w:sz w:val="24"/>
          <w:szCs w:val="24"/>
        </w:rPr>
        <w:t>元，本报告期份额净值增长率为</w:t>
      </w:r>
      <w:r w:rsidRPr="006C56AA">
        <w:rPr>
          <w:color w:val="000000"/>
          <w:sz w:val="24"/>
          <w:szCs w:val="24"/>
        </w:rPr>
        <w:t>15.18%</w:t>
      </w:r>
      <w:r w:rsidRPr="006C56AA">
        <w:rPr>
          <w:color w:val="000000"/>
          <w:sz w:val="24"/>
          <w:szCs w:val="24"/>
        </w:rPr>
        <w:t>，同期业绩比较基准收益率为</w:t>
      </w:r>
      <w:r w:rsidRPr="006C56AA">
        <w:rPr>
          <w:color w:val="000000"/>
          <w:sz w:val="24"/>
          <w:szCs w:val="24"/>
        </w:rPr>
        <w:t>-0.32%</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657,056,650.44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80.88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657,056,650.44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80.88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153,188,680.03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18.86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2,108,162.27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0.26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812,353,492.74</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注：本基金本报告期末通过港股通交易机制投资的港股市值为</w:t>
      </w:r>
      <w:r w:rsidRPr="006C56AA">
        <w:rPr>
          <w:color w:val="000000"/>
          <w:sz w:val="24"/>
          <w:szCs w:val="24"/>
        </w:rPr>
        <w:t>53,025,058.35</w:t>
      </w:r>
      <w:r w:rsidRPr="006C56AA">
        <w:rPr>
          <w:color w:val="000000"/>
          <w:sz w:val="24"/>
          <w:szCs w:val="24"/>
        </w:rPr>
        <w:t>元，占净值比例</w:t>
      </w:r>
      <w:r w:rsidRPr="006C56AA">
        <w:rPr>
          <w:color w:val="000000"/>
          <w:sz w:val="24"/>
          <w:szCs w:val="24"/>
        </w:rPr>
        <w:t>6.61%</w:t>
      </w:r>
      <w:r w:rsidRPr="006C56AA">
        <w:rPr>
          <w:color w:val="000000"/>
          <w:sz w:val="24"/>
          <w:szCs w:val="24"/>
        </w:rPr>
        <w:t>。</w:t>
      </w:r>
    </w:p>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21,971,892.80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2.74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460,689,494.14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57.44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5,334,000.00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0.67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63,376,981.71</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7.90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9,117,106.24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1.14</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25,068,832.20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9,830,585.00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1.23</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7,803,000.00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0.97</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839,700.00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0.10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604,031,592.09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75.31</w:t>
            </w:r>
          </w:p>
        </w:tc>
      </w:tr>
    </w:tbl>
    <w:p w:rsidR="008C2A4F" w:rsidRPr="008C2A4F" w:rsidRDefault="008C2A4F" w:rsidP="008C2A4F">
      <w:pPr>
        <w:jc w:val="left"/>
        <w:rPr>
          <w:rFonts w:eastAsiaTheme="minorEastAsia"/>
          <w:b/>
          <w:bCs/>
          <w:color w:val="000000" w:themeColor="text1"/>
          <w:kern w:val="0"/>
          <w:sz w:val="24"/>
          <w:szCs w:val="24"/>
        </w:rPr>
      </w:pPr>
      <w:r w:rsidRPr="008C2A4F">
        <w:rPr>
          <w:rFonts w:eastAsiaTheme="minorEastAsia"/>
          <w:b/>
          <w:bCs/>
          <w:color w:val="000000" w:themeColor="text1"/>
          <w:kern w:val="0"/>
          <w:sz w:val="24"/>
          <w:szCs w:val="24"/>
        </w:rPr>
        <w:t xml:space="preserve"> 5.2.2</w:t>
      </w:r>
      <w:r w:rsidR="00B912D0">
        <w:rPr>
          <w:rFonts w:eastAsiaTheme="minorEastAsia"/>
          <w:b/>
          <w:bCs/>
          <w:color w:val="000000" w:themeColor="text1"/>
          <w:kern w:val="0"/>
          <w:sz w:val="24"/>
          <w:szCs w:val="24"/>
        </w:rPr>
        <w:t>报告期末按行业分类的</w:t>
      </w:r>
      <w:r w:rsidR="00B912D0">
        <w:rPr>
          <w:rFonts w:eastAsiaTheme="minorEastAsia" w:hint="eastAsia"/>
          <w:b/>
          <w:bCs/>
          <w:color w:val="000000" w:themeColor="text1"/>
          <w:kern w:val="0"/>
          <w:sz w:val="24"/>
          <w:szCs w:val="24"/>
        </w:rPr>
        <w:t>港股通</w:t>
      </w:r>
      <w:r w:rsidRPr="008C2A4F">
        <w:rPr>
          <w:rFonts w:eastAsiaTheme="minorEastAsia"/>
          <w:b/>
          <w:bCs/>
          <w:color w:val="000000" w:themeColor="text1"/>
          <w:kern w:val="0"/>
          <w:sz w:val="24"/>
          <w:szCs w:val="24"/>
        </w:rPr>
        <w:t>投资股票投资组合</w:t>
      </w:r>
    </w:p>
    <w:tbl>
      <w:tblPr>
        <w:tblW w:w="8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7"/>
        <w:gridCol w:w="3119"/>
        <w:gridCol w:w="3118"/>
      </w:tblGrid>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3119"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公允价值（人民币）</w:t>
            </w:r>
          </w:p>
        </w:tc>
        <w:tc>
          <w:tcPr>
            <w:tcW w:w="3118"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r w:rsidRPr="008C2A4F">
              <w:rPr>
                <w:rFonts w:eastAsiaTheme="minorEastAsia"/>
                <w:color w:val="000000" w:themeColor="text1"/>
                <w:kern w:val="0"/>
                <w:sz w:val="24"/>
                <w:szCs w:val="24"/>
              </w:rPr>
              <w:t>%</w:t>
            </w:r>
            <w:r w:rsidRPr="008C2A4F">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能源</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材料</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工业</w:t>
            </w:r>
          </w:p>
        </w:tc>
        <w:tc>
          <w:tcPr>
            <w:tcW w:w="3119" w:type="dxa"/>
            <w:vAlign w:val="center"/>
          </w:tcPr>
          <w:p w:rsidR="007D25C7" w:rsidRDefault="009E575E">
            <w:pPr>
              <w:jc w:val="center"/>
            </w:pPr>
            <w:r>
              <w:rPr>
                <w:rFonts w:eastAsiaTheme="minorEastAsia"/>
                <w:color w:val="000000" w:themeColor="text1"/>
                <w:kern w:val="0"/>
                <w:sz w:val="24"/>
                <w:szCs w:val="24"/>
              </w:rPr>
              <w:t>4,267,358.80</w:t>
            </w:r>
          </w:p>
        </w:tc>
        <w:tc>
          <w:tcPr>
            <w:tcW w:w="3118" w:type="dxa"/>
            <w:vAlign w:val="center"/>
          </w:tcPr>
          <w:p w:rsidR="007D25C7" w:rsidRDefault="009E575E">
            <w:pPr>
              <w:jc w:val="center"/>
            </w:pPr>
            <w:r>
              <w:rPr>
                <w:rFonts w:eastAsiaTheme="minorEastAsia"/>
                <w:color w:val="000000" w:themeColor="text1"/>
                <w:kern w:val="0"/>
                <w:sz w:val="24"/>
                <w:szCs w:val="24"/>
              </w:rPr>
              <w:t>0.53</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非必需消费品</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必需消费品</w:t>
            </w:r>
          </w:p>
        </w:tc>
        <w:tc>
          <w:tcPr>
            <w:tcW w:w="3119" w:type="dxa"/>
            <w:vAlign w:val="center"/>
          </w:tcPr>
          <w:p w:rsidR="007D25C7" w:rsidRDefault="009E575E">
            <w:pPr>
              <w:jc w:val="center"/>
            </w:pPr>
            <w:r>
              <w:rPr>
                <w:rFonts w:eastAsiaTheme="minorEastAsia"/>
                <w:color w:val="000000" w:themeColor="text1"/>
                <w:kern w:val="0"/>
                <w:sz w:val="24"/>
                <w:szCs w:val="24"/>
              </w:rPr>
              <w:t>29,548,494.59</w:t>
            </w:r>
          </w:p>
        </w:tc>
        <w:tc>
          <w:tcPr>
            <w:tcW w:w="3118" w:type="dxa"/>
            <w:vAlign w:val="center"/>
          </w:tcPr>
          <w:p w:rsidR="007D25C7" w:rsidRDefault="009E575E">
            <w:pPr>
              <w:jc w:val="center"/>
            </w:pPr>
            <w:r>
              <w:rPr>
                <w:rFonts w:eastAsiaTheme="minorEastAsia"/>
                <w:color w:val="000000" w:themeColor="text1"/>
                <w:kern w:val="0"/>
                <w:sz w:val="24"/>
                <w:szCs w:val="24"/>
              </w:rPr>
              <w:t>3.68</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保健</w:t>
            </w:r>
          </w:p>
        </w:tc>
        <w:tc>
          <w:tcPr>
            <w:tcW w:w="3119" w:type="dxa"/>
            <w:vAlign w:val="center"/>
          </w:tcPr>
          <w:p w:rsidR="007D25C7" w:rsidRDefault="009E575E">
            <w:pPr>
              <w:jc w:val="center"/>
            </w:pPr>
            <w:r>
              <w:rPr>
                <w:rFonts w:eastAsiaTheme="minorEastAsia"/>
                <w:color w:val="000000" w:themeColor="text1"/>
                <w:kern w:val="0"/>
                <w:sz w:val="24"/>
                <w:szCs w:val="24"/>
              </w:rPr>
              <w:t>8,298,492.00</w:t>
            </w:r>
          </w:p>
        </w:tc>
        <w:tc>
          <w:tcPr>
            <w:tcW w:w="3118" w:type="dxa"/>
            <w:vAlign w:val="center"/>
          </w:tcPr>
          <w:p w:rsidR="007D25C7" w:rsidRDefault="009E575E">
            <w:pPr>
              <w:jc w:val="center"/>
            </w:pPr>
            <w:r>
              <w:rPr>
                <w:rFonts w:eastAsiaTheme="minorEastAsia"/>
                <w:color w:val="000000" w:themeColor="text1"/>
                <w:kern w:val="0"/>
                <w:sz w:val="24"/>
                <w:szCs w:val="24"/>
              </w:rPr>
              <w:t>1.03</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金融</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信息技术</w:t>
            </w:r>
          </w:p>
        </w:tc>
        <w:tc>
          <w:tcPr>
            <w:tcW w:w="3119" w:type="dxa"/>
            <w:vAlign w:val="center"/>
          </w:tcPr>
          <w:p w:rsidR="007D25C7" w:rsidRDefault="009E575E">
            <w:pPr>
              <w:jc w:val="center"/>
            </w:pPr>
            <w:r>
              <w:rPr>
                <w:rFonts w:eastAsiaTheme="minorEastAsia"/>
                <w:color w:val="000000" w:themeColor="text1"/>
                <w:kern w:val="0"/>
                <w:sz w:val="24"/>
                <w:szCs w:val="24"/>
              </w:rPr>
              <w:t>10,910,712.96</w:t>
            </w:r>
          </w:p>
        </w:tc>
        <w:tc>
          <w:tcPr>
            <w:tcW w:w="3118" w:type="dxa"/>
            <w:vAlign w:val="center"/>
          </w:tcPr>
          <w:p w:rsidR="007D25C7" w:rsidRDefault="009E575E">
            <w:pPr>
              <w:jc w:val="center"/>
            </w:pPr>
            <w:r>
              <w:rPr>
                <w:rFonts w:eastAsiaTheme="minorEastAsia"/>
                <w:color w:val="000000" w:themeColor="text1"/>
                <w:kern w:val="0"/>
                <w:sz w:val="24"/>
                <w:szCs w:val="24"/>
              </w:rPr>
              <w:t>1.36</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电信服务</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公用事业</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7D25C7">
        <w:trPr>
          <w:jc w:val="center"/>
        </w:trPr>
        <w:tc>
          <w:tcPr>
            <w:tcW w:w="2397" w:type="dxa"/>
            <w:vAlign w:val="center"/>
          </w:tcPr>
          <w:p w:rsidR="007D25C7" w:rsidRDefault="009E575E">
            <w:pPr>
              <w:jc w:val="center"/>
            </w:pPr>
            <w:r>
              <w:rPr>
                <w:rFonts w:eastAsiaTheme="minorEastAsia"/>
                <w:color w:val="000000" w:themeColor="text1"/>
                <w:kern w:val="0"/>
                <w:sz w:val="24"/>
                <w:szCs w:val="24"/>
              </w:rPr>
              <w:t>房地产</w:t>
            </w:r>
          </w:p>
        </w:tc>
        <w:tc>
          <w:tcPr>
            <w:tcW w:w="3119" w:type="dxa"/>
            <w:vAlign w:val="center"/>
          </w:tcPr>
          <w:p w:rsidR="007D25C7" w:rsidRDefault="009E575E">
            <w:pPr>
              <w:jc w:val="center"/>
            </w:pPr>
            <w:r>
              <w:rPr>
                <w:rFonts w:eastAsiaTheme="minorEastAsia"/>
                <w:color w:val="000000" w:themeColor="text1"/>
                <w:kern w:val="0"/>
                <w:sz w:val="24"/>
                <w:szCs w:val="24"/>
              </w:rPr>
              <w:t>-</w:t>
            </w:r>
          </w:p>
        </w:tc>
        <w:tc>
          <w:tcPr>
            <w:tcW w:w="3118" w:type="dxa"/>
            <w:vAlign w:val="center"/>
          </w:tcPr>
          <w:p w:rsidR="007D25C7" w:rsidRDefault="009E575E">
            <w:pPr>
              <w:jc w:val="center"/>
            </w:pPr>
            <w:r>
              <w:rPr>
                <w:rFonts w:eastAsiaTheme="minorEastAsia"/>
                <w:color w:val="000000" w:themeColor="text1"/>
                <w:kern w:val="0"/>
                <w:sz w:val="24"/>
                <w:szCs w:val="24"/>
              </w:rPr>
              <w:t>-</w:t>
            </w:r>
          </w:p>
        </w:tc>
      </w:tr>
      <w:tr w:rsidR="008C2A4F" w:rsidRPr="008C2A4F" w:rsidTr="003328D9">
        <w:trPr>
          <w:jc w:val="center"/>
        </w:trPr>
        <w:tc>
          <w:tcPr>
            <w:tcW w:w="2397" w:type="dxa"/>
            <w:vAlign w:val="center"/>
          </w:tcPr>
          <w:p w:rsidR="008C2A4F" w:rsidRPr="008C2A4F" w:rsidRDefault="008C2A4F" w:rsidP="003328D9">
            <w:pPr>
              <w:spacing w:before="29" w:line="360" w:lineRule="auto"/>
              <w:ind w:left="17"/>
              <w:jc w:val="center"/>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3119"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53,025,058.35</w:t>
            </w:r>
          </w:p>
        </w:tc>
        <w:tc>
          <w:tcPr>
            <w:tcW w:w="3118" w:type="dxa"/>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6.61</w:t>
            </w:r>
          </w:p>
        </w:tc>
      </w:tr>
    </w:tbl>
    <w:p w:rsidR="00750D48" w:rsidRPr="008C2A4F" w:rsidRDefault="008C2A4F" w:rsidP="008C2A4F">
      <w:pPr>
        <w:spacing w:line="360" w:lineRule="auto"/>
        <w:ind w:firstLineChars="200" w:firstLine="480"/>
        <w:rPr>
          <w:color w:val="000000"/>
          <w:sz w:val="24"/>
          <w:szCs w:val="24"/>
        </w:rPr>
      </w:pPr>
      <w:r w:rsidRPr="00403A06">
        <w:rPr>
          <w:color w:val="000000"/>
          <w:sz w:val="24"/>
          <w:szCs w:val="24"/>
        </w:rPr>
        <w:t>注：以上分类采用全球行业分类标准（</w:t>
      </w:r>
      <w:r w:rsidRPr="00403A06">
        <w:rPr>
          <w:color w:val="000000"/>
          <w:sz w:val="24"/>
          <w:szCs w:val="24"/>
        </w:rPr>
        <w:t>GICS</w:t>
      </w:r>
      <w:r w:rsidRPr="00403A06">
        <w:rPr>
          <w:color w:val="000000"/>
          <w:sz w:val="24"/>
          <w:szCs w:val="24"/>
        </w:rPr>
        <w:t>）。</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7D25C7">
        <w:tc>
          <w:tcPr>
            <w:tcW w:w="851" w:type="dxa"/>
            <w:vAlign w:val="center"/>
          </w:tcPr>
          <w:p w:rsidR="007D25C7" w:rsidRDefault="009E575E">
            <w:pPr>
              <w:jc w:val="center"/>
            </w:pPr>
            <w:r>
              <w:rPr>
                <w:color w:val="000000"/>
                <w:kern w:val="0"/>
                <w:sz w:val="24"/>
                <w:szCs w:val="24"/>
              </w:rPr>
              <w:t>1</w:t>
            </w:r>
          </w:p>
        </w:tc>
        <w:tc>
          <w:tcPr>
            <w:tcW w:w="1276" w:type="dxa"/>
            <w:vAlign w:val="center"/>
          </w:tcPr>
          <w:p w:rsidR="007D25C7" w:rsidRDefault="009E575E">
            <w:pPr>
              <w:jc w:val="center"/>
            </w:pPr>
            <w:r>
              <w:rPr>
                <w:color w:val="000000"/>
                <w:kern w:val="0"/>
                <w:sz w:val="24"/>
                <w:szCs w:val="24"/>
              </w:rPr>
              <w:t>000651</w:t>
            </w:r>
          </w:p>
        </w:tc>
        <w:tc>
          <w:tcPr>
            <w:tcW w:w="1418" w:type="dxa"/>
            <w:vAlign w:val="center"/>
          </w:tcPr>
          <w:p w:rsidR="007D25C7" w:rsidRDefault="009E575E">
            <w:pPr>
              <w:jc w:val="center"/>
            </w:pPr>
            <w:r>
              <w:rPr>
                <w:color w:val="000000"/>
                <w:kern w:val="0"/>
                <w:sz w:val="24"/>
                <w:szCs w:val="24"/>
              </w:rPr>
              <w:t>格力电器</w:t>
            </w:r>
          </w:p>
        </w:tc>
        <w:tc>
          <w:tcPr>
            <w:tcW w:w="1701" w:type="dxa"/>
            <w:vAlign w:val="center"/>
          </w:tcPr>
          <w:p w:rsidR="007D25C7" w:rsidRDefault="009E575E">
            <w:pPr>
              <w:jc w:val="right"/>
            </w:pPr>
            <w:r>
              <w:rPr>
                <w:color w:val="000000"/>
                <w:kern w:val="0"/>
                <w:sz w:val="24"/>
                <w:szCs w:val="24"/>
              </w:rPr>
              <w:t>1,259,208</w:t>
            </w:r>
          </w:p>
        </w:tc>
        <w:tc>
          <w:tcPr>
            <w:tcW w:w="1984" w:type="dxa"/>
            <w:vAlign w:val="center"/>
          </w:tcPr>
          <w:p w:rsidR="007D25C7" w:rsidRDefault="009E575E">
            <w:pPr>
              <w:jc w:val="right"/>
            </w:pPr>
            <w:r>
              <w:rPr>
                <w:color w:val="000000"/>
                <w:kern w:val="0"/>
                <w:sz w:val="24"/>
                <w:szCs w:val="24"/>
              </w:rPr>
              <w:t>72,152,618.40</w:t>
            </w:r>
          </w:p>
        </w:tc>
        <w:tc>
          <w:tcPr>
            <w:tcW w:w="1559" w:type="dxa"/>
            <w:vAlign w:val="center"/>
          </w:tcPr>
          <w:p w:rsidR="007D25C7" w:rsidRDefault="009E575E">
            <w:pPr>
              <w:jc w:val="right"/>
            </w:pPr>
            <w:r>
              <w:rPr>
                <w:color w:val="000000"/>
                <w:kern w:val="0"/>
                <w:sz w:val="24"/>
                <w:szCs w:val="24"/>
              </w:rPr>
              <w:t>9.00</w:t>
            </w:r>
          </w:p>
        </w:tc>
      </w:tr>
      <w:tr w:rsidR="007D25C7">
        <w:tc>
          <w:tcPr>
            <w:tcW w:w="851" w:type="dxa"/>
            <w:vAlign w:val="center"/>
          </w:tcPr>
          <w:p w:rsidR="007D25C7" w:rsidRDefault="009E575E">
            <w:pPr>
              <w:jc w:val="center"/>
            </w:pPr>
            <w:r>
              <w:rPr>
                <w:color w:val="000000"/>
                <w:kern w:val="0"/>
                <w:sz w:val="24"/>
                <w:szCs w:val="24"/>
              </w:rPr>
              <w:t>2</w:t>
            </w:r>
          </w:p>
        </w:tc>
        <w:tc>
          <w:tcPr>
            <w:tcW w:w="1276" w:type="dxa"/>
            <w:vAlign w:val="center"/>
          </w:tcPr>
          <w:p w:rsidR="007D25C7" w:rsidRDefault="009E575E">
            <w:pPr>
              <w:jc w:val="center"/>
            </w:pPr>
            <w:r>
              <w:rPr>
                <w:color w:val="000000"/>
                <w:kern w:val="0"/>
                <w:sz w:val="24"/>
                <w:szCs w:val="24"/>
              </w:rPr>
              <w:t>600519</w:t>
            </w:r>
          </w:p>
        </w:tc>
        <w:tc>
          <w:tcPr>
            <w:tcW w:w="1418" w:type="dxa"/>
            <w:vAlign w:val="center"/>
          </w:tcPr>
          <w:p w:rsidR="007D25C7" w:rsidRDefault="009E575E">
            <w:pPr>
              <w:jc w:val="center"/>
            </w:pPr>
            <w:r>
              <w:rPr>
                <w:color w:val="000000"/>
                <w:kern w:val="0"/>
                <w:sz w:val="24"/>
                <w:szCs w:val="24"/>
              </w:rPr>
              <w:t>贵州茅台</w:t>
            </w:r>
          </w:p>
        </w:tc>
        <w:tc>
          <w:tcPr>
            <w:tcW w:w="1701" w:type="dxa"/>
            <w:vAlign w:val="center"/>
          </w:tcPr>
          <w:p w:rsidR="007D25C7" w:rsidRDefault="009E575E">
            <w:pPr>
              <w:jc w:val="right"/>
            </w:pPr>
            <w:r>
              <w:rPr>
                <w:color w:val="000000"/>
                <w:kern w:val="0"/>
                <w:sz w:val="24"/>
                <w:szCs w:val="24"/>
              </w:rPr>
              <w:t>41,900</w:t>
            </w:r>
          </w:p>
        </w:tc>
        <w:tc>
          <w:tcPr>
            <w:tcW w:w="1984" w:type="dxa"/>
            <w:vAlign w:val="center"/>
          </w:tcPr>
          <w:p w:rsidR="007D25C7" w:rsidRDefault="009E575E">
            <w:pPr>
              <w:jc w:val="right"/>
            </w:pPr>
            <w:r>
              <w:rPr>
                <w:color w:val="000000"/>
                <w:kern w:val="0"/>
                <w:sz w:val="24"/>
                <w:szCs w:val="24"/>
              </w:rPr>
              <w:t>48,185,000.00</w:t>
            </w:r>
          </w:p>
        </w:tc>
        <w:tc>
          <w:tcPr>
            <w:tcW w:w="1559" w:type="dxa"/>
            <w:vAlign w:val="center"/>
          </w:tcPr>
          <w:p w:rsidR="007D25C7" w:rsidRDefault="009E575E">
            <w:pPr>
              <w:jc w:val="right"/>
            </w:pPr>
            <w:r>
              <w:rPr>
                <w:color w:val="000000"/>
                <w:kern w:val="0"/>
                <w:sz w:val="24"/>
                <w:szCs w:val="24"/>
              </w:rPr>
              <w:t>6.01</w:t>
            </w:r>
          </w:p>
        </w:tc>
      </w:tr>
      <w:tr w:rsidR="007D25C7">
        <w:tc>
          <w:tcPr>
            <w:tcW w:w="851" w:type="dxa"/>
            <w:vAlign w:val="center"/>
          </w:tcPr>
          <w:p w:rsidR="007D25C7" w:rsidRDefault="009E575E">
            <w:pPr>
              <w:jc w:val="center"/>
            </w:pPr>
            <w:r>
              <w:rPr>
                <w:color w:val="000000"/>
                <w:kern w:val="0"/>
                <w:sz w:val="24"/>
                <w:szCs w:val="24"/>
              </w:rPr>
              <w:t>3</w:t>
            </w:r>
          </w:p>
        </w:tc>
        <w:tc>
          <w:tcPr>
            <w:tcW w:w="1276" w:type="dxa"/>
            <w:vAlign w:val="center"/>
          </w:tcPr>
          <w:p w:rsidR="007D25C7" w:rsidRDefault="009E575E">
            <w:pPr>
              <w:jc w:val="center"/>
            </w:pPr>
            <w:r>
              <w:rPr>
                <w:color w:val="000000"/>
                <w:kern w:val="0"/>
                <w:sz w:val="24"/>
                <w:szCs w:val="24"/>
              </w:rPr>
              <w:t>002202</w:t>
            </w:r>
          </w:p>
        </w:tc>
        <w:tc>
          <w:tcPr>
            <w:tcW w:w="1418" w:type="dxa"/>
            <w:vAlign w:val="center"/>
          </w:tcPr>
          <w:p w:rsidR="007D25C7" w:rsidRDefault="009E575E">
            <w:pPr>
              <w:jc w:val="center"/>
            </w:pPr>
            <w:r>
              <w:rPr>
                <w:color w:val="000000"/>
                <w:kern w:val="0"/>
                <w:sz w:val="24"/>
                <w:szCs w:val="24"/>
              </w:rPr>
              <w:t>金风科技</w:t>
            </w:r>
          </w:p>
        </w:tc>
        <w:tc>
          <w:tcPr>
            <w:tcW w:w="1701" w:type="dxa"/>
            <w:vAlign w:val="center"/>
          </w:tcPr>
          <w:p w:rsidR="007D25C7" w:rsidRDefault="009E575E">
            <w:pPr>
              <w:jc w:val="right"/>
            </w:pPr>
            <w:r>
              <w:rPr>
                <w:color w:val="000000"/>
                <w:kern w:val="0"/>
                <w:sz w:val="24"/>
                <w:szCs w:val="24"/>
              </w:rPr>
              <w:t>3,106,600</w:t>
            </w:r>
          </w:p>
        </w:tc>
        <w:tc>
          <w:tcPr>
            <w:tcW w:w="1984" w:type="dxa"/>
            <w:vAlign w:val="center"/>
          </w:tcPr>
          <w:p w:rsidR="007D25C7" w:rsidRDefault="009E575E">
            <w:pPr>
              <w:jc w:val="right"/>
            </w:pPr>
            <w:r>
              <w:rPr>
                <w:color w:val="000000"/>
                <w:kern w:val="0"/>
                <w:sz w:val="24"/>
                <w:szCs w:val="24"/>
              </w:rPr>
              <w:t>38,894,632.00</w:t>
            </w:r>
          </w:p>
        </w:tc>
        <w:tc>
          <w:tcPr>
            <w:tcW w:w="1559" w:type="dxa"/>
            <w:vAlign w:val="center"/>
          </w:tcPr>
          <w:p w:rsidR="007D25C7" w:rsidRDefault="009E575E">
            <w:pPr>
              <w:jc w:val="right"/>
            </w:pPr>
            <w:r>
              <w:rPr>
                <w:color w:val="000000"/>
                <w:kern w:val="0"/>
                <w:sz w:val="24"/>
                <w:szCs w:val="24"/>
              </w:rPr>
              <w:t>4.85</w:t>
            </w:r>
          </w:p>
        </w:tc>
      </w:tr>
      <w:tr w:rsidR="007D25C7">
        <w:tc>
          <w:tcPr>
            <w:tcW w:w="851" w:type="dxa"/>
            <w:vAlign w:val="center"/>
          </w:tcPr>
          <w:p w:rsidR="007D25C7" w:rsidRDefault="009E575E">
            <w:pPr>
              <w:jc w:val="center"/>
            </w:pPr>
            <w:r>
              <w:rPr>
                <w:color w:val="000000"/>
                <w:kern w:val="0"/>
                <w:sz w:val="24"/>
                <w:szCs w:val="24"/>
              </w:rPr>
              <w:t>3</w:t>
            </w:r>
          </w:p>
        </w:tc>
        <w:tc>
          <w:tcPr>
            <w:tcW w:w="1276" w:type="dxa"/>
            <w:vAlign w:val="center"/>
          </w:tcPr>
          <w:p w:rsidR="007D25C7" w:rsidRDefault="009E575E">
            <w:pPr>
              <w:jc w:val="center"/>
            </w:pPr>
            <w:r>
              <w:rPr>
                <w:color w:val="000000"/>
                <w:kern w:val="0"/>
                <w:sz w:val="24"/>
                <w:szCs w:val="24"/>
              </w:rPr>
              <w:t>02208</w:t>
            </w:r>
          </w:p>
        </w:tc>
        <w:tc>
          <w:tcPr>
            <w:tcW w:w="1418" w:type="dxa"/>
            <w:vAlign w:val="center"/>
          </w:tcPr>
          <w:p w:rsidR="007D25C7" w:rsidRDefault="009E575E">
            <w:pPr>
              <w:jc w:val="center"/>
            </w:pPr>
            <w:r>
              <w:rPr>
                <w:color w:val="000000"/>
                <w:kern w:val="0"/>
                <w:sz w:val="24"/>
                <w:szCs w:val="24"/>
              </w:rPr>
              <w:t>金风科技</w:t>
            </w:r>
          </w:p>
        </w:tc>
        <w:tc>
          <w:tcPr>
            <w:tcW w:w="1701" w:type="dxa"/>
            <w:vAlign w:val="center"/>
          </w:tcPr>
          <w:p w:rsidR="007D25C7" w:rsidRDefault="009E575E">
            <w:pPr>
              <w:jc w:val="right"/>
            </w:pPr>
            <w:r>
              <w:rPr>
                <w:color w:val="000000"/>
                <w:kern w:val="0"/>
                <w:sz w:val="24"/>
                <w:szCs w:val="24"/>
              </w:rPr>
              <w:t>509,800</w:t>
            </w:r>
          </w:p>
        </w:tc>
        <w:tc>
          <w:tcPr>
            <w:tcW w:w="1984" w:type="dxa"/>
            <w:vAlign w:val="center"/>
          </w:tcPr>
          <w:p w:rsidR="007D25C7" w:rsidRDefault="009E575E">
            <w:pPr>
              <w:jc w:val="right"/>
            </w:pPr>
            <w:r>
              <w:rPr>
                <w:color w:val="000000"/>
                <w:kern w:val="0"/>
                <w:sz w:val="24"/>
                <w:szCs w:val="24"/>
              </w:rPr>
              <w:t>4,267,358.80</w:t>
            </w:r>
          </w:p>
        </w:tc>
        <w:tc>
          <w:tcPr>
            <w:tcW w:w="1559" w:type="dxa"/>
            <w:vAlign w:val="center"/>
          </w:tcPr>
          <w:p w:rsidR="007D25C7" w:rsidRDefault="009E575E">
            <w:pPr>
              <w:jc w:val="right"/>
            </w:pPr>
            <w:r>
              <w:rPr>
                <w:color w:val="000000"/>
                <w:kern w:val="0"/>
                <w:sz w:val="24"/>
                <w:szCs w:val="24"/>
              </w:rPr>
              <w:t>0.53</w:t>
            </w:r>
          </w:p>
        </w:tc>
      </w:tr>
      <w:tr w:rsidR="007D25C7">
        <w:tc>
          <w:tcPr>
            <w:tcW w:w="851" w:type="dxa"/>
            <w:vAlign w:val="center"/>
          </w:tcPr>
          <w:p w:rsidR="007D25C7" w:rsidRDefault="009E575E">
            <w:pPr>
              <w:jc w:val="center"/>
            </w:pPr>
            <w:r>
              <w:rPr>
                <w:color w:val="000000"/>
                <w:kern w:val="0"/>
                <w:sz w:val="24"/>
                <w:szCs w:val="24"/>
              </w:rPr>
              <w:t>4</w:t>
            </w:r>
          </w:p>
        </w:tc>
        <w:tc>
          <w:tcPr>
            <w:tcW w:w="1276" w:type="dxa"/>
            <w:vAlign w:val="center"/>
          </w:tcPr>
          <w:p w:rsidR="007D25C7" w:rsidRDefault="009E575E">
            <w:pPr>
              <w:jc w:val="center"/>
            </w:pPr>
            <w:r>
              <w:rPr>
                <w:color w:val="000000"/>
                <w:kern w:val="0"/>
                <w:sz w:val="24"/>
                <w:szCs w:val="24"/>
              </w:rPr>
              <w:t>601012</w:t>
            </w:r>
          </w:p>
        </w:tc>
        <w:tc>
          <w:tcPr>
            <w:tcW w:w="1418" w:type="dxa"/>
            <w:vAlign w:val="center"/>
          </w:tcPr>
          <w:p w:rsidR="007D25C7" w:rsidRDefault="009E575E">
            <w:pPr>
              <w:jc w:val="center"/>
            </w:pPr>
            <w:r>
              <w:rPr>
                <w:color w:val="000000"/>
                <w:kern w:val="0"/>
                <w:sz w:val="24"/>
                <w:szCs w:val="24"/>
              </w:rPr>
              <w:t>隆基股份</w:t>
            </w:r>
          </w:p>
        </w:tc>
        <w:tc>
          <w:tcPr>
            <w:tcW w:w="1701" w:type="dxa"/>
            <w:vAlign w:val="center"/>
          </w:tcPr>
          <w:p w:rsidR="007D25C7" w:rsidRDefault="009E575E">
            <w:pPr>
              <w:jc w:val="right"/>
            </w:pPr>
            <w:r>
              <w:rPr>
                <w:color w:val="000000"/>
                <w:kern w:val="0"/>
                <w:sz w:val="24"/>
                <w:szCs w:val="24"/>
              </w:rPr>
              <w:t>1,587,734</w:t>
            </w:r>
          </w:p>
        </w:tc>
        <w:tc>
          <w:tcPr>
            <w:tcW w:w="1984" w:type="dxa"/>
            <w:vAlign w:val="center"/>
          </w:tcPr>
          <w:p w:rsidR="007D25C7" w:rsidRDefault="009E575E">
            <w:pPr>
              <w:jc w:val="right"/>
            </w:pPr>
            <w:r>
              <w:rPr>
                <w:color w:val="000000"/>
                <w:kern w:val="0"/>
                <w:sz w:val="24"/>
                <w:szCs w:val="24"/>
              </w:rPr>
              <w:t>41,646,262.82</w:t>
            </w:r>
          </w:p>
        </w:tc>
        <w:tc>
          <w:tcPr>
            <w:tcW w:w="1559" w:type="dxa"/>
            <w:vAlign w:val="center"/>
          </w:tcPr>
          <w:p w:rsidR="007D25C7" w:rsidRDefault="009E575E">
            <w:pPr>
              <w:jc w:val="right"/>
            </w:pPr>
            <w:r>
              <w:rPr>
                <w:color w:val="000000"/>
                <w:kern w:val="0"/>
                <w:sz w:val="24"/>
                <w:szCs w:val="24"/>
              </w:rPr>
              <w:t>5.19</w:t>
            </w:r>
          </w:p>
        </w:tc>
      </w:tr>
      <w:tr w:rsidR="007D25C7">
        <w:tc>
          <w:tcPr>
            <w:tcW w:w="851" w:type="dxa"/>
            <w:vAlign w:val="center"/>
          </w:tcPr>
          <w:p w:rsidR="007D25C7" w:rsidRDefault="009E575E">
            <w:pPr>
              <w:jc w:val="center"/>
            </w:pPr>
            <w:r>
              <w:rPr>
                <w:color w:val="000000"/>
                <w:kern w:val="0"/>
                <w:sz w:val="24"/>
                <w:szCs w:val="24"/>
              </w:rPr>
              <w:t>5</w:t>
            </w:r>
          </w:p>
        </w:tc>
        <w:tc>
          <w:tcPr>
            <w:tcW w:w="1276" w:type="dxa"/>
            <w:vAlign w:val="center"/>
          </w:tcPr>
          <w:p w:rsidR="007D25C7" w:rsidRDefault="009E575E">
            <w:pPr>
              <w:jc w:val="center"/>
            </w:pPr>
            <w:r>
              <w:rPr>
                <w:color w:val="000000"/>
                <w:kern w:val="0"/>
                <w:sz w:val="24"/>
                <w:szCs w:val="24"/>
              </w:rPr>
              <w:t>600004</w:t>
            </w:r>
          </w:p>
        </w:tc>
        <w:tc>
          <w:tcPr>
            <w:tcW w:w="1418" w:type="dxa"/>
            <w:vAlign w:val="center"/>
          </w:tcPr>
          <w:p w:rsidR="007D25C7" w:rsidRDefault="009E575E">
            <w:pPr>
              <w:jc w:val="center"/>
            </w:pPr>
            <w:r>
              <w:rPr>
                <w:color w:val="000000"/>
                <w:kern w:val="0"/>
                <w:sz w:val="24"/>
                <w:szCs w:val="24"/>
              </w:rPr>
              <w:t>白云机场</w:t>
            </w:r>
          </w:p>
        </w:tc>
        <w:tc>
          <w:tcPr>
            <w:tcW w:w="1701" w:type="dxa"/>
            <w:vAlign w:val="center"/>
          </w:tcPr>
          <w:p w:rsidR="007D25C7" w:rsidRDefault="009E575E">
            <w:pPr>
              <w:jc w:val="right"/>
            </w:pPr>
            <w:r>
              <w:rPr>
                <w:color w:val="000000"/>
                <w:kern w:val="0"/>
                <w:sz w:val="24"/>
                <w:szCs w:val="24"/>
              </w:rPr>
              <w:t>1,566,335</w:t>
            </w:r>
          </w:p>
        </w:tc>
        <w:tc>
          <w:tcPr>
            <w:tcW w:w="1984" w:type="dxa"/>
            <w:vAlign w:val="center"/>
          </w:tcPr>
          <w:p w:rsidR="007D25C7" w:rsidRDefault="009E575E">
            <w:pPr>
              <w:jc w:val="right"/>
            </w:pPr>
            <w:r>
              <w:rPr>
                <w:color w:val="000000"/>
                <w:kern w:val="0"/>
                <w:sz w:val="24"/>
                <w:szCs w:val="24"/>
              </w:rPr>
              <w:t>35,164,220.75</w:t>
            </w:r>
          </w:p>
        </w:tc>
        <w:tc>
          <w:tcPr>
            <w:tcW w:w="1559" w:type="dxa"/>
            <w:vAlign w:val="center"/>
          </w:tcPr>
          <w:p w:rsidR="007D25C7" w:rsidRDefault="009E575E">
            <w:pPr>
              <w:jc w:val="right"/>
            </w:pPr>
            <w:r>
              <w:rPr>
                <w:color w:val="000000"/>
                <w:kern w:val="0"/>
                <w:sz w:val="24"/>
                <w:szCs w:val="24"/>
              </w:rPr>
              <w:t>4.38</w:t>
            </w:r>
          </w:p>
        </w:tc>
      </w:tr>
      <w:tr w:rsidR="007D25C7">
        <w:tc>
          <w:tcPr>
            <w:tcW w:w="851" w:type="dxa"/>
            <w:vAlign w:val="center"/>
          </w:tcPr>
          <w:p w:rsidR="007D25C7" w:rsidRDefault="009E575E">
            <w:pPr>
              <w:jc w:val="center"/>
            </w:pPr>
            <w:r>
              <w:rPr>
                <w:color w:val="000000"/>
                <w:kern w:val="0"/>
                <w:sz w:val="24"/>
                <w:szCs w:val="24"/>
              </w:rPr>
              <w:t>6</w:t>
            </w:r>
          </w:p>
        </w:tc>
        <w:tc>
          <w:tcPr>
            <w:tcW w:w="1276" w:type="dxa"/>
            <w:vAlign w:val="center"/>
          </w:tcPr>
          <w:p w:rsidR="007D25C7" w:rsidRDefault="009E575E">
            <w:pPr>
              <w:jc w:val="center"/>
            </w:pPr>
            <w:r>
              <w:rPr>
                <w:color w:val="000000"/>
                <w:kern w:val="0"/>
                <w:sz w:val="24"/>
                <w:szCs w:val="24"/>
              </w:rPr>
              <w:t>002396</w:t>
            </w:r>
          </w:p>
        </w:tc>
        <w:tc>
          <w:tcPr>
            <w:tcW w:w="1418" w:type="dxa"/>
            <w:vAlign w:val="center"/>
          </w:tcPr>
          <w:p w:rsidR="007D25C7" w:rsidRDefault="009E575E">
            <w:pPr>
              <w:jc w:val="center"/>
            </w:pPr>
            <w:r>
              <w:rPr>
                <w:color w:val="000000"/>
                <w:kern w:val="0"/>
                <w:sz w:val="24"/>
                <w:szCs w:val="24"/>
              </w:rPr>
              <w:t>星网锐捷</w:t>
            </w:r>
          </w:p>
        </w:tc>
        <w:tc>
          <w:tcPr>
            <w:tcW w:w="1701" w:type="dxa"/>
            <w:vAlign w:val="center"/>
          </w:tcPr>
          <w:p w:rsidR="007D25C7" w:rsidRDefault="009E575E">
            <w:pPr>
              <w:jc w:val="right"/>
            </w:pPr>
            <w:r>
              <w:rPr>
                <w:color w:val="000000"/>
                <w:kern w:val="0"/>
                <w:sz w:val="24"/>
                <w:szCs w:val="24"/>
              </w:rPr>
              <w:t>1,084,500</w:t>
            </w:r>
          </w:p>
        </w:tc>
        <w:tc>
          <w:tcPr>
            <w:tcW w:w="1984" w:type="dxa"/>
            <w:vAlign w:val="center"/>
          </w:tcPr>
          <w:p w:rsidR="007D25C7" w:rsidRDefault="009E575E">
            <w:pPr>
              <w:jc w:val="right"/>
            </w:pPr>
            <w:r>
              <w:rPr>
                <w:color w:val="000000"/>
                <w:kern w:val="0"/>
                <w:sz w:val="24"/>
                <w:szCs w:val="24"/>
              </w:rPr>
              <w:t>33,402,600.00</w:t>
            </w:r>
          </w:p>
        </w:tc>
        <w:tc>
          <w:tcPr>
            <w:tcW w:w="1559" w:type="dxa"/>
            <w:vAlign w:val="center"/>
          </w:tcPr>
          <w:p w:rsidR="007D25C7" w:rsidRDefault="009E575E">
            <w:pPr>
              <w:jc w:val="right"/>
            </w:pPr>
            <w:r>
              <w:rPr>
                <w:color w:val="000000"/>
                <w:kern w:val="0"/>
                <w:sz w:val="24"/>
                <w:szCs w:val="24"/>
              </w:rPr>
              <w:t>4.16</w:t>
            </w:r>
          </w:p>
        </w:tc>
      </w:tr>
      <w:tr w:rsidR="007D25C7">
        <w:tc>
          <w:tcPr>
            <w:tcW w:w="851" w:type="dxa"/>
            <w:vAlign w:val="center"/>
          </w:tcPr>
          <w:p w:rsidR="007D25C7" w:rsidRDefault="009E575E">
            <w:pPr>
              <w:jc w:val="center"/>
            </w:pPr>
            <w:r>
              <w:rPr>
                <w:color w:val="000000"/>
                <w:kern w:val="0"/>
                <w:sz w:val="24"/>
                <w:szCs w:val="24"/>
              </w:rPr>
              <w:t>7</w:t>
            </w:r>
          </w:p>
        </w:tc>
        <w:tc>
          <w:tcPr>
            <w:tcW w:w="1276" w:type="dxa"/>
            <w:vAlign w:val="center"/>
          </w:tcPr>
          <w:p w:rsidR="007D25C7" w:rsidRDefault="009E575E">
            <w:pPr>
              <w:jc w:val="center"/>
            </w:pPr>
            <w:r>
              <w:rPr>
                <w:color w:val="000000"/>
                <w:kern w:val="0"/>
                <w:sz w:val="24"/>
                <w:szCs w:val="24"/>
              </w:rPr>
              <w:t>600276</w:t>
            </w:r>
          </w:p>
        </w:tc>
        <w:tc>
          <w:tcPr>
            <w:tcW w:w="1418" w:type="dxa"/>
            <w:vAlign w:val="center"/>
          </w:tcPr>
          <w:p w:rsidR="007D25C7" w:rsidRDefault="009E575E">
            <w:pPr>
              <w:jc w:val="center"/>
            </w:pPr>
            <w:r>
              <w:rPr>
                <w:color w:val="000000"/>
                <w:kern w:val="0"/>
                <w:sz w:val="24"/>
                <w:szCs w:val="24"/>
              </w:rPr>
              <w:t>恒瑞医药</w:t>
            </w:r>
          </w:p>
        </w:tc>
        <w:tc>
          <w:tcPr>
            <w:tcW w:w="1701" w:type="dxa"/>
            <w:vAlign w:val="center"/>
          </w:tcPr>
          <w:p w:rsidR="007D25C7" w:rsidRDefault="009E575E">
            <w:pPr>
              <w:jc w:val="right"/>
            </w:pPr>
            <w:r>
              <w:rPr>
                <w:color w:val="000000"/>
                <w:kern w:val="0"/>
                <w:sz w:val="24"/>
                <w:szCs w:val="24"/>
              </w:rPr>
              <w:t>401,900</w:t>
            </w:r>
          </w:p>
        </w:tc>
        <w:tc>
          <w:tcPr>
            <w:tcW w:w="1984" w:type="dxa"/>
            <w:vAlign w:val="center"/>
          </w:tcPr>
          <w:p w:rsidR="007D25C7" w:rsidRDefault="009E575E">
            <w:pPr>
              <w:jc w:val="right"/>
            </w:pPr>
            <w:r>
              <w:rPr>
                <w:color w:val="000000"/>
                <w:kern w:val="0"/>
                <w:sz w:val="24"/>
                <w:szCs w:val="24"/>
              </w:rPr>
              <w:t>32,425,292.00</w:t>
            </w:r>
          </w:p>
        </w:tc>
        <w:tc>
          <w:tcPr>
            <w:tcW w:w="1559" w:type="dxa"/>
            <w:vAlign w:val="center"/>
          </w:tcPr>
          <w:p w:rsidR="007D25C7" w:rsidRDefault="009E575E">
            <w:pPr>
              <w:jc w:val="right"/>
            </w:pPr>
            <w:r>
              <w:rPr>
                <w:color w:val="000000"/>
                <w:kern w:val="0"/>
                <w:sz w:val="24"/>
                <w:szCs w:val="24"/>
              </w:rPr>
              <w:t>4.04</w:t>
            </w:r>
          </w:p>
        </w:tc>
      </w:tr>
      <w:tr w:rsidR="007D25C7">
        <w:tc>
          <w:tcPr>
            <w:tcW w:w="851" w:type="dxa"/>
            <w:vAlign w:val="center"/>
          </w:tcPr>
          <w:p w:rsidR="007D25C7" w:rsidRDefault="009E575E">
            <w:pPr>
              <w:jc w:val="center"/>
            </w:pPr>
            <w:r>
              <w:rPr>
                <w:color w:val="000000"/>
                <w:kern w:val="0"/>
                <w:sz w:val="24"/>
                <w:szCs w:val="24"/>
              </w:rPr>
              <w:t>8</w:t>
            </w:r>
          </w:p>
        </w:tc>
        <w:tc>
          <w:tcPr>
            <w:tcW w:w="1276" w:type="dxa"/>
            <w:vAlign w:val="center"/>
          </w:tcPr>
          <w:p w:rsidR="007D25C7" w:rsidRDefault="009E575E">
            <w:pPr>
              <w:jc w:val="center"/>
            </w:pPr>
            <w:r>
              <w:rPr>
                <w:color w:val="000000"/>
                <w:kern w:val="0"/>
                <w:sz w:val="24"/>
                <w:szCs w:val="24"/>
              </w:rPr>
              <w:t>600009</w:t>
            </w:r>
          </w:p>
        </w:tc>
        <w:tc>
          <w:tcPr>
            <w:tcW w:w="1418" w:type="dxa"/>
            <w:vAlign w:val="center"/>
          </w:tcPr>
          <w:p w:rsidR="007D25C7" w:rsidRDefault="009E575E">
            <w:pPr>
              <w:jc w:val="center"/>
            </w:pPr>
            <w:r>
              <w:rPr>
                <w:color w:val="000000"/>
                <w:kern w:val="0"/>
                <w:sz w:val="24"/>
                <w:szCs w:val="24"/>
              </w:rPr>
              <w:t>上海机场</w:t>
            </w:r>
          </w:p>
        </w:tc>
        <w:tc>
          <w:tcPr>
            <w:tcW w:w="1701" w:type="dxa"/>
            <w:vAlign w:val="center"/>
          </w:tcPr>
          <w:p w:rsidR="007D25C7" w:rsidRDefault="009E575E">
            <w:pPr>
              <w:jc w:val="right"/>
            </w:pPr>
            <w:r>
              <w:rPr>
                <w:color w:val="000000"/>
                <w:kern w:val="0"/>
                <w:sz w:val="24"/>
                <w:szCs w:val="24"/>
              </w:rPr>
              <w:t>353,632</w:t>
            </w:r>
          </w:p>
        </w:tc>
        <w:tc>
          <w:tcPr>
            <w:tcW w:w="1984" w:type="dxa"/>
            <w:vAlign w:val="center"/>
          </w:tcPr>
          <w:p w:rsidR="007D25C7" w:rsidRDefault="009E575E">
            <w:pPr>
              <w:jc w:val="right"/>
            </w:pPr>
            <w:r>
              <w:rPr>
                <w:color w:val="000000"/>
                <w:kern w:val="0"/>
                <w:sz w:val="24"/>
                <w:szCs w:val="24"/>
              </w:rPr>
              <w:t>28,212,760.96</w:t>
            </w:r>
          </w:p>
        </w:tc>
        <w:tc>
          <w:tcPr>
            <w:tcW w:w="1559" w:type="dxa"/>
            <w:vAlign w:val="center"/>
          </w:tcPr>
          <w:p w:rsidR="007D25C7" w:rsidRDefault="009E575E">
            <w:pPr>
              <w:jc w:val="right"/>
            </w:pPr>
            <w:r>
              <w:rPr>
                <w:color w:val="000000"/>
                <w:kern w:val="0"/>
                <w:sz w:val="24"/>
                <w:szCs w:val="24"/>
              </w:rPr>
              <w:t>3.52</w:t>
            </w:r>
          </w:p>
        </w:tc>
      </w:tr>
      <w:tr w:rsidR="007D25C7">
        <w:tc>
          <w:tcPr>
            <w:tcW w:w="851" w:type="dxa"/>
            <w:vAlign w:val="center"/>
          </w:tcPr>
          <w:p w:rsidR="007D25C7" w:rsidRDefault="009E575E">
            <w:pPr>
              <w:jc w:val="center"/>
            </w:pPr>
            <w:r>
              <w:rPr>
                <w:color w:val="000000"/>
                <w:kern w:val="0"/>
                <w:sz w:val="24"/>
                <w:szCs w:val="24"/>
              </w:rPr>
              <w:t>9</w:t>
            </w:r>
          </w:p>
        </w:tc>
        <w:tc>
          <w:tcPr>
            <w:tcW w:w="1276" w:type="dxa"/>
            <w:vAlign w:val="center"/>
          </w:tcPr>
          <w:p w:rsidR="007D25C7" w:rsidRDefault="009E575E">
            <w:pPr>
              <w:jc w:val="center"/>
            </w:pPr>
            <w:r>
              <w:rPr>
                <w:color w:val="000000"/>
                <w:kern w:val="0"/>
                <w:sz w:val="24"/>
                <w:szCs w:val="24"/>
              </w:rPr>
              <w:t>002179</w:t>
            </w:r>
          </w:p>
        </w:tc>
        <w:tc>
          <w:tcPr>
            <w:tcW w:w="1418" w:type="dxa"/>
            <w:vAlign w:val="center"/>
          </w:tcPr>
          <w:p w:rsidR="007D25C7" w:rsidRDefault="009E575E">
            <w:pPr>
              <w:jc w:val="center"/>
            </w:pPr>
            <w:r>
              <w:rPr>
                <w:color w:val="000000"/>
                <w:kern w:val="0"/>
                <w:sz w:val="24"/>
                <w:szCs w:val="24"/>
              </w:rPr>
              <w:t>中航光电</w:t>
            </w:r>
          </w:p>
        </w:tc>
        <w:tc>
          <w:tcPr>
            <w:tcW w:w="1701" w:type="dxa"/>
            <w:vAlign w:val="center"/>
          </w:tcPr>
          <w:p w:rsidR="007D25C7" w:rsidRDefault="009E575E">
            <w:pPr>
              <w:jc w:val="right"/>
            </w:pPr>
            <w:r>
              <w:rPr>
                <w:color w:val="000000"/>
                <w:kern w:val="0"/>
                <w:sz w:val="24"/>
                <w:szCs w:val="24"/>
              </w:rPr>
              <w:t>641,653</w:t>
            </w:r>
          </w:p>
        </w:tc>
        <w:tc>
          <w:tcPr>
            <w:tcW w:w="1984" w:type="dxa"/>
            <w:vAlign w:val="center"/>
          </w:tcPr>
          <w:p w:rsidR="007D25C7" w:rsidRDefault="009E575E">
            <w:pPr>
              <w:jc w:val="right"/>
            </w:pPr>
            <w:r>
              <w:rPr>
                <w:color w:val="000000"/>
                <w:kern w:val="0"/>
                <w:sz w:val="24"/>
                <w:szCs w:val="24"/>
              </w:rPr>
              <w:t>26,423,270.54</w:t>
            </w:r>
          </w:p>
        </w:tc>
        <w:tc>
          <w:tcPr>
            <w:tcW w:w="1559" w:type="dxa"/>
            <w:vAlign w:val="center"/>
          </w:tcPr>
          <w:p w:rsidR="007D25C7" w:rsidRDefault="009E575E">
            <w:pPr>
              <w:jc w:val="right"/>
            </w:pPr>
            <w:r>
              <w:rPr>
                <w:color w:val="000000"/>
                <w:kern w:val="0"/>
                <w:sz w:val="24"/>
                <w:szCs w:val="24"/>
              </w:rPr>
              <w:t>3.29</w:t>
            </w:r>
          </w:p>
        </w:tc>
      </w:tr>
      <w:tr w:rsidR="007D25C7">
        <w:tc>
          <w:tcPr>
            <w:tcW w:w="851" w:type="dxa"/>
            <w:vAlign w:val="center"/>
          </w:tcPr>
          <w:p w:rsidR="007D25C7" w:rsidRDefault="009E575E">
            <w:pPr>
              <w:jc w:val="center"/>
            </w:pPr>
            <w:r>
              <w:rPr>
                <w:color w:val="000000"/>
                <w:kern w:val="0"/>
                <w:sz w:val="24"/>
                <w:szCs w:val="24"/>
              </w:rPr>
              <w:t>10</w:t>
            </w:r>
          </w:p>
        </w:tc>
        <w:tc>
          <w:tcPr>
            <w:tcW w:w="1276" w:type="dxa"/>
            <w:vAlign w:val="center"/>
          </w:tcPr>
          <w:p w:rsidR="007D25C7" w:rsidRDefault="009E575E">
            <w:pPr>
              <w:jc w:val="center"/>
            </w:pPr>
            <w:r>
              <w:rPr>
                <w:color w:val="000000"/>
                <w:kern w:val="0"/>
                <w:sz w:val="24"/>
                <w:szCs w:val="24"/>
              </w:rPr>
              <w:t>000568</w:t>
            </w:r>
          </w:p>
        </w:tc>
        <w:tc>
          <w:tcPr>
            <w:tcW w:w="1418" w:type="dxa"/>
            <w:vAlign w:val="center"/>
          </w:tcPr>
          <w:p w:rsidR="007D25C7" w:rsidRDefault="009E575E">
            <w:pPr>
              <w:jc w:val="center"/>
            </w:pPr>
            <w:r>
              <w:rPr>
                <w:color w:val="000000"/>
                <w:kern w:val="0"/>
                <w:sz w:val="24"/>
                <w:szCs w:val="24"/>
              </w:rPr>
              <w:t>泸州老窖</w:t>
            </w:r>
          </w:p>
        </w:tc>
        <w:tc>
          <w:tcPr>
            <w:tcW w:w="1701" w:type="dxa"/>
            <w:vAlign w:val="center"/>
          </w:tcPr>
          <w:p w:rsidR="007D25C7" w:rsidRDefault="009E575E">
            <w:pPr>
              <w:jc w:val="right"/>
            </w:pPr>
            <w:r>
              <w:rPr>
                <w:color w:val="000000"/>
                <w:kern w:val="0"/>
                <w:sz w:val="24"/>
                <w:szCs w:val="24"/>
              </w:rPr>
              <w:t>298,900</w:t>
            </w:r>
          </w:p>
        </w:tc>
        <w:tc>
          <w:tcPr>
            <w:tcW w:w="1984" w:type="dxa"/>
            <w:vAlign w:val="center"/>
          </w:tcPr>
          <w:p w:rsidR="007D25C7" w:rsidRDefault="009E575E">
            <w:pPr>
              <w:jc w:val="right"/>
            </w:pPr>
            <w:r>
              <w:rPr>
                <w:color w:val="000000"/>
                <w:kern w:val="0"/>
                <w:sz w:val="24"/>
                <w:szCs w:val="24"/>
              </w:rPr>
              <w:t>25,472,258.00</w:t>
            </w:r>
          </w:p>
        </w:tc>
        <w:tc>
          <w:tcPr>
            <w:tcW w:w="1559" w:type="dxa"/>
            <w:vAlign w:val="center"/>
          </w:tcPr>
          <w:p w:rsidR="007D25C7" w:rsidRDefault="009E575E">
            <w:pPr>
              <w:jc w:val="right"/>
            </w:pPr>
            <w:r>
              <w:rPr>
                <w:color w:val="000000"/>
                <w:kern w:val="0"/>
                <w:sz w:val="24"/>
                <w:szCs w:val="24"/>
              </w:rPr>
              <w:t>3.18</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p w:rsidR="00750D48" w:rsidRPr="00232B03" w:rsidRDefault="00CA4677" w:rsidP="00403A06">
      <w:pPr>
        <w:spacing w:line="360" w:lineRule="auto"/>
        <w:ind w:firstLineChars="200" w:firstLine="480"/>
        <w:rPr>
          <w:color w:val="000000"/>
          <w:sz w:val="24"/>
          <w:szCs w:val="24"/>
        </w:rPr>
      </w:pPr>
      <w:r w:rsidRPr="00403A06">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本基金本报告期末未持有债券。</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本基金本报告期末未持有资产支持证券。</w:t>
      </w:r>
    </w:p>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93,017.78</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76,430.82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22,816.01</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1,915,897.66</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2,108,162.27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174,590,394.53</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515,199,312.28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152,199,896.66</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537,589,810.15</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8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8.1 </w:t>
      </w:r>
      <w:r w:rsidRPr="00264E55">
        <w:rPr>
          <w:rFonts w:ascii="宋体" w:hAnsi="宋体" w:hint="eastAsia"/>
          <w:b/>
          <w:bCs/>
          <w:color w:val="000000"/>
          <w:kern w:val="0"/>
          <w:sz w:val="24"/>
          <w:szCs w:val="24"/>
        </w:rPr>
        <w:t>备查文件目录</w:t>
      </w:r>
    </w:p>
    <w:p w:rsidR="007D25C7" w:rsidRDefault="009E575E">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中国证监会准予易方达中盘成长混合型证券投资基金注册的文件；</w:t>
      </w:r>
    </w:p>
    <w:p w:rsidR="007D25C7" w:rsidRDefault="009E575E">
      <w:pPr>
        <w:spacing w:line="360" w:lineRule="auto"/>
        <w:ind w:firstLineChars="200" w:firstLine="480"/>
        <w:rPr>
          <w:color w:val="000000"/>
          <w:sz w:val="24"/>
          <w:szCs w:val="24"/>
        </w:rPr>
      </w:pPr>
      <w:r>
        <w:rPr>
          <w:color w:val="000000"/>
          <w:sz w:val="24"/>
          <w:szCs w:val="24"/>
        </w:rPr>
        <w:t>2.</w:t>
      </w:r>
      <w:r>
        <w:rPr>
          <w:color w:val="000000"/>
          <w:sz w:val="24"/>
          <w:szCs w:val="24"/>
        </w:rPr>
        <w:t>《易方达中盘成长混合型证券投资基金基金合同》；</w:t>
      </w:r>
    </w:p>
    <w:p w:rsidR="007D25C7" w:rsidRDefault="009E575E">
      <w:pPr>
        <w:spacing w:line="360" w:lineRule="auto"/>
        <w:ind w:firstLineChars="200" w:firstLine="480"/>
        <w:rPr>
          <w:color w:val="000000"/>
          <w:sz w:val="24"/>
          <w:szCs w:val="24"/>
        </w:rPr>
      </w:pPr>
      <w:r>
        <w:rPr>
          <w:color w:val="000000"/>
          <w:sz w:val="24"/>
          <w:szCs w:val="24"/>
        </w:rPr>
        <w:t>3.</w:t>
      </w:r>
      <w:r>
        <w:rPr>
          <w:color w:val="000000"/>
          <w:sz w:val="24"/>
          <w:szCs w:val="24"/>
        </w:rPr>
        <w:t>《易方达中盘成长混合型证券投资基金托管协议》；</w:t>
      </w:r>
    </w:p>
    <w:p w:rsidR="007D25C7" w:rsidRDefault="009E575E">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8.3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E575E">
      <w:rPr>
        <w:rStyle w:val="a7"/>
        <w:noProof/>
      </w:rPr>
      <w:t>1</w:t>
    </w:r>
    <w:r>
      <w:rPr>
        <w:rStyle w:val="a7"/>
      </w:rPr>
      <w:fldChar w:fldCharType="end"/>
    </w:r>
    <w:r>
      <w:rPr>
        <w:rStyle w:val="a7"/>
        <w:rFonts w:hint="eastAsia"/>
      </w:rPr>
      <w:t>页共</w:t>
    </w:r>
    <w:r w:rsidR="009E575E">
      <w:fldChar w:fldCharType="begin"/>
    </w:r>
    <w:r w:rsidR="009E575E">
      <w:instrText xml:space="preserve"> NUMPAGES  \* Arabic  \* MERGEFORMAT </w:instrText>
    </w:r>
    <w:r w:rsidR="009E575E">
      <w:fldChar w:fldCharType="separate"/>
    </w:r>
    <w:r w:rsidR="009E575E" w:rsidRPr="009E575E">
      <w:rPr>
        <w:rStyle w:val="a7"/>
        <w:noProof/>
      </w:rPr>
      <w:t>3</w:t>
    </w:r>
    <w:r w:rsidR="009E575E">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E575E">
      <w:rPr>
        <w:rStyle w:val="a7"/>
        <w:noProof/>
      </w:rPr>
      <w:t>11</w:t>
    </w:r>
    <w:r>
      <w:rPr>
        <w:rStyle w:val="a7"/>
      </w:rPr>
      <w:fldChar w:fldCharType="end"/>
    </w:r>
    <w:r>
      <w:rPr>
        <w:rStyle w:val="a7"/>
        <w:rFonts w:hint="eastAsia"/>
      </w:rPr>
      <w:t>页共</w:t>
    </w:r>
    <w:fldSimple w:instr=" NUMPAGES  \* Arabic  \* MERGEFORMAT ">
      <w:r w:rsidR="009E575E" w:rsidRPr="009E575E">
        <w:rPr>
          <w:rStyle w:val="a7"/>
          <w:noProof/>
        </w:rPr>
        <w:t>11</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易方达中盘成长混合型证券投资基金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D25C7"/>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575E"/>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E4F67-59BA-46E6-8CB8-EC4C7176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2019-10-16T13:55:00Z</cp:lastPrinted>
  <dcterms:created xsi:type="dcterms:W3CDTF">2012-10-16T06:07:00Z</dcterms:created>
  <dcterms:modified xsi:type="dcterms:W3CDTF">2019-10-16T13:55:00Z</dcterms:modified>
</cp:coreProperties>
</file>