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易方达蓝筹精选混合型证券投资基金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F07BF" w:rsidRDefault="0067731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F07BF" w:rsidRDefault="00677317">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F07BF" w:rsidRDefault="00677317">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F07BF" w:rsidRDefault="0067731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F07BF" w:rsidRDefault="0067731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易方达蓝筹精选混合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005827</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005827</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9</w:t>
            </w:r>
            <w:r w:rsidRPr="00232B03">
              <w:rPr>
                <w:color w:val="000000"/>
                <w:kern w:val="0"/>
                <w:sz w:val="24"/>
                <w:szCs w:val="24"/>
              </w:rPr>
              <w:t>月</w:t>
            </w:r>
            <w:r w:rsidRPr="00232B03">
              <w:rPr>
                <w:color w:val="000000"/>
                <w:kern w:val="0"/>
                <w:sz w:val="24"/>
                <w:szCs w:val="24"/>
              </w:rPr>
              <w:t>5</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4,817,644,217.00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本基金基于定量与定性相结合的宏观及市场分析，确定组合中股票、债券等资产类别的配置比例。股票投资方面，本基金非现金资产中不低于</w:t>
            </w:r>
            <w:r w:rsidRPr="00232B03">
              <w:rPr>
                <w:color w:val="000000"/>
                <w:kern w:val="0"/>
                <w:sz w:val="24"/>
                <w:szCs w:val="24"/>
              </w:rPr>
              <w:t>80%</w:t>
            </w:r>
            <w:r w:rsidRPr="00232B03">
              <w:rPr>
                <w:color w:val="000000"/>
                <w:kern w:val="0"/>
                <w:sz w:val="24"/>
                <w:szCs w:val="24"/>
              </w:rPr>
              <w:t>的资产将投资于蓝筹股（本基金所界定的蓝筹股是指满足以下分析标准的公司发行的股票：公司在行业内</w:t>
            </w:r>
            <w:r w:rsidRPr="00232B03">
              <w:rPr>
                <w:color w:val="000000"/>
                <w:kern w:val="0"/>
                <w:sz w:val="24"/>
                <w:szCs w:val="24"/>
              </w:rPr>
              <w:lastRenderedPageBreak/>
              <w:t>处于领先地位，市场占有率较高，市场竞争能力在行业中具有较强优势；经营稳健，盈利能力较强；财务结构合理；运营效率较高；治理结构合理；估值相对合理），同时本基金将通过分析行业景气度及竞争格局，对各行业的投资价值进行综合评估后确定并动态调整行业配置比例。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×45%+</w:t>
            </w:r>
            <w:r w:rsidRPr="00232B03">
              <w:rPr>
                <w:color w:val="000000"/>
                <w:kern w:val="0"/>
                <w:sz w:val="24"/>
                <w:szCs w:val="24"/>
              </w:rPr>
              <w:t>中证港股通综合指数收益率</w:t>
            </w:r>
            <w:r w:rsidRPr="00232B03">
              <w:rPr>
                <w:color w:val="000000"/>
                <w:kern w:val="0"/>
                <w:sz w:val="24"/>
                <w:szCs w:val="24"/>
              </w:rPr>
              <w:t>×35%+</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91,528,960.10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303,881,087.85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0.0757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6,717,470,287.48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1.3943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F07BF" w:rsidRDefault="0067731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F07BF">
        <w:tc>
          <w:tcPr>
            <w:tcW w:w="1395" w:type="dxa"/>
            <w:vAlign w:val="center"/>
          </w:tcPr>
          <w:p w:rsidR="00AF07BF" w:rsidRDefault="00677317">
            <w:pPr>
              <w:jc w:val="left"/>
            </w:pPr>
            <w:r>
              <w:rPr>
                <w:color w:val="000000"/>
                <w:kern w:val="0"/>
                <w:sz w:val="24"/>
                <w:szCs w:val="24"/>
              </w:rPr>
              <w:t>过去三个月</w:t>
            </w:r>
          </w:p>
        </w:tc>
        <w:tc>
          <w:tcPr>
            <w:tcW w:w="1092" w:type="dxa"/>
            <w:vAlign w:val="center"/>
          </w:tcPr>
          <w:p w:rsidR="00AF07BF" w:rsidRDefault="00677317">
            <w:pPr>
              <w:jc w:val="center"/>
            </w:pPr>
            <w:r>
              <w:rPr>
                <w:color w:val="000000"/>
                <w:kern w:val="0"/>
                <w:sz w:val="24"/>
                <w:szCs w:val="24"/>
              </w:rPr>
              <w:t>5.77%</w:t>
            </w:r>
          </w:p>
        </w:tc>
        <w:tc>
          <w:tcPr>
            <w:tcW w:w="1161" w:type="dxa"/>
            <w:vAlign w:val="center"/>
          </w:tcPr>
          <w:p w:rsidR="00AF07BF" w:rsidRDefault="00677317">
            <w:pPr>
              <w:jc w:val="center"/>
            </w:pPr>
            <w:r>
              <w:rPr>
                <w:color w:val="000000"/>
                <w:kern w:val="0"/>
                <w:sz w:val="24"/>
                <w:szCs w:val="24"/>
              </w:rPr>
              <w:t>1.09%</w:t>
            </w:r>
          </w:p>
        </w:tc>
        <w:tc>
          <w:tcPr>
            <w:tcW w:w="1181" w:type="dxa"/>
            <w:vAlign w:val="center"/>
          </w:tcPr>
          <w:p w:rsidR="00AF07BF" w:rsidRDefault="00677317">
            <w:pPr>
              <w:jc w:val="center"/>
            </w:pPr>
            <w:r>
              <w:rPr>
                <w:color w:val="000000"/>
                <w:kern w:val="0"/>
                <w:sz w:val="24"/>
                <w:szCs w:val="24"/>
              </w:rPr>
              <w:t>-1.67%</w:t>
            </w:r>
          </w:p>
        </w:tc>
        <w:tc>
          <w:tcPr>
            <w:tcW w:w="1188" w:type="dxa"/>
            <w:vAlign w:val="center"/>
          </w:tcPr>
          <w:p w:rsidR="00AF07BF" w:rsidRDefault="00677317">
            <w:pPr>
              <w:jc w:val="center"/>
            </w:pPr>
            <w:r>
              <w:rPr>
                <w:color w:val="000000"/>
                <w:kern w:val="0"/>
                <w:sz w:val="24"/>
                <w:szCs w:val="24"/>
              </w:rPr>
              <w:t>0.66%</w:t>
            </w:r>
          </w:p>
        </w:tc>
        <w:tc>
          <w:tcPr>
            <w:tcW w:w="1199" w:type="dxa"/>
            <w:vAlign w:val="center"/>
          </w:tcPr>
          <w:p w:rsidR="00AF07BF" w:rsidRDefault="00677317">
            <w:pPr>
              <w:jc w:val="center"/>
            </w:pPr>
            <w:r>
              <w:rPr>
                <w:color w:val="000000"/>
                <w:kern w:val="0"/>
                <w:sz w:val="24"/>
                <w:szCs w:val="24"/>
              </w:rPr>
              <w:t>7.44%</w:t>
            </w:r>
          </w:p>
        </w:tc>
        <w:tc>
          <w:tcPr>
            <w:tcW w:w="1204" w:type="dxa"/>
            <w:vAlign w:val="center"/>
          </w:tcPr>
          <w:p w:rsidR="00AF07BF" w:rsidRDefault="00677317">
            <w:pPr>
              <w:jc w:val="center"/>
            </w:pPr>
            <w:r>
              <w:rPr>
                <w:color w:val="000000"/>
                <w:kern w:val="0"/>
                <w:sz w:val="24"/>
                <w:szCs w:val="24"/>
              </w:rPr>
              <w:t>0.43%</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易方达蓝筹精选混合型证券投资基金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5</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77317"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AF07BF" w:rsidRDefault="0067731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39.43%</w:t>
      </w:r>
      <w:r w:rsidRPr="006C56AA">
        <w:rPr>
          <w:color w:val="000000"/>
          <w:sz w:val="24"/>
          <w:szCs w:val="24"/>
        </w:rPr>
        <w:t>，同期业绩比较基准收益率为</w:t>
      </w:r>
      <w:r w:rsidRPr="006C56AA">
        <w:rPr>
          <w:color w:val="000000"/>
          <w:sz w:val="24"/>
          <w:szCs w:val="24"/>
        </w:rPr>
        <w:t>5.59%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F07BF">
        <w:tc>
          <w:tcPr>
            <w:tcW w:w="567" w:type="dxa"/>
            <w:vAlign w:val="center"/>
          </w:tcPr>
          <w:p w:rsidR="00AF07BF" w:rsidRDefault="00677317">
            <w:pPr>
              <w:jc w:val="center"/>
            </w:pPr>
            <w:r>
              <w:rPr>
                <w:color w:val="000000"/>
                <w:sz w:val="24"/>
              </w:rPr>
              <w:t>张坤</w:t>
            </w:r>
          </w:p>
        </w:tc>
        <w:tc>
          <w:tcPr>
            <w:tcW w:w="2835" w:type="dxa"/>
            <w:vAlign w:val="center"/>
          </w:tcPr>
          <w:p w:rsidR="00AF07BF" w:rsidRDefault="00677317">
            <w:pPr>
              <w:jc w:val="center"/>
            </w:pPr>
            <w:r>
              <w:rPr>
                <w:color w:val="000000"/>
                <w:sz w:val="24"/>
              </w:rPr>
              <w:t>本基金的基金经理、易方达中小盘混合型证券投资基金的基金经理、易方达亚洲精选股票型证券投资基金的基金经理、易方达新丝路灵活配置混合型证券投资基金的基金经理</w:t>
            </w:r>
          </w:p>
        </w:tc>
        <w:tc>
          <w:tcPr>
            <w:tcW w:w="851" w:type="dxa"/>
            <w:vAlign w:val="center"/>
          </w:tcPr>
          <w:p w:rsidR="00AF07BF" w:rsidRDefault="00677317">
            <w:pPr>
              <w:jc w:val="center"/>
            </w:pPr>
            <w:r>
              <w:rPr>
                <w:color w:val="000000"/>
                <w:sz w:val="24"/>
              </w:rPr>
              <w:t>2018-09-05</w:t>
            </w:r>
          </w:p>
        </w:tc>
        <w:tc>
          <w:tcPr>
            <w:tcW w:w="850" w:type="dxa"/>
            <w:vAlign w:val="center"/>
          </w:tcPr>
          <w:p w:rsidR="00AF07BF" w:rsidRDefault="00677317">
            <w:pPr>
              <w:jc w:val="center"/>
            </w:pPr>
            <w:r>
              <w:rPr>
                <w:color w:val="000000"/>
                <w:sz w:val="24"/>
              </w:rPr>
              <w:t>-</w:t>
            </w:r>
          </w:p>
        </w:tc>
        <w:tc>
          <w:tcPr>
            <w:tcW w:w="851" w:type="dxa"/>
            <w:vAlign w:val="center"/>
          </w:tcPr>
          <w:p w:rsidR="00AF07BF" w:rsidRDefault="00677317">
            <w:pPr>
              <w:jc w:val="center"/>
            </w:pPr>
            <w:r>
              <w:rPr>
                <w:color w:val="000000"/>
                <w:sz w:val="24"/>
              </w:rPr>
              <w:t>11</w:t>
            </w:r>
            <w:r>
              <w:rPr>
                <w:color w:val="000000"/>
                <w:sz w:val="24"/>
              </w:rPr>
              <w:t>年</w:t>
            </w:r>
          </w:p>
        </w:tc>
        <w:tc>
          <w:tcPr>
            <w:tcW w:w="2977" w:type="dxa"/>
            <w:vAlign w:val="center"/>
          </w:tcPr>
          <w:p w:rsidR="00AF07BF" w:rsidRDefault="00677317">
            <w:r>
              <w:rPr>
                <w:color w:val="000000"/>
                <w:sz w:val="24"/>
              </w:rPr>
              <w:t>硕士研究生，曾任易方达基金管理有限公司行业研究员、基金经理助理、研究部总经理助理。</w:t>
            </w:r>
          </w:p>
        </w:tc>
      </w:tr>
    </w:tbl>
    <w:p w:rsidR="00AF07BF" w:rsidRDefault="0067731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F07BF" w:rsidRDefault="0067731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w:t>
      </w:r>
      <w:r>
        <w:rPr>
          <w:color w:val="000000"/>
          <w:sz w:val="24"/>
          <w:szCs w:val="24"/>
        </w:rPr>
        <w:t>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F07BF" w:rsidRDefault="00677317">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股市场震荡下跌，沪深</w:t>
      </w:r>
      <w:r>
        <w:rPr>
          <w:color w:val="000000"/>
          <w:sz w:val="24"/>
          <w:szCs w:val="24"/>
        </w:rPr>
        <w:t>300</w:t>
      </w:r>
      <w:r>
        <w:rPr>
          <w:color w:val="000000"/>
          <w:sz w:val="24"/>
          <w:szCs w:val="24"/>
        </w:rPr>
        <w:t>指数下跌</w:t>
      </w:r>
      <w:r>
        <w:rPr>
          <w:color w:val="000000"/>
          <w:sz w:val="24"/>
          <w:szCs w:val="24"/>
        </w:rPr>
        <w:t>0.29%</w:t>
      </w:r>
      <w:r>
        <w:rPr>
          <w:color w:val="000000"/>
          <w:sz w:val="24"/>
          <w:szCs w:val="24"/>
        </w:rPr>
        <w:t>，上证综指下跌</w:t>
      </w:r>
      <w:r>
        <w:rPr>
          <w:color w:val="000000"/>
          <w:sz w:val="24"/>
          <w:szCs w:val="24"/>
        </w:rPr>
        <w:t>2.47%</w:t>
      </w:r>
      <w:r>
        <w:rPr>
          <w:color w:val="000000"/>
          <w:sz w:val="24"/>
          <w:szCs w:val="24"/>
        </w:rPr>
        <w:t>。香港市场同样下跌，恒生指数下跌</w:t>
      </w:r>
      <w:r>
        <w:rPr>
          <w:color w:val="000000"/>
          <w:sz w:val="24"/>
          <w:szCs w:val="24"/>
        </w:rPr>
        <w:t>8.58%</w:t>
      </w:r>
      <w:r>
        <w:rPr>
          <w:color w:val="000000"/>
          <w:sz w:val="24"/>
          <w:szCs w:val="24"/>
        </w:rPr>
        <w:t>，恒生中国企业指数下跌</w:t>
      </w:r>
      <w:r>
        <w:rPr>
          <w:color w:val="000000"/>
          <w:sz w:val="24"/>
          <w:szCs w:val="24"/>
        </w:rPr>
        <w:t>6.26%</w:t>
      </w:r>
      <w:r>
        <w:rPr>
          <w:color w:val="000000"/>
          <w:sz w:val="24"/>
          <w:szCs w:val="24"/>
        </w:rPr>
        <w:t>。</w:t>
      </w:r>
    </w:p>
    <w:p w:rsidR="00AF07BF" w:rsidRDefault="00677317">
      <w:pPr>
        <w:spacing w:line="360" w:lineRule="auto"/>
        <w:ind w:firstLineChars="200" w:firstLine="480"/>
        <w:rPr>
          <w:color w:val="000000"/>
          <w:sz w:val="24"/>
          <w:szCs w:val="24"/>
        </w:rPr>
      </w:pPr>
      <w:r>
        <w:rPr>
          <w:color w:val="000000"/>
          <w:sz w:val="24"/>
          <w:szCs w:val="24"/>
        </w:rPr>
        <w:t>三季度，流动性方面，整体流动性持续保持宽松。宏观经济方面，在持续宽松流动性的支持下，经济逐步止住了去年三、四季度下滑的趋势，呈现初步企稳的态势。股票市场方面，市场在三季度分化较为明显，电子、计算机、医药等行业表现较好，而钢铁、建筑、地产等行业表现相对落后。</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三季度股票仓位有所增加，并对结构进行了调整，降低了家电等行业的配置，增加了医药等行业的配置；个股方面，降低了部分高估值的小盘股配置，增加了业务模式有特色、长期逻辑清晰、估值水平合理的个股的投资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1.3943</w:t>
      </w:r>
      <w:r w:rsidRPr="006C56AA">
        <w:rPr>
          <w:color w:val="000000"/>
          <w:sz w:val="24"/>
          <w:szCs w:val="24"/>
        </w:rPr>
        <w:t>元，本报告期份额净值增长率为</w:t>
      </w:r>
      <w:r w:rsidRPr="006C56AA">
        <w:rPr>
          <w:color w:val="000000"/>
          <w:sz w:val="24"/>
          <w:szCs w:val="24"/>
        </w:rPr>
        <w:t>5.77%</w:t>
      </w:r>
      <w:r w:rsidRPr="006C56AA">
        <w:rPr>
          <w:color w:val="000000"/>
          <w:sz w:val="24"/>
          <w:szCs w:val="24"/>
        </w:rPr>
        <w:t>，同期业绩比较基准收益率为</w:t>
      </w:r>
      <w:r w:rsidRPr="006C56AA">
        <w:rPr>
          <w:color w:val="000000"/>
          <w:sz w:val="24"/>
          <w:szCs w:val="24"/>
        </w:rPr>
        <w:t>-1.67%</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6,051,738,218.96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6,051,738,218.96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88.63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90,246,000.00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90,246,000.00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1.32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198,000,417.00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472,240,400.22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6.92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15,971,286.62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6,828,196,322.80</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2,814,812,658.56</w:t>
      </w:r>
      <w:r w:rsidRPr="006C56AA">
        <w:rPr>
          <w:color w:val="000000"/>
          <w:sz w:val="24"/>
          <w:szCs w:val="24"/>
        </w:rPr>
        <w:t>元，占净值比例</w:t>
      </w:r>
      <w:r w:rsidRPr="006C56AA">
        <w:rPr>
          <w:color w:val="000000"/>
          <w:sz w:val="24"/>
          <w:szCs w:val="24"/>
        </w:rPr>
        <w:t>41.90%</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2,579,046,479.38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657,358,326.51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9.79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86,082.27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3,236,925,560.40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48.19</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能源</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材料</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工业</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非必需消费品</w:t>
            </w:r>
          </w:p>
        </w:tc>
        <w:tc>
          <w:tcPr>
            <w:tcW w:w="3119" w:type="dxa"/>
            <w:vAlign w:val="center"/>
          </w:tcPr>
          <w:p w:rsidR="00AF07BF" w:rsidRDefault="00677317">
            <w:pPr>
              <w:jc w:val="center"/>
            </w:pPr>
            <w:r>
              <w:rPr>
                <w:rFonts w:eastAsiaTheme="minorEastAsia"/>
                <w:color w:val="000000" w:themeColor="text1"/>
                <w:kern w:val="0"/>
                <w:sz w:val="24"/>
                <w:szCs w:val="24"/>
              </w:rPr>
              <w:t>509,690,672.61</w:t>
            </w:r>
          </w:p>
        </w:tc>
        <w:tc>
          <w:tcPr>
            <w:tcW w:w="3118" w:type="dxa"/>
            <w:vAlign w:val="center"/>
          </w:tcPr>
          <w:p w:rsidR="00AF07BF" w:rsidRDefault="00677317">
            <w:pPr>
              <w:jc w:val="center"/>
            </w:pPr>
            <w:r>
              <w:rPr>
                <w:rFonts w:eastAsiaTheme="minorEastAsia"/>
                <w:color w:val="000000" w:themeColor="text1"/>
                <w:kern w:val="0"/>
                <w:sz w:val="24"/>
                <w:szCs w:val="24"/>
              </w:rPr>
              <w:t>7.59</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必需消费品</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保健</w:t>
            </w:r>
          </w:p>
        </w:tc>
        <w:tc>
          <w:tcPr>
            <w:tcW w:w="3119" w:type="dxa"/>
            <w:vAlign w:val="center"/>
          </w:tcPr>
          <w:p w:rsidR="00AF07BF" w:rsidRDefault="00677317">
            <w:pPr>
              <w:jc w:val="center"/>
            </w:pPr>
            <w:r>
              <w:rPr>
                <w:rFonts w:eastAsiaTheme="minorEastAsia"/>
                <w:color w:val="000000" w:themeColor="text1"/>
                <w:kern w:val="0"/>
                <w:sz w:val="24"/>
                <w:szCs w:val="24"/>
              </w:rPr>
              <w:t>1,134,168,323.55</w:t>
            </w:r>
          </w:p>
        </w:tc>
        <w:tc>
          <w:tcPr>
            <w:tcW w:w="3118" w:type="dxa"/>
            <w:vAlign w:val="center"/>
          </w:tcPr>
          <w:p w:rsidR="00AF07BF" w:rsidRDefault="00677317">
            <w:pPr>
              <w:jc w:val="center"/>
            </w:pPr>
            <w:r>
              <w:rPr>
                <w:rFonts w:eastAsiaTheme="minorEastAsia"/>
                <w:color w:val="000000" w:themeColor="text1"/>
                <w:kern w:val="0"/>
                <w:sz w:val="24"/>
                <w:szCs w:val="24"/>
              </w:rPr>
              <w:t>16.88</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金融</w:t>
            </w:r>
          </w:p>
        </w:tc>
        <w:tc>
          <w:tcPr>
            <w:tcW w:w="3119" w:type="dxa"/>
            <w:vAlign w:val="center"/>
          </w:tcPr>
          <w:p w:rsidR="00AF07BF" w:rsidRDefault="00677317">
            <w:pPr>
              <w:jc w:val="center"/>
            </w:pPr>
            <w:r>
              <w:rPr>
                <w:rFonts w:eastAsiaTheme="minorEastAsia"/>
                <w:color w:val="000000" w:themeColor="text1"/>
                <w:kern w:val="0"/>
                <w:sz w:val="24"/>
                <w:szCs w:val="24"/>
              </w:rPr>
              <w:t>574,670,571.00</w:t>
            </w:r>
          </w:p>
        </w:tc>
        <w:tc>
          <w:tcPr>
            <w:tcW w:w="3118" w:type="dxa"/>
            <w:vAlign w:val="center"/>
          </w:tcPr>
          <w:p w:rsidR="00AF07BF" w:rsidRDefault="00677317">
            <w:pPr>
              <w:jc w:val="center"/>
            </w:pPr>
            <w:r>
              <w:rPr>
                <w:rFonts w:eastAsiaTheme="minorEastAsia"/>
                <w:color w:val="000000" w:themeColor="text1"/>
                <w:kern w:val="0"/>
                <w:sz w:val="24"/>
                <w:szCs w:val="24"/>
              </w:rPr>
              <w:t>8.55</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信息技术</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电信服务</w:t>
            </w:r>
          </w:p>
        </w:tc>
        <w:tc>
          <w:tcPr>
            <w:tcW w:w="3119" w:type="dxa"/>
            <w:vAlign w:val="center"/>
          </w:tcPr>
          <w:p w:rsidR="00AF07BF" w:rsidRDefault="00677317">
            <w:pPr>
              <w:jc w:val="center"/>
            </w:pPr>
            <w:r>
              <w:rPr>
                <w:rFonts w:eastAsiaTheme="minorEastAsia"/>
                <w:color w:val="000000" w:themeColor="text1"/>
                <w:kern w:val="0"/>
                <w:sz w:val="24"/>
                <w:szCs w:val="24"/>
              </w:rPr>
              <w:t>596,283,091.40</w:t>
            </w:r>
          </w:p>
        </w:tc>
        <w:tc>
          <w:tcPr>
            <w:tcW w:w="3118" w:type="dxa"/>
            <w:vAlign w:val="center"/>
          </w:tcPr>
          <w:p w:rsidR="00AF07BF" w:rsidRDefault="00677317">
            <w:pPr>
              <w:jc w:val="center"/>
            </w:pPr>
            <w:r>
              <w:rPr>
                <w:rFonts w:eastAsiaTheme="minorEastAsia"/>
                <w:color w:val="000000" w:themeColor="text1"/>
                <w:kern w:val="0"/>
                <w:sz w:val="24"/>
                <w:szCs w:val="24"/>
              </w:rPr>
              <w:t>8.88</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公用事业</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AF07BF">
        <w:trPr>
          <w:jc w:val="center"/>
        </w:trPr>
        <w:tc>
          <w:tcPr>
            <w:tcW w:w="2397" w:type="dxa"/>
            <w:vAlign w:val="center"/>
          </w:tcPr>
          <w:p w:rsidR="00AF07BF" w:rsidRDefault="00677317">
            <w:pPr>
              <w:jc w:val="center"/>
            </w:pPr>
            <w:r>
              <w:rPr>
                <w:rFonts w:eastAsiaTheme="minorEastAsia"/>
                <w:color w:val="000000" w:themeColor="text1"/>
                <w:kern w:val="0"/>
                <w:sz w:val="24"/>
                <w:szCs w:val="24"/>
              </w:rPr>
              <w:t>房地产</w:t>
            </w:r>
          </w:p>
        </w:tc>
        <w:tc>
          <w:tcPr>
            <w:tcW w:w="3119" w:type="dxa"/>
            <w:vAlign w:val="center"/>
          </w:tcPr>
          <w:p w:rsidR="00AF07BF" w:rsidRDefault="00677317">
            <w:pPr>
              <w:jc w:val="center"/>
            </w:pPr>
            <w:r>
              <w:rPr>
                <w:rFonts w:eastAsiaTheme="minorEastAsia"/>
                <w:color w:val="000000" w:themeColor="text1"/>
                <w:kern w:val="0"/>
                <w:sz w:val="24"/>
                <w:szCs w:val="24"/>
              </w:rPr>
              <w:t>-</w:t>
            </w:r>
          </w:p>
        </w:tc>
        <w:tc>
          <w:tcPr>
            <w:tcW w:w="3118" w:type="dxa"/>
            <w:vAlign w:val="center"/>
          </w:tcPr>
          <w:p w:rsidR="00AF07BF" w:rsidRDefault="00677317">
            <w:pPr>
              <w:jc w:val="center"/>
            </w:pPr>
            <w:r>
              <w:rPr>
                <w:rFonts w:eastAsiaTheme="minorEastAsia"/>
                <w:color w:val="000000" w:themeColor="text1"/>
                <w:kern w:val="0"/>
                <w:sz w:val="24"/>
                <w:szCs w:val="24"/>
              </w:rPr>
              <w:t>-</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2,814,812,658.56</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41.90</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F07BF">
        <w:tc>
          <w:tcPr>
            <w:tcW w:w="851" w:type="dxa"/>
            <w:vAlign w:val="center"/>
          </w:tcPr>
          <w:p w:rsidR="00AF07BF" w:rsidRDefault="00677317">
            <w:pPr>
              <w:jc w:val="center"/>
            </w:pPr>
            <w:r>
              <w:rPr>
                <w:color w:val="000000"/>
                <w:kern w:val="0"/>
                <w:sz w:val="24"/>
                <w:szCs w:val="24"/>
              </w:rPr>
              <w:t>1</w:t>
            </w:r>
          </w:p>
        </w:tc>
        <w:tc>
          <w:tcPr>
            <w:tcW w:w="1276" w:type="dxa"/>
            <w:vAlign w:val="center"/>
          </w:tcPr>
          <w:p w:rsidR="00AF07BF" w:rsidRDefault="00677317">
            <w:pPr>
              <w:jc w:val="center"/>
            </w:pPr>
            <w:r>
              <w:rPr>
                <w:color w:val="000000"/>
                <w:kern w:val="0"/>
                <w:sz w:val="24"/>
                <w:szCs w:val="24"/>
              </w:rPr>
              <w:t>600519</w:t>
            </w:r>
          </w:p>
        </w:tc>
        <w:tc>
          <w:tcPr>
            <w:tcW w:w="1418" w:type="dxa"/>
            <w:vAlign w:val="center"/>
          </w:tcPr>
          <w:p w:rsidR="00AF07BF" w:rsidRDefault="00677317">
            <w:pPr>
              <w:jc w:val="center"/>
            </w:pPr>
            <w:r>
              <w:rPr>
                <w:color w:val="000000"/>
                <w:kern w:val="0"/>
                <w:sz w:val="24"/>
                <w:szCs w:val="24"/>
              </w:rPr>
              <w:t>贵州茅台</w:t>
            </w:r>
          </w:p>
        </w:tc>
        <w:tc>
          <w:tcPr>
            <w:tcW w:w="1701" w:type="dxa"/>
            <w:vAlign w:val="center"/>
          </w:tcPr>
          <w:p w:rsidR="00AF07BF" w:rsidRDefault="00677317">
            <w:pPr>
              <w:jc w:val="right"/>
            </w:pPr>
            <w:r>
              <w:rPr>
                <w:color w:val="000000"/>
                <w:kern w:val="0"/>
                <w:sz w:val="24"/>
                <w:szCs w:val="24"/>
              </w:rPr>
              <w:t>547,200</w:t>
            </w:r>
          </w:p>
        </w:tc>
        <w:tc>
          <w:tcPr>
            <w:tcW w:w="1984" w:type="dxa"/>
            <w:vAlign w:val="center"/>
          </w:tcPr>
          <w:p w:rsidR="00AF07BF" w:rsidRDefault="00677317">
            <w:pPr>
              <w:jc w:val="right"/>
            </w:pPr>
            <w:r>
              <w:rPr>
                <w:color w:val="000000"/>
                <w:kern w:val="0"/>
                <w:sz w:val="24"/>
                <w:szCs w:val="24"/>
              </w:rPr>
              <w:t>629,280,000.00</w:t>
            </w:r>
          </w:p>
        </w:tc>
        <w:tc>
          <w:tcPr>
            <w:tcW w:w="1559" w:type="dxa"/>
            <w:vAlign w:val="center"/>
          </w:tcPr>
          <w:p w:rsidR="00AF07BF" w:rsidRDefault="00677317">
            <w:pPr>
              <w:jc w:val="right"/>
            </w:pPr>
            <w:r>
              <w:rPr>
                <w:color w:val="000000"/>
                <w:kern w:val="0"/>
                <w:sz w:val="24"/>
                <w:szCs w:val="24"/>
              </w:rPr>
              <w:t>9.37</w:t>
            </w:r>
          </w:p>
        </w:tc>
      </w:tr>
      <w:tr w:rsidR="00AF07BF">
        <w:tc>
          <w:tcPr>
            <w:tcW w:w="851" w:type="dxa"/>
            <w:vAlign w:val="center"/>
          </w:tcPr>
          <w:p w:rsidR="00AF07BF" w:rsidRDefault="00677317">
            <w:pPr>
              <w:jc w:val="center"/>
            </w:pPr>
            <w:r>
              <w:rPr>
                <w:color w:val="000000"/>
                <w:kern w:val="0"/>
                <w:sz w:val="24"/>
                <w:szCs w:val="24"/>
              </w:rPr>
              <w:t>2</w:t>
            </w:r>
          </w:p>
        </w:tc>
        <w:tc>
          <w:tcPr>
            <w:tcW w:w="1276" w:type="dxa"/>
            <w:vAlign w:val="center"/>
          </w:tcPr>
          <w:p w:rsidR="00AF07BF" w:rsidRDefault="00677317">
            <w:pPr>
              <w:jc w:val="center"/>
            </w:pPr>
            <w:r>
              <w:rPr>
                <w:color w:val="000000"/>
                <w:kern w:val="0"/>
                <w:sz w:val="24"/>
                <w:szCs w:val="24"/>
              </w:rPr>
              <w:t>01177</w:t>
            </w:r>
          </w:p>
        </w:tc>
        <w:tc>
          <w:tcPr>
            <w:tcW w:w="1418" w:type="dxa"/>
            <w:vAlign w:val="center"/>
          </w:tcPr>
          <w:p w:rsidR="00AF07BF" w:rsidRDefault="00677317">
            <w:pPr>
              <w:jc w:val="center"/>
            </w:pPr>
            <w:r>
              <w:rPr>
                <w:color w:val="000000"/>
                <w:kern w:val="0"/>
                <w:sz w:val="24"/>
                <w:szCs w:val="24"/>
              </w:rPr>
              <w:t>中国生物制药</w:t>
            </w:r>
          </w:p>
        </w:tc>
        <w:tc>
          <w:tcPr>
            <w:tcW w:w="1701" w:type="dxa"/>
            <w:vAlign w:val="center"/>
          </w:tcPr>
          <w:p w:rsidR="00AF07BF" w:rsidRDefault="00677317">
            <w:pPr>
              <w:jc w:val="right"/>
            </w:pPr>
            <w:r>
              <w:rPr>
                <w:color w:val="000000"/>
                <w:kern w:val="0"/>
                <w:sz w:val="24"/>
                <w:szCs w:val="24"/>
              </w:rPr>
              <w:t>69,528,000</w:t>
            </w:r>
          </w:p>
        </w:tc>
        <w:tc>
          <w:tcPr>
            <w:tcW w:w="1984" w:type="dxa"/>
            <w:vAlign w:val="center"/>
          </w:tcPr>
          <w:p w:rsidR="00AF07BF" w:rsidRDefault="00677317">
            <w:pPr>
              <w:jc w:val="right"/>
            </w:pPr>
            <w:r>
              <w:rPr>
                <w:color w:val="000000"/>
                <w:kern w:val="0"/>
                <w:sz w:val="24"/>
                <w:szCs w:val="24"/>
              </w:rPr>
              <w:t>624,640,914.75</w:t>
            </w:r>
          </w:p>
        </w:tc>
        <w:tc>
          <w:tcPr>
            <w:tcW w:w="1559" w:type="dxa"/>
            <w:vAlign w:val="center"/>
          </w:tcPr>
          <w:p w:rsidR="00AF07BF" w:rsidRDefault="00677317">
            <w:pPr>
              <w:jc w:val="right"/>
            </w:pPr>
            <w:r>
              <w:rPr>
                <w:color w:val="000000"/>
                <w:kern w:val="0"/>
                <w:sz w:val="24"/>
                <w:szCs w:val="24"/>
              </w:rPr>
              <w:t>9.30</w:t>
            </w:r>
          </w:p>
        </w:tc>
      </w:tr>
      <w:tr w:rsidR="00AF07BF">
        <w:tc>
          <w:tcPr>
            <w:tcW w:w="851" w:type="dxa"/>
            <w:vAlign w:val="center"/>
          </w:tcPr>
          <w:p w:rsidR="00AF07BF" w:rsidRDefault="00677317">
            <w:pPr>
              <w:jc w:val="center"/>
            </w:pPr>
            <w:r>
              <w:rPr>
                <w:color w:val="000000"/>
                <w:kern w:val="0"/>
                <w:sz w:val="24"/>
                <w:szCs w:val="24"/>
              </w:rPr>
              <w:t>3</w:t>
            </w:r>
          </w:p>
        </w:tc>
        <w:tc>
          <w:tcPr>
            <w:tcW w:w="1276" w:type="dxa"/>
            <w:vAlign w:val="center"/>
          </w:tcPr>
          <w:p w:rsidR="00AF07BF" w:rsidRDefault="00677317">
            <w:pPr>
              <w:jc w:val="center"/>
            </w:pPr>
            <w:r>
              <w:rPr>
                <w:color w:val="000000"/>
                <w:kern w:val="0"/>
                <w:sz w:val="24"/>
                <w:szCs w:val="24"/>
              </w:rPr>
              <w:t>000858</w:t>
            </w:r>
          </w:p>
        </w:tc>
        <w:tc>
          <w:tcPr>
            <w:tcW w:w="1418" w:type="dxa"/>
            <w:vAlign w:val="center"/>
          </w:tcPr>
          <w:p w:rsidR="00AF07BF" w:rsidRDefault="00677317">
            <w:pPr>
              <w:jc w:val="center"/>
            </w:pPr>
            <w:r>
              <w:rPr>
                <w:color w:val="000000"/>
                <w:kern w:val="0"/>
                <w:sz w:val="24"/>
                <w:szCs w:val="24"/>
              </w:rPr>
              <w:t>五粮液</w:t>
            </w:r>
          </w:p>
        </w:tc>
        <w:tc>
          <w:tcPr>
            <w:tcW w:w="1701" w:type="dxa"/>
            <w:vAlign w:val="center"/>
          </w:tcPr>
          <w:p w:rsidR="00AF07BF" w:rsidRDefault="00677317">
            <w:pPr>
              <w:jc w:val="right"/>
            </w:pPr>
            <w:r>
              <w:rPr>
                <w:color w:val="000000"/>
                <w:kern w:val="0"/>
                <w:sz w:val="24"/>
                <w:szCs w:val="24"/>
              </w:rPr>
              <w:t>4,791,894</w:t>
            </w:r>
          </w:p>
        </w:tc>
        <w:tc>
          <w:tcPr>
            <w:tcW w:w="1984" w:type="dxa"/>
            <w:vAlign w:val="center"/>
          </w:tcPr>
          <w:p w:rsidR="00AF07BF" w:rsidRDefault="00677317">
            <w:pPr>
              <w:jc w:val="right"/>
            </w:pPr>
            <w:r>
              <w:rPr>
                <w:color w:val="000000"/>
                <w:kern w:val="0"/>
                <w:sz w:val="24"/>
                <w:szCs w:val="24"/>
              </w:rPr>
              <w:t>621,987,841.20</w:t>
            </w:r>
          </w:p>
        </w:tc>
        <w:tc>
          <w:tcPr>
            <w:tcW w:w="1559" w:type="dxa"/>
            <w:vAlign w:val="center"/>
          </w:tcPr>
          <w:p w:rsidR="00AF07BF" w:rsidRDefault="00677317">
            <w:pPr>
              <w:jc w:val="right"/>
            </w:pPr>
            <w:r>
              <w:rPr>
                <w:color w:val="000000"/>
                <w:kern w:val="0"/>
                <w:sz w:val="24"/>
                <w:szCs w:val="24"/>
              </w:rPr>
              <w:t>9.26</w:t>
            </w:r>
          </w:p>
        </w:tc>
      </w:tr>
      <w:tr w:rsidR="00AF07BF">
        <w:tc>
          <w:tcPr>
            <w:tcW w:w="851" w:type="dxa"/>
            <w:vAlign w:val="center"/>
          </w:tcPr>
          <w:p w:rsidR="00AF07BF" w:rsidRDefault="00677317">
            <w:pPr>
              <w:jc w:val="center"/>
            </w:pPr>
            <w:r>
              <w:rPr>
                <w:color w:val="000000"/>
                <w:kern w:val="0"/>
                <w:sz w:val="24"/>
                <w:szCs w:val="24"/>
              </w:rPr>
              <w:t>4</w:t>
            </w:r>
          </w:p>
        </w:tc>
        <w:tc>
          <w:tcPr>
            <w:tcW w:w="1276" w:type="dxa"/>
            <w:vAlign w:val="center"/>
          </w:tcPr>
          <w:p w:rsidR="00AF07BF" w:rsidRDefault="00677317">
            <w:pPr>
              <w:jc w:val="center"/>
            </w:pPr>
            <w:r>
              <w:rPr>
                <w:color w:val="000000"/>
                <w:kern w:val="0"/>
                <w:sz w:val="24"/>
                <w:szCs w:val="24"/>
              </w:rPr>
              <w:t>000568</w:t>
            </w:r>
          </w:p>
        </w:tc>
        <w:tc>
          <w:tcPr>
            <w:tcW w:w="1418" w:type="dxa"/>
            <w:vAlign w:val="center"/>
          </w:tcPr>
          <w:p w:rsidR="00AF07BF" w:rsidRDefault="00677317">
            <w:pPr>
              <w:jc w:val="center"/>
            </w:pPr>
            <w:r>
              <w:rPr>
                <w:color w:val="000000"/>
                <w:kern w:val="0"/>
                <w:sz w:val="24"/>
                <w:szCs w:val="24"/>
              </w:rPr>
              <w:t>泸州老窖</w:t>
            </w:r>
          </w:p>
        </w:tc>
        <w:tc>
          <w:tcPr>
            <w:tcW w:w="1701" w:type="dxa"/>
            <w:vAlign w:val="center"/>
          </w:tcPr>
          <w:p w:rsidR="00AF07BF" w:rsidRDefault="00677317">
            <w:pPr>
              <w:jc w:val="right"/>
            </w:pPr>
            <w:r>
              <w:rPr>
                <w:color w:val="000000"/>
                <w:kern w:val="0"/>
                <w:sz w:val="24"/>
                <w:szCs w:val="24"/>
              </w:rPr>
              <w:t>7,070,022</w:t>
            </w:r>
          </w:p>
        </w:tc>
        <w:tc>
          <w:tcPr>
            <w:tcW w:w="1984" w:type="dxa"/>
            <w:vAlign w:val="center"/>
          </w:tcPr>
          <w:p w:rsidR="00AF07BF" w:rsidRDefault="00677317">
            <w:pPr>
              <w:jc w:val="right"/>
            </w:pPr>
            <w:r>
              <w:rPr>
                <w:color w:val="000000"/>
                <w:kern w:val="0"/>
                <w:sz w:val="24"/>
                <w:szCs w:val="24"/>
              </w:rPr>
              <w:t>602,507,274.84</w:t>
            </w:r>
          </w:p>
        </w:tc>
        <w:tc>
          <w:tcPr>
            <w:tcW w:w="1559" w:type="dxa"/>
            <w:vAlign w:val="center"/>
          </w:tcPr>
          <w:p w:rsidR="00AF07BF" w:rsidRDefault="00677317">
            <w:pPr>
              <w:jc w:val="right"/>
            </w:pPr>
            <w:r>
              <w:rPr>
                <w:color w:val="000000"/>
                <w:kern w:val="0"/>
                <w:sz w:val="24"/>
                <w:szCs w:val="24"/>
              </w:rPr>
              <w:t>8.97</w:t>
            </w:r>
          </w:p>
        </w:tc>
      </w:tr>
      <w:tr w:rsidR="00AF07BF">
        <w:tc>
          <w:tcPr>
            <w:tcW w:w="851" w:type="dxa"/>
            <w:vAlign w:val="center"/>
          </w:tcPr>
          <w:p w:rsidR="00AF07BF" w:rsidRDefault="00677317">
            <w:pPr>
              <w:jc w:val="center"/>
            </w:pPr>
            <w:r>
              <w:rPr>
                <w:color w:val="000000"/>
                <w:kern w:val="0"/>
                <w:sz w:val="24"/>
                <w:szCs w:val="24"/>
              </w:rPr>
              <w:t>5</w:t>
            </w:r>
          </w:p>
        </w:tc>
        <w:tc>
          <w:tcPr>
            <w:tcW w:w="1276" w:type="dxa"/>
            <w:vAlign w:val="center"/>
          </w:tcPr>
          <w:p w:rsidR="00AF07BF" w:rsidRDefault="00677317">
            <w:pPr>
              <w:jc w:val="center"/>
            </w:pPr>
            <w:r>
              <w:rPr>
                <w:color w:val="000000"/>
                <w:kern w:val="0"/>
                <w:sz w:val="24"/>
                <w:szCs w:val="24"/>
              </w:rPr>
              <w:t>00700</w:t>
            </w:r>
          </w:p>
        </w:tc>
        <w:tc>
          <w:tcPr>
            <w:tcW w:w="1418" w:type="dxa"/>
            <w:vAlign w:val="center"/>
          </w:tcPr>
          <w:p w:rsidR="00AF07BF" w:rsidRDefault="00677317">
            <w:pPr>
              <w:jc w:val="center"/>
            </w:pPr>
            <w:r>
              <w:rPr>
                <w:color w:val="000000"/>
                <w:kern w:val="0"/>
                <w:sz w:val="24"/>
                <w:szCs w:val="24"/>
              </w:rPr>
              <w:t>腾讯控股</w:t>
            </w:r>
          </w:p>
        </w:tc>
        <w:tc>
          <w:tcPr>
            <w:tcW w:w="1701" w:type="dxa"/>
            <w:vAlign w:val="center"/>
          </w:tcPr>
          <w:p w:rsidR="00AF07BF" w:rsidRDefault="00677317">
            <w:pPr>
              <w:jc w:val="right"/>
            </w:pPr>
            <w:r>
              <w:rPr>
                <w:color w:val="000000"/>
                <w:kern w:val="0"/>
                <w:sz w:val="24"/>
                <w:szCs w:val="24"/>
              </w:rPr>
              <w:t>2,002,000</w:t>
            </w:r>
          </w:p>
        </w:tc>
        <w:tc>
          <w:tcPr>
            <w:tcW w:w="1984" w:type="dxa"/>
            <w:vAlign w:val="center"/>
          </w:tcPr>
          <w:p w:rsidR="00AF07BF" w:rsidRDefault="00677317">
            <w:pPr>
              <w:jc w:val="right"/>
            </w:pPr>
            <w:r>
              <w:rPr>
                <w:color w:val="000000"/>
                <w:kern w:val="0"/>
                <w:sz w:val="24"/>
                <w:szCs w:val="24"/>
              </w:rPr>
              <w:t>596,283,091.40</w:t>
            </w:r>
          </w:p>
        </w:tc>
        <w:tc>
          <w:tcPr>
            <w:tcW w:w="1559" w:type="dxa"/>
            <w:vAlign w:val="center"/>
          </w:tcPr>
          <w:p w:rsidR="00AF07BF" w:rsidRDefault="00677317">
            <w:pPr>
              <w:jc w:val="right"/>
            </w:pPr>
            <w:r>
              <w:rPr>
                <w:color w:val="000000"/>
                <w:kern w:val="0"/>
                <w:sz w:val="24"/>
                <w:szCs w:val="24"/>
              </w:rPr>
              <w:t>8.88</w:t>
            </w:r>
          </w:p>
        </w:tc>
      </w:tr>
      <w:tr w:rsidR="00AF07BF">
        <w:tc>
          <w:tcPr>
            <w:tcW w:w="851" w:type="dxa"/>
            <w:vAlign w:val="center"/>
          </w:tcPr>
          <w:p w:rsidR="00AF07BF" w:rsidRDefault="00677317">
            <w:pPr>
              <w:jc w:val="center"/>
            </w:pPr>
            <w:r>
              <w:rPr>
                <w:color w:val="000000"/>
                <w:kern w:val="0"/>
                <w:sz w:val="24"/>
                <w:szCs w:val="24"/>
              </w:rPr>
              <w:t>6</w:t>
            </w:r>
          </w:p>
        </w:tc>
        <w:tc>
          <w:tcPr>
            <w:tcW w:w="1276" w:type="dxa"/>
            <w:vAlign w:val="center"/>
          </w:tcPr>
          <w:p w:rsidR="00AF07BF" w:rsidRDefault="00677317">
            <w:pPr>
              <w:jc w:val="center"/>
            </w:pPr>
            <w:r>
              <w:rPr>
                <w:color w:val="000000"/>
                <w:kern w:val="0"/>
                <w:sz w:val="24"/>
                <w:szCs w:val="24"/>
              </w:rPr>
              <w:t>00388</w:t>
            </w:r>
          </w:p>
        </w:tc>
        <w:tc>
          <w:tcPr>
            <w:tcW w:w="1418" w:type="dxa"/>
            <w:vAlign w:val="center"/>
          </w:tcPr>
          <w:p w:rsidR="00AF07BF" w:rsidRDefault="00677317">
            <w:pPr>
              <w:jc w:val="center"/>
            </w:pPr>
            <w:r>
              <w:rPr>
                <w:color w:val="000000"/>
                <w:kern w:val="0"/>
                <w:sz w:val="24"/>
                <w:szCs w:val="24"/>
              </w:rPr>
              <w:t>香港交易所</w:t>
            </w:r>
          </w:p>
        </w:tc>
        <w:tc>
          <w:tcPr>
            <w:tcW w:w="1701" w:type="dxa"/>
            <w:vAlign w:val="center"/>
          </w:tcPr>
          <w:p w:rsidR="00AF07BF" w:rsidRDefault="00677317">
            <w:pPr>
              <w:jc w:val="right"/>
            </w:pPr>
            <w:r>
              <w:rPr>
                <w:color w:val="000000"/>
                <w:kern w:val="0"/>
                <w:sz w:val="24"/>
                <w:szCs w:val="24"/>
              </w:rPr>
              <w:t>2,770,000</w:t>
            </w:r>
          </w:p>
        </w:tc>
        <w:tc>
          <w:tcPr>
            <w:tcW w:w="1984" w:type="dxa"/>
            <w:vAlign w:val="center"/>
          </w:tcPr>
          <w:p w:rsidR="00AF07BF" w:rsidRDefault="00677317">
            <w:pPr>
              <w:jc w:val="right"/>
            </w:pPr>
            <w:r>
              <w:rPr>
                <w:color w:val="000000"/>
                <w:kern w:val="0"/>
                <w:sz w:val="24"/>
                <w:szCs w:val="24"/>
              </w:rPr>
              <w:t>574,670,571.00</w:t>
            </w:r>
          </w:p>
        </w:tc>
        <w:tc>
          <w:tcPr>
            <w:tcW w:w="1559" w:type="dxa"/>
            <w:vAlign w:val="center"/>
          </w:tcPr>
          <w:p w:rsidR="00AF07BF" w:rsidRDefault="00677317">
            <w:pPr>
              <w:jc w:val="right"/>
            </w:pPr>
            <w:r>
              <w:rPr>
                <w:color w:val="000000"/>
                <w:kern w:val="0"/>
                <w:sz w:val="24"/>
                <w:szCs w:val="24"/>
              </w:rPr>
              <w:t>8.55</w:t>
            </w:r>
          </w:p>
        </w:tc>
      </w:tr>
      <w:tr w:rsidR="00AF07BF">
        <w:tc>
          <w:tcPr>
            <w:tcW w:w="851" w:type="dxa"/>
            <w:vAlign w:val="center"/>
          </w:tcPr>
          <w:p w:rsidR="00AF07BF" w:rsidRDefault="00677317">
            <w:pPr>
              <w:jc w:val="center"/>
            </w:pPr>
            <w:r>
              <w:rPr>
                <w:color w:val="000000"/>
                <w:kern w:val="0"/>
                <w:sz w:val="24"/>
                <w:szCs w:val="24"/>
              </w:rPr>
              <w:t>7</w:t>
            </w:r>
          </w:p>
        </w:tc>
        <w:tc>
          <w:tcPr>
            <w:tcW w:w="1276" w:type="dxa"/>
            <w:vAlign w:val="center"/>
          </w:tcPr>
          <w:p w:rsidR="00AF07BF" w:rsidRDefault="00677317">
            <w:pPr>
              <w:jc w:val="center"/>
            </w:pPr>
            <w:r>
              <w:rPr>
                <w:color w:val="000000"/>
                <w:kern w:val="0"/>
                <w:sz w:val="24"/>
                <w:szCs w:val="24"/>
              </w:rPr>
              <w:t>01169</w:t>
            </w:r>
          </w:p>
        </w:tc>
        <w:tc>
          <w:tcPr>
            <w:tcW w:w="1418" w:type="dxa"/>
            <w:vAlign w:val="center"/>
          </w:tcPr>
          <w:p w:rsidR="00AF07BF" w:rsidRDefault="00677317">
            <w:pPr>
              <w:jc w:val="center"/>
            </w:pPr>
            <w:r>
              <w:rPr>
                <w:color w:val="000000"/>
                <w:kern w:val="0"/>
                <w:sz w:val="24"/>
                <w:szCs w:val="24"/>
              </w:rPr>
              <w:t>海尔电器</w:t>
            </w:r>
          </w:p>
        </w:tc>
        <w:tc>
          <w:tcPr>
            <w:tcW w:w="1701" w:type="dxa"/>
            <w:vAlign w:val="center"/>
          </w:tcPr>
          <w:p w:rsidR="00AF07BF" w:rsidRDefault="00677317">
            <w:pPr>
              <w:jc w:val="right"/>
            </w:pPr>
            <w:r>
              <w:rPr>
                <w:color w:val="000000"/>
                <w:kern w:val="0"/>
                <w:sz w:val="24"/>
                <w:szCs w:val="24"/>
              </w:rPr>
              <w:t>27,500,000</w:t>
            </w:r>
          </w:p>
        </w:tc>
        <w:tc>
          <w:tcPr>
            <w:tcW w:w="1984" w:type="dxa"/>
            <w:vAlign w:val="center"/>
          </w:tcPr>
          <w:p w:rsidR="00AF07BF" w:rsidRDefault="00677317">
            <w:pPr>
              <w:jc w:val="right"/>
            </w:pPr>
            <w:r>
              <w:rPr>
                <w:color w:val="000000"/>
                <w:kern w:val="0"/>
                <w:sz w:val="24"/>
                <w:szCs w:val="24"/>
              </w:rPr>
              <w:t>507,267,873.75</w:t>
            </w:r>
          </w:p>
        </w:tc>
        <w:tc>
          <w:tcPr>
            <w:tcW w:w="1559" w:type="dxa"/>
            <w:vAlign w:val="center"/>
          </w:tcPr>
          <w:p w:rsidR="00AF07BF" w:rsidRDefault="00677317">
            <w:pPr>
              <w:jc w:val="right"/>
            </w:pPr>
            <w:r>
              <w:rPr>
                <w:color w:val="000000"/>
                <w:kern w:val="0"/>
                <w:sz w:val="24"/>
                <w:szCs w:val="24"/>
              </w:rPr>
              <w:t>7.55</w:t>
            </w:r>
          </w:p>
        </w:tc>
      </w:tr>
      <w:tr w:rsidR="00AF07BF">
        <w:tc>
          <w:tcPr>
            <w:tcW w:w="851" w:type="dxa"/>
            <w:vAlign w:val="center"/>
          </w:tcPr>
          <w:p w:rsidR="00AF07BF" w:rsidRDefault="00677317">
            <w:pPr>
              <w:jc w:val="center"/>
            </w:pPr>
            <w:r>
              <w:rPr>
                <w:color w:val="000000"/>
                <w:kern w:val="0"/>
                <w:sz w:val="24"/>
                <w:szCs w:val="24"/>
              </w:rPr>
              <w:t>8</w:t>
            </w:r>
          </w:p>
        </w:tc>
        <w:tc>
          <w:tcPr>
            <w:tcW w:w="1276" w:type="dxa"/>
            <w:vAlign w:val="center"/>
          </w:tcPr>
          <w:p w:rsidR="00AF07BF" w:rsidRDefault="00677317">
            <w:pPr>
              <w:jc w:val="center"/>
            </w:pPr>
            <w:r>
              <w:rPr>
                <w:color w:val="000000"/>
                <w:kern w:val="0"/>
                <w:sz w:val="24"/>
                <w:szCs w:val="24"/>
              </w:rPr>
              <w:t>02269</w:t>
            </w:r>
          </w:p>
        </w:tc>
        <w:tc>
          <w:tcPr>
            <w:tcW w:w="1418" w:type="dxa"/>
            <w:vAlign w:val="center"/>
          </w:tcPr>
          <w:p w:rsidR="00AF07BF" w:rsidRDefault="00677317">
            <w:pPr>
              <w:jc w:val="center"/>
            </w:pPr>
            <w:r>
              <w:rPr>
                <w:color w:val="000000"/>
                <w:kern w:val="0"/>
                <w:sz w:val="24"/>
                <w:szCs w:val="24"/>
              </w:rPr>
              <w:t>药明生物</w:t>
            </w:r>
          </w:p>
        </w:tc>
        <w:tc>
          <w:tcPr>
            <w:tcW w:w="1701" w:type="dxa"/>
            <w:vAlign w:val="center"/>
          </w:tcPr>
          <w:p w:rsidR="00AF07BF" w:rsidRDefault="00677317">
            <w:pPr>
              <w:jc w:val="right"/>
            </w:pPr>
            <w:r>
              <w:rPr>
                <w:color w:val="000000"/>
                <w:kern w:val="0"/>
                <w:sz w:val="24"/>
                <w:szCs w:val="24"/>
              </w:rPr>
              <w:t>6,470,000</w:t>
            </w:r>
          </w:p>
        </w:tc>
        <w:tc>
          <w:tcPr>
            <w:tcW w:w="1984" w:type="dxa"/>
            <w:vAlign w:val="center"/>
          </w:tcPr>
          <w:p w:rsidR="00AF07BF" w:rsidRDefault="00677317">
            <w:pPr>
              <w:jc w:val="right"/>
            </w:pPr>
            <w:r>
              <w:rPr>
                <w:color w:val="000000"/>
                <w:kern w:val="0"/>
                <w:sz w:val="24"/>
                <w:szCs w:val="24"/>
              </w:rPr>
              <w:t>466,880,376.00</w:t>
            </w:r>
          </w:p>
        </w:tc>
        <w:tc>
          <w:tcPr>
            <w:tcW w:w="1559" w:type="dxa"/>
            <w:vAlign w:val="center"/>
          </w:tcPr>
          <w:p w:rsidR="00AF07BF" w:rsidRDefault="00677317">
            <w:pPr>
              <w:jc w:val="right"/>
            </w:pPr>
            <w:r>
              <w:rPr>
                <w:color w:val="000000"/>
                <w:kern w:val="0"/>
                <w:sz w:val="24"/>
                <w:szCs w:val="24"/>
              </w:rPr>
              <w:t>6.95</w:t>
            </w:r>
          </w:p>
        </w:tc>
      </w:tr>
      <w:tr w:rsidR="00AF07BF">
        <w:tc>
          <w:tcPr>
            <w:tcW w:w="851" w:type="dxa"/>
            <w:vAlign w:val="center"/>
          </w:tcPr>
          <w:p w:rsidR="00AF07BF" w:rsidRDefault="00677317">
            <w:pPr>
              <w:jc w:val="center"/>
            </w:pPr>
            <w:r>
              <w:rPr>
                <w:color w:val="000000"/>
                <w:kern w:val="0"/>
                <w:sz w:val="24"/>
                <w:szCs w:val="24"/>
              </w:rPr>
              <w:t>9</w:t>
            </w:r>
          </w:p>
        </w:tc>
        <w:tc>
          <w:tcPr>
            <w:tcW w:w="1276" w:type="dxa"/>
            <w:vAlign w:val="center"/>
          </w:tcPr>
          <w:p w:rsidR="00AF07BF" w:rsidRDefault="00677317">
            <w:pPr>
              <w:jc w:val="center"/>
            </w:pPr>
            <w:r>
              <w:rPr>
                <w:color w:val="000000"/>
                <w:kern w:val="0"/>
                <w:sz w:val="24"/>
                <w:szCs w:val="24"/>
              </w:rPr>
              <w:t>002007</w:t>
            </w:r>
          </w:p>
        </w:tc>
        <w:tc>
          <w:tcPr>
            <w:tcW w:w="1418" w:type="dxa"/>
            <w:vAlign w:val="center"/>
          </w:tcPr>
          <w:p w:rsidR="00AF07BF" w:rsidRDefault="00677317">
            <w:pPr>
              <w:jc w:val="center"/>
            </w:pPr>
            <w:r>
              <w:rPr>
                <w:color w:val="000000"/>
                <w:kern w:val="0"/>
                <w:sz w:val="24"/>
                <w:szCs w:val="24"/>
              </w:rPr>
              <w:t>华兰生物</w:t>
            </w:r>
          </w:p>
        </w:tc>
        <w:tc>
          <w:tcPr>
            <w:tcW w:w="1701" w:type="dxa"/>
            <w:vAlign w:val="center"/>
          </w:tcPr>
          <w:p w:rsidR="00AF07BF" w:rsidRDefault="00677317">
            <w:pPr>
              <w:jc w:val="right"/>
            </w:pPr>
            <w:r>
              <w:rPr>
                <w:color w:val="000000"/>
                <w:kern w:val="0"/>
                <w:sz w:val="24"/>
                <w:szCs w:val="24"/>
              </w:rPr>
              <w:t>10,600,084</w:t>
            </w:r>
          </w:p>
        </w:tc>
        <w:tc>
          <w:tcPr>
            <w:tcW w:w="1984" w:type="dxa"/>
            <w:vAlign w:val="center"/>
          </w:tcPr>
          <w:p w:rsidR="00AF07BF" w:rsidRDefault="00677317">
            <w:pPr>
              <w:jc w:val="right"/>
            </w:pPr>
            <w:r>
              <w:rPr>
                <w:color w:val="000000"/>
                <w:kern w:val="0"/>
                <w:sz w:val="24"/>
                <w:szCs w:val="24"/>
              </w:rPr>
              <w:t>363,582,881.20</w:t>
            </w:r>
          </w:p>
        </w:tc>
        <w:tc>
          <w:tcPr>
            <w:tcW w:w="1559" w:type="dxa"/>
            <w:vAlign w:val="center"/>
          </w:tcPr>
          <w:p w:rsidR="00AF07BF" w:rsidRDefault="00677317">
            <w:pPr>
              <w:jc w:val="right"/>
            </w:pPr>
            <w:r>
              <w:rPr>
                <w:color w:val="000000"/>
                <w:kern w:val="0"/>
                <w:sz w:val="24"/>
                <w:szCs w:val="24"/>
              </w:rPr>
              <w:t>5.41</w:t>
            </w:r>
          </w:p>
        </w:tc>
      </w:tr>
      <w:tr w:rsidR="00AF07BF">
        <w:tc>
          <w:tcPr>
            <w:tcW w:w="851" w:type="dxa"/>
            <w:vAlign w:val="center"/>
          </w:tcPr>
          <w:p w:rsidR="00AF07BF" w:rsidRDefault="00677317">
            <w:pPr>
              <w:jc w:val="center"/>
            </w:pPr>
            <w:r>
              <w:rPr>
                <w:color w:val="000000"/>
                <w:kern w:val="0"/>
                <w:sz w:val="24"/>
                <w:szCs w:val="24"/>
              </w:rPr>
              <w:t>10</w:t>
            </w:r>
          </w:p>
        </w:tc>
        <w:tc>
          <w:tcPr>
            <w:tcW w:w="1276" w:type="dxa"/>
            <w:vAlign w:val="center"/>
          </w:tcPr>
          <w:p w:rsidR="00AF07BF" w:rsidRDefault="00677317">
            <w:pPr>
              <w:jc w:val="center"/>
            </w:pPr>
            <w:r>
              <w:rPr>
                <w:color w:val="000000"/>
                <w:kern w:val="0"/>
                <w:sz w:val="24"/>
                <w:szCs w:val="24"/>
              </w:rPr>
              <w:t>600009</w:t>
            </w:r>
          </w:p>
        </w:tc>
        <w:tc>
          <w:tcPr>
            <w:tcW w:w="1418" w:type="dxa"/>
            <w:vAlign w:val="center"/>
          </w:tcPr>
          <w:p w:rsidR="00AF07BF" w:rsidRDefault="00677317">
            <w:pPr>
              <w:jc w:val="center"/>
            </w:pPr>
            <w:r>
              <w:rPr>
                <w:color w:val="000000"/>
                <w:kern w:val="0"/>
                <w:sz w:val="24"/>
                <w:szCs w:val="24"/>
              </w:rPr>
              <w:t>上海机场</w:t>
            </w:r>
          </w:p>
        </w:tc>
        <w:tc>
          <w:tcPr>
            <w:tcW w:w="1701" w:type="dxa"/>
            <w:vAlign w:val="center"/>
          </w:tcPr>
          <w:p w:rsidR="00AF07BF" w:rsidRDefault="00677317">
            <w:pPr>
              <w:jc w:val="right"/>
            </w:pPr>
            <w:r>
              <w:rPr>
                <w:color w:val="000000"/>
                <w:kern w:val="0"/>
                <w:sz w:val="24"/>
                <w:szCs w:val="24"/>
              </w:rPr>
              <w:t>4,300,032</w:t>
            </w:r>
          </w:p>
        </w:tc>
        <w:tc>
          <w:tcPr>
            <w:tcW w:w="1984" w:type="dxa"/>
            <w:vAlign w:val="center"/>
          </w:tcPr>
          <w:p w:rsidR="00AF07BF" w:rsidRDefault="00677317">
            <w:pPr>
              <w:jc w:val="right"/>
            </w:pPr>
            <w:r>
              <w:rPr>
                <w:color w:val="000000"/>
                <w:kern w:val="0"/>
                <w:sz w:val="24"/>
                <w:szCs w:val="24"/>
              </w:rPr>
              <w:t>343,056,552.96</w:t>
            </w:r>
          </w:p>
        </w:tc>
        <w:tc>
          <w:tcPr>
            <w:tcW w:w="1559" w:type="dxa"/>
            <w:vAlign w:val="center"/>
          </w:tcPr>
          <w:p w:rsidR="00AF07BF" w:rsidRDefault="00677317">
            <w:pPr>
              <w:jc w:val="right"/>
            </w:pPr>
            <w:r>
              <w:rPr>
                <w:color w:val="000000"/>
                <w:kern w:val="0"/>
                <w:sz w:val="24"/>
                <w:szCs w:val="24"/>
              </w:rPr>
              <w:t>5.11</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90,246,000.00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90,246,000.00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90,246,000.00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F07BF">
        <w:tc>
          <w:tcPr>
            <w:tcW w:w="959" w:type="dxa"/>
            <w:vAlign w:val="center"/>
          </w:tcPr>
          <w:p w:rsidR="00AF07BF" w:rsidRDefault="00677317">
            <w:pPr>
              <w:jc w:val="center"/>
            </w:pPr>
            <w:r>
              <w:rPr>
                <w:color w:val="000000"/>
                <w:kern w:val="0"/>
                <w:sz w:val="24"/>
                <w:szCs w:val="24"/>
              </w:rPr>
              <w:t>1</w:t>
            </w:r>
          </w:p>
        </w:tc>
        <w:tc>
          <w:tcPr>
            <w:tcW w:w="1276" w:type="dxa"/>
            <w:vAlign w:val="center"/>
          </w:tcPr>
          <w:p w:rsidR="00AF07BF" w:rsidRDefault="00677317">
            <w:pPr>
              <w:jc w:val="center"/>
            </w:pPr>
            <w:r>
              <w:rPr>
                <w:color w:val="000000"/>
                <w:kern w:val="0"/>
                <w:sz w:val="24"/>
                <w:szCs w:val="24"/>
              </w:rPr>
              <w:t>170205</w:t>
            </w:r>
          </w:p>
        </w:tc>
        <w:tc>
          <w:tcPr>
            <w:tcW w:w="1275" w:type="dxa"/>
            <w:vAlign w:val="center"/>
          </w:tcPr>
          <w:p w:rsidR="00AF07BF" w:rsidRDefault="00677317">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AF07BF" w:rsidRDefault="00677317">
            <w:pPr>
              <w:jc w:val="right"/>
            </w:pPr>
            <w:r>
              <w:rPr>
                <w:color w:val="000000"/>
                <w:kern w:val="0"/>
                <w:sz w:val="24"/>
                <w:szCs w:val="24"/>
              </w:rPr>
              <w:t>500,000</w:t>
            </w:r>
          </w:p>
        </w:tc>
        <w:tc>
          <w:tcPr>
            <w:tcW w:w="1984" w:type="dxa"/>
            <w:vAlign w:val="center"/>
          </w:tcPr>
          <w:p w:rsidR="00AF07BF" w:rsidRDefault="00677317">
            <w:pPr>
              <w:jc w:val="right"/>
            </w:pPr>
            <w:r>
              <w:rPr>
                <w:color w:val="000000"/>
                <w:kern w:val="0"/>
                <w:sz w:val="24"/>
                <w:szCs w:val="24"/>
              </w:rPr>
              <w:t>50,290,000.00</w:t>
            </w:r>
          </w:p>
        </w:tc>
        <w:tc>
          <w:tcPr>
            <w:tcW w:w="1474" w:type="dxa"/>
            <w:vAlign w:val="center"/>
          </w:tcPr>
          <w:p w:rsidR="00AF07BF" w:rsidRDefault="00677317">
            <w:pPr>
              <w:jc w:val="right"/>
            </w:pPr>
            <w:r>
              <w:rPr>
                <w:color w:val="000000"/>
                <w:kern w:val="0"/>
                <w:sz w:val="24"/>
                <w:szCs w:val="24"/>
              </w:rPr>
              <w:t>0.75</w:t>
            </w:r>
          </w:p>
        </w:tc>
      </w:tr>
      <w:tr w:rsidR="00AF07BF">
        <w:tc>
          <w:tcPr>
            <w:tcW w:w="959" w:type="dxa"/>
            <w:vAlign w:val="center"/>
          </w:tcPr>
          <w:p w:rsidR="00AF07BF" w:rsidRDefault="00677317">
            <w:pPr>
              <w:jc w:val="center"/>
            </w:pPr>
            <w:r>
              <w:rPr>
                <w:color w:val="000000"/>
                <w:kern w:val="0"/>
                <w:sz w:val="24"/>
                <w:szCs w:val="24"/>
              </w:rPr>
              <w:t>2</w:t>
            </w:r>
          </w:p>
        </w:tc>
        <w:tc>
          <w:tcPr>
            <w:tcW w:w="1276" w:type="dxa"/>
            <w:vAlign w:val="center"/>
          </w:tcPr>
          <w:p w:rsidR="00AF07BF" w:rsidRDefault="00677317">
            <w:pPr>
              <w:jc w:val="center"/>
            </w:pPr>
            <w:r>
              <w:rPr>
                <w:color w:val="000000"/>
                <w:kern w:val="0"/>
                <w:sz w:val="24"/>
                <w:szCs w:val="24"/>
              </w:rPr>
              <w:t>190402</w:t>
            </w:r>
          </w:p>
        </w:tc>
        <w:tc>
          <w:tcPr>
            <w:tcW w:w="1275" w:type="dxa"/>
            <w:vAlign w:val="center"/>
          </w:tcPr>
          <w:p w:rsidR="00AF07BF" w:rsidRDefault="00677317">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1560" w:type="dxa"/>
            <w:vAlign w:val="center"/>
          </w:tcPr>
          <w:p w:rsidR="00AF07BF" w:rsidRDefault="00677317">
            <w:pPr>
              <w:jc w:val="right"/>
            </w:pPr>
            <w:r>
              <w:rPr>
                <w:color w:val="000000"/>
                <w:kern w:val="0"/>
                <w:sz w:val="24"/>
                <w:szCs w:val="24"/>
              </w:rPr>
              <w:t>400,000</w:t>
            </w:r>
          </w:p>
        </w:tc>
        <w:tc>
          <w:tcPr>
            <w:tcW w:w="1984" w:type="dxa"/>
            <w:vAlign w:val="center"/>
          </w:tcPr>
          <w:p w:rsidR="00AF07BF" w:rsidRDefault="00677317">
            <w:pPr>
              <w:jc w:val="right"/>
            </w:pPr>
            <w:r>
              <w:rPr>
                <w:color w:val="000000"/>
                <w:kern w:val="0"/>
                <w:sz w:val="24"/>
                <w:szCs w:val="24"/>
              </w:rPr>
              <w:t>39,956,000.00</w:t>
            </w:r>
          </w:p>
        </w:tc>
        <w:tc>
          <w:tcPr>
            <w:tcW w:w="1474" w:type="dxa"/>
            <w:vAlign w:val="center"/>
          </w:tcPr>
          <w:p w:rsidR="00AF07BF" w:rsidRDefault="00677317">
            <w:pPr>
              <w:jc w:val="right"/>
            </w:pPr>
            <w:r>
              <w:rPr>
                <w:color w:val="000000"/>
                <w:kern w:val="0"/>
                <w:sz w:val="24"/>
                <w:szCs w:val="24"/>
              </w:rPr>
              <w:t>0.59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2,249,214.55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7,494,101.08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1,533,848.10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4,694,122.89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15,971,286.62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1,852,033,958.76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5,688,437,929.75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2,722,827,671.51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4,817,644,217.00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AF07BF" w:rsidRDefault="00677317">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中国证监会准予易方达蓝筹精选混合型证券投资基金注册的文件；</w:t>
      </w:r>
    </w:p>
    <w:p w:rsidR="00AF07BF" w:rsidRDefault="00677317">
      <w:pPr>
        <w:spacing w:line="360" w:lineRule="auto"/>
        <w:ind w:firstLineChars="200" w:firstLine="480"/>
        <w:rPr>
          <w:color w:val="000000"/>
          <w:sz w:val="24"/>
          <w:szCs w:val="24"/>
        </w:rPr>
      </w:pPr>
      <w:r>
        <w:rPr>
          <w:color w:val="000000"/>
          <w:sz w:val="24"/>
          <w:szCs w:val="24"/>
        </w:rPr>
        <w:t>2.</w:t>
      </w:r>
      <w:r>
        <w:rPr>
          <w:color w:val="000000"/>
          <w:sz w:val="24"/>
          <w:szCs w:val="24"/>
        </w:rPr>
        <w:t>《易方达蓝筹精选混合型证券投资基金基金合同》；</w:t>
      </w:r>
    </w:p>
    <w:p w:rsidR="00AF07BF" w:rsidRDefault="00677317">
      <w:pPr>
        <w:spacing w:line="360" w:lineRule="auto"/>
        <w:ind w:firstLineChars="200" w:firstLine="480"/>
        <w:rPr>
          <w:color w:val="000000"/>
          <w:sz w:val="24"/>
          <w:szCs w:val="24"/>
        </w:rPr>
      </w:pPr>
      <w:r>
        <w:rPr>
          <w:color w:val="000000"/>
          <w:sz w:val="24"/>
          <w:szCs w:val="24"/>
        </w:rPr>
        <w:t>3.</w:t>
      </w:r>
      <w:r>
        <w:rPr>
          <w:color w:val="000000"/>
          <w:sz w:val="24"/>
          <w:szCs w:val="24"/>
        </w:rPr>
        <w:t>《易方达蓝筹精选混合型证券投资基金托管协议》；</w:t>
      </w:r>
    </w:p>
    <w:p w:rsidR="00AF07BF" w:rsidRDefault="00677317">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77317">
      <w:rPr>
        <w:rStyle w:val="a7"/>
        <w:noProof/>
      </w:rPr>
      <w:t>1</w:t>
    </w:r>
    <w:r>
      <w:rPr>
        <w:rStyle w:val="a7"/>
      </w:rPr>
      <w:fldChar w:fldCharType="end"/>
    </w:r>
    <w:r>
      <w:rPr>
        <w:rStyle w:val="a7"/>
        <w:rFonts w:hint="eastAsia"/>
      </w:rPr>
      <w:t>页共</w:t>
    </w:r>
    <w:r w:rsidR="00677317">
      <w:fldChar w:fldCharType="begin"/>
    </w:r>
    <w:r w:rsidR="00677317">
      <w:instrText xml:space="preserve"> NUMPAGES  \* Arabic  \* MERGEFORMAT </w:instrText>
    </w:r>
    <w:r w:rsidR="00677317">
      <w:fldChar w:fldCharType="separate"/>
    </w:r>
    <w:r w:rsidR="00677317" w:rsidRPr="00677317">
      <w:rPr>
        <w:rStyle w:val="a7"/>
        <w:noProof/>
      </w:rPr>
      <w:t>3</w:t>
    </w:r>
    <w:r w:rsidR="0067731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77317">
      <w:rPr>
        <w:rStyle w:val="a7"/>
        <w:noProof/>
      </w:rPr>
      <w:t>12</w:t>
    </w:r>
    <w:r>
      <w:rPr>
        <w:rStyle w:val="a7"/>
      </w:rPr>
      <w:fldChar w:fldCharType="end"/>
    </w:r>
    <w:r>
      <w:rPr>
        <w:rStyle w:val="a7"/>
        <w:rFonts w:hint="eastAsia"/>
      </w:rPr>
      <w:t>页共</w:t>
    </w:r>
    <w:fldSimple w:instr=" NUMPAGES  \* Arabic  \* MERGEFORMAT ">
      <w:r w:rsidR="00677317" w:rsidRPr="00677317">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易方达蓝筹精选混合型证券投资基金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77317"/>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07BF"/>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5711-BC9E-49F3-9E3B-777EA60D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