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D48" w:rsidRPr="00264E55" w:rsidRDefault="00750D48" w:rsidP="004061AC">
      <w:pPr>
        <w:autoSpaceDE w:val="0"/>
        <w:autoSpaceDN w:val="0"/>
        <w:adjustRightInd w:val="0"/>
        <w:spacing w:line="360" w:lineRule="auto"/>
        <w:jc w:val="left"/>
        <w:rPr>
          <w:rFonts w:ascii="宋体"/>
          <w:color w:val="000000"/>
          <w:kern w:val="0"/>
          <w:sz w:val="24"/>
          <w:szCs w:val="24"/>
        </w:rPr>
      </w:pPr>
      <w:bookmarkStart w:id="0" w:name="_GoBack"/>
      <w:bookmarkEnd w:id="0"/>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542546">
      <w:pPr>
        <w:spacing w:line="360" w:lineRule="auto"/>
        <w:jc w:val="center"/>
        <w:rPr>
          <w:rFonts w:ascii="宋体" w:hAnsi="宋体"/>
          <w:b/>
          <w:sz w:val="36"/>
          <w:szCs w:val="36"/>
        </w:rPr>
      </w:pPr>
      <w:r w:rsidRPr="00264E55">
        <w:rPr>
          <w:rFonts w:ascii="宋体" w:hAnsi="宋体"/>
          <w:b/>
          <w:sz w:val="36"/>
          <w:szCs w:val="36"/>
        </w:rPr>
        <w:t>易方达富财纯债债券型证券投资基金</w:t>
      </w:r>
    </w:p>
    <w:p w:rsidR="00750D48" w:rsidRPr="00264E55" w:rsidRDefault="00750D48" w:rsidP="00542546">
      <w:pPr>
        <w:spacing w:line="360" w:lineRule="auto"/>
        <w:jc w:val="center"/>
        <w:rPr>
          <w:rFonts w:ascii="宋体" w:hAnsi="宋体"/>
          <w:b/>
          <w:sz w:val="36"/>
          <w:szCs w:val="36"/>
        </w:rPr>
      </w:pPr>
      <w:r w:rsidRPr="00264E55">
        <w:rPr>
          <w:rFonts w:ascii="宋体" w:hAnsi="宋体"/>
          <w:b/>
          <w:sz w:val="36"/>
          <w:szCs w:val="36"/>
        </w:rPr>
        <w:t>2019年第3季度报告</w:t>
      </w:r>
    </w:p>
    <w:p w:rsidR="00750D48" w:rsidRPr="00093704" w:rsidRDefault="00750D48" w:rsidP="00542546">
      <w:pPr>
        <w:spacing w:line="360" w:lineRule="auto"/>
        <w:jc w:val="center"/>
        <w:rPr>
          <w:rFonts w:ascii="宋体" w:hAnsi="宋体"/>
          <w:b/>
          <w:sz w:val="24"/>
          <w:szCs w:val="24"/>
        </w:rPr>
      </w:pPr>
      <w:r w:rsidRPr="00093704">
        <w:rPr>
          <w:rFonts w:ascii="宋体" w:hAnsi="宋体"/>
          <w:b/>
          <w:sz w:val="24"/>
          <w:szCs w:val="24"/>
        </w:rPr>
        <w:t>2019年9月30日</w:t>
      </w: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rPr>
          <w:rFonts w:ascii="宋体"/>
          <w:b/>
          <w:bCs/>
          <w:color w:val="000000"/>
          <w:sz w:val="24"/>
          <w:szCs w:val="24"/>
        </w:rPr>
      </w:pPr>
    </w:p>
    <w:p w:rsidR="00750D48" w:rsidRPr="00264E55" w:rsidRDefault="00750D48" w:rsidP="00EB572F">
      <w:pPr>
        <w:spacing w:line="360" w:lineRule="auto"/>
        <w:ind w:firstLineChars="900" w:firstLine="2168"/>
        <w:rPr>
          <w:rFonts w:ascii="宋体" w:hAnsi="宋体"/>
          <w:b/>
          <w:color w:val="000000"/>
          <w:sz w:val="24"/>
          <w:szCs w:val="24"/>
        </w:rPr>
      </w:pPr>
      <w:r w:rsidRPr="00264E55">
        <w:rPr>
          <w:rFonts w:ascii="宋体" w:hAnsi="宋体" w:hint="eastAsia"/>
          <w:b/>
          <w:color w:val="000000"/>
          <w:sz w:val="24"/>
          <w:szCs w:val="24"/>
        </w:rPr>
        <w:t>基金管理人：</w:t>
      </w:r>
      <w:r w:rsidRPr="00264E55">
        <w:rPr>
          <w:rFonts w:ascii="宋体" w:hAnsi="宋体"/>
          <w:b/>
          <w:color w:val="000000"/>
          <w:sz w:val="24"/>
          <w:szCs w:val="24"/>
        </w:rPr>
        <w:t>易方达基金管理有限公司</w:t>
      </w:r>
    </w:p>
    <w:p w:rsidR="00750D48" w:rsidRPr="00264E55" w:rsidRDefault="00750D48" w:rsidP="00EB572F">
      <w:pPr>
        <w:spacing w:line="360" w:lineRule="auto"/>
        <w:ind w:firstLineChars="900" w:firstLine="2168"/>
        <w:rPr>
          <w:rFonts w:ascii="宋体" w:hAnsi="宋体"/>
          <w:b/>
          <w:color w:val="000000"/>
          <w:sz w:val="24"/>
          <w:szCs w:val="24"/>
        </w:rPr>
      </w:pPr>
      <w:r w:rsidRPr="00264E55">
        <w:rPr>
          <w:rFonts w:ascii="宋体" w:hAnsi="宋体" w:hint="eastAsia"/>
          <w:b/>
          <w:color w:val="000000"/>
          <w:sz w:val="24"/>
          <w:szCs w:val="24"/>
        </w:rPr>
        <w:t>基金托管人：</w:t>
      </w:r>
      <w:r w:rsidRPr="00264E55">
        <w:rPr>
          <w:rFonts w:ascii="宋体" w:hAnsi="宋体"/>
          <w:b/>
          <w:color w:val="000000"/>
          <w:sz w:val="24"/>
          <w:szCs w:val="24"/>
        </w:rPr>
        <w:t>兴业银行股份有限公司</w:t>
      </w:r>
    </w:p>
    <w:p w:rsidR="00750D48" w:rsidRPr="00264E55" w:rsidRDefault="00750D48" w:rsidP="00EB572F">
      <w:pPr>
        <w:spacing w:line="360" w:lineRule="auto"/>
        <w:ind w:firstLineChars="900" w:firstLine="2168"/>
        <w:rPr>
          <w:rFonts w:ascii="宋体" w:hAnsi="宋体"/>
          <w:b/>
          <w:color w:val="000000"/>
          <w:sz w:val="24"/>
          <w:szCs w:val="24"/>
        </w:rPr>
        <w:sectPr w:rsidR="00750D48" w:rsidRPr="00264E55" w:rsidSect="00304A12">
          <w:headerReference w:type="default" r:id="rId8"/>
          <w:footerReference w:type="default" r:id="rId9"/>
          <w:pgSz w:w="11926" w:h="15840"/>
          <w:pgMar w:top="1418" w:right="1418" w:bottom="851" w:left="1418" w:header="851" w:footer="992" w:gutter="0"/>
          <w:cols w:space="720"/>
          <w:noEndnote/>
        </w:sectPr>
      </w:pPr>
      <w:r w:rsidRPr="00264E55">
        <w:rPr>
          <w:rFonts w:ascii="宋体" w:hAnsi="宋体" w:hint="eastAsia"/>
          <w:b/>
          <w:color w:val="000000"/>
          <w:sz w:val="24"/>
          <w:szCs w:val="24"/>
        </w:rPr>
        <w:t>报告送出日期：</w:t>
      </w:r>
      <w:r w:rsidRPr="00264E55">
        <w:rPr>
          <w:rFonts w:ascii="宋体" w:hAnsi="宋体"/>
          <w:b/>
          <w:color w:val="000000"/>
          <w:sz w:val="24"/>
          <w:szCs w:val="24"/>
        </w:rPr>
        <w:t>二〇一九年十月二十四日</w:t>
      </w:r>
    </w:p>
    <w:p w:rsidR="00750D48" w:rsidRPr="00264E55" w:rsidRDefault="00750D48" w:rsidP="004D28A3">
      <w:pPr>
        <w:pStyle w:val="1"/>
        <w:spacing w:beforeLines="100" w:before="312" w:afterLines="100" w:after="312" w:line="360" w:lineRule="auto"/>
        <w:jc w:val="center"/>
        <w:rPr>
          <w:rFonts w:ascii="宋体"/>
          <w:b w:val="0"/>
          <w:bCs w:val="0"/>
          <w:color w:val="000000"/>
          <w:kern w:val="0"/>
          <w:sz w:val="24"/>
          <w:szCs w:val="24"/>
        </w:rPr>
      </w:pPr>
      <w:r w:rsidRPr="00264E55">
        <w:rPr>
          <w:rFonts w:ascii="宋体" w:hAnsi="宋体" w:hint="eastAsia"/>
          <w:color w:val="000000"/>
          <w:kern w:val="0"/>
          <w:sz w:val="24"/>
          <w:szCs w:val="24"/>
        </w:rPr>
        <w:lastRenderedPageBreak/>
        <w:t>§</w:t>
      </w:r>
      <w:r w:rsidRPr="00264E55">
        <w:rPr>
          <w:rFonts w:ascii="宋体" w:hAnsi="宋体"/>
          <w:color w:val="000000"/>
          <w:kern w:val="0"/>
          <w:sz w:val="24"/>
          <w:szCs w:val="24"/>
        </w:rPr>
        <w:t xml:space="preserve">1  </w:t>
      </w:r>
      <w:r w:rsidRPr="00264E55">
        <w:rPr>
          <w:rFonts w:ascii="宋体" w:hAnsi="宋体" w:hint="eastAsia"/>
          <w:color w:val="000000"/>
          <w:kern w:val="0"/>
          <w:sz w:val="24"/>
          <w:szCs w:val="24"/>
        </w:rPr>
        <w:t>重要提示</w:t>
      </w:r>
    </w:p>
    <w:p w:rsidR="009D59E5" w:rsidRDefault="00847168">
      <w:pPr>
        <w:spacing w:line="360" w:lineRule="auto"/>
        <w:ind w:firstLineChars="200" w:firstLine="480"/>
        <w:rPr>
          <w:color w:val="000000"/>
          <w:sz w:val="24"/>
          <w:szCs w:val="24"/>
        </w:rPr>
      </w:pPr>
      <w:r>
        <w:rPr>
          <w:color w:val="000000"/>
          <w:sz w:val="24"/>
          <w:szCs w:val="24"/>
        </w:rPr>
        <w:t>基金管理人的董事会及董事保证本报告所载资料不存在虚假记载、误导性陈述或重大遗漏，并对其内容的真实性、准确性和完整性承担个别及连带责任。</w:t>
      </w:r>
      <w:r>
        <w:rPr>
          <w:color w:val="000000"/>
          <w:sz w:val="24"/>
          <w:szCs w:val="24"/>
        </w:rPr>
        <w:t xml:space="preserve"> </w:t>
      </w:r>
    </w:p>
    <w:p w:rsidR="009D59E5" w:rsidRDefault="00847168">
      <w:pPr>
        <w:spacing w:line="360" w:lineRule="auto"/>
        <w:ind w:firstLineChars="200" w:firstLine="480"/>
        <w:rPr>
          <w:color w:val="000000"/>
          <w:sz w:val="24"/>
          <w:szCs w:val="24"/>
        </w:rPr>
      </w:pPr>
      <w:r>
        <w:rPr>
          <w:color w:val="000000"/>
          <w:sz w:val="24"/>
          <w:szCs w:val="24"/>
        </w:rPr>
        <w:t>基金托管人兴业银行股份有限公司根据本基金合同规定，于</w:t>
      </w:r>
      <w:r>
        <w:rPr>
          <w:color w:val="000000"/>
          <w:sz w:val="24"/>
          <w:szCs w:val="24"/>
        </w:rPr>
        <w:t>2019</w:t>
      </w:r>
      <w:r>
        <w:rPr>
          <w:color w:val="000000"/>
          <w:sz w:val="24"/>
          <w:szCs w:val="24"/>
        </w:rPr>
        <w:t>年</w:t>
      </w:r>
      <w:r>
        <w:rPr>
          <w:color w:val="000000"/>
          <w:sz w:val="24"/>
          <w:szCs w:val="24"/>
        </w:rPr>
        <w:t>10</w:t>
      </w:r>
      <w:r>
        <w:rPr>
          <w:color w:val="000000"/>
          <w:sz w:val="24"/>
          <w:szCs w:val="24"/>
        </w:rPr>
        <w:t>月</w:t>
      </w:r>
      <w:r>
        <w:rPr>
          <w:color w:val="000000"/>
          <w:sz w:val="24"/>
          <w:szCs w:val="24"/>
        </w:rPr>
        <w:t>22</w:t>
      </w:r>
      <w:r>
        <w:rPr>
          <w:color w:val="000000"/>
          <w:sz w:val="24"/>
          <w:szCs w:val="24"/>
        </w:rPr>
        <w:t>日复核了本报告中的财务指标、净值表现和投资组合报告等内容，保证复核内容不存在虚假记载、误导性陈述或者重大遗漏。</w:t>
      </w:r>
      <w:r>
        <w:rPr>
          <w:color w:val="000000"/>
          <w:sz w:val="24"/>
          <w:szCs w:val="24"/>
        </w:rPr>
        <w:t xml:space="preserve"> </w:t>
      </w:r>
    </w:p>
    <w:p w:rsidR="009D59E5" w:rsidRDefault="00847168">
      <w:pPr>
        <w:spacing w:line="360" w:lineRule="auto"/>
        <w:ind w:firstLineChars="200" w:firstLine="480"/>
        <w:rPr>
          <w:color w:val="000000"/>
          <w:sz w:val="24"/>
          <w:szCs w:val="24"/>
        </w:rPr>
      </w:pPr>
      <w:r>
        <w:rPr>
          <w:color w:val="000000"/>
          <w:sz w:val="24"/>
          <w:szCs w:val="24"/>
        </w:rPr>
        <w:t>基金管理人承诺以诚实信用、勤勉尽责的原则管理和运用基金资产，但不保证基金一定盈利。</w:t>
      </w:r>
      <w:r>
        <w:rPr>
          <w:color w:val="000000"/>
          <w:sz w:val="24"/>
          <w:szCs w:val="24"/>
        </w:rPr>
        <w:t xml:space="preserve"> </w:t>
      </w:r>
    </w:p>
    <w:p w:rsidR="009D59E5" w:rsidRDefault="00847168">
      <w:pPr>
        <w:spacing w:line="360" w:lineRule="auto"/>
        <w:ind w:firstLineChars="200" w:firstLine="480"/>
        <w:rPr>
          <w:color w:val="000000"/>
          <w:sz w:val="24"/>
          <w:szCs w:val="24"/>
        </w:rPr>
      </w:pPr>
      <w:r>
        <w:rPr>
          <w:color w:val="000000"/>
          <w:sz w:val="24"/>
          <w:szCs w:val="24"/>
        </w:rPr>
        <w:t>基金的过往业绩并不代表其未来表现。投资有风险，投资者在作出投资决策前应仔细阅读本基金的招募说明书。</w:t>
      </w:r>
      <w:r>
        <w:rPr>
          <w:color w:val="000000"/>
          <w:sz w:val="24"/>
          <w:szCs w:val="24"/>
        </w:rPr>
        <w:t xml:space="preserve"> </w:t>
      </w:r>
    </w:p>
    <w:p w:rsidR="009D59E5" w:rsidRDefault="00847168">
      <w:pPr>
        <w:spacing w:line="360" w:lineRule="auto"/>
        <w:ind w:firstLineChars="200" w:firstLine="480"/>
        <w:rPr>
          <w:color w:val="000000"/>
          <w:sz w:val="24"/>
          <w:szCs w:val="24"/>
        </w:rPr>
      </w:pPr>
      <w:r>
        <w:rPr>
          <w:color w:val="000000"/>
          <w:sz w:val="24"/>
          <w:szCs w:val="24"/>
        </w:rPr>
        <w:t>本报告中财务资料未经审计。</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本报告期自</w:t>
      </w:r>
      <w:r w:rsidRPr="006C56AA">
        <w:rPr>
          <w:color w:val="000000"/>
          <w:sz w:val="24"/>
          <w:szCs w:val="24"/>
        </w:rPr>
        <w:t>2019</w:t>
      </w:r>
      <w:r w:rsidRPr="006C56AA">
        <w:rPr>
          <w:color w:val="000000"/>
          <w:sz w:val="24"/>
          <w:szCs w:val="24"/>
        </w:rPr>
        <w:t>年</w:t>
      </w:r>
      <w:r w:rsidRPr="006C56AA">
        <w:rPr>
          <w:color w:val="000000"/>
          <w:sz w:val="24"/>
          <w:szCs w:val="24"/>
        </w:rPr>
        <w:t>7</w:t>
      </w:r>
      <w:r w:rsidRPr="006C56AA">
        <w:rPr>
          <w:color w:val="000000"/>
          <w:sz w:val="24"/>
          <w:szCs w:val="24"/>
        </w:rPr>
        <w:t>月</w:t>
      </w:r>
      <w:r w:rsidRPr="006C56AA">
        <w:rPr>
          <w:color w:val="000000"/>
          <w:sz w:val="24"/>
          <w:szCs w:val="24"/>
        </w:rPr>
        <w:t>1</w:t>
      </w:r>
      <w:r w:rsidRPr="006C56AA">
        <w:rPr>
          <w:color w:val="000000"/>
          <w:sz w:val="24"/>
          <w:szCs w:val="24"/>
        </w:rPr>
        <w:t>日起至</w:t>
      </w:r>
      <w:r w:rsidRPr="006C56AA">
        <w:rPr>
          <w:color w:val="000000"/>
          <w:sz w:val="24"/>
          <w:szCs w:val="24"/>
        </w:rPr>
        <w:t>9</w:t>
      </w:r>
      <w:r w:rsidRPr="006C56AA">
        <w:rPr>
          <w:color w:val="000000"/>
          <w:sz w:val="24"/>
          <w:szCs w:val="24"/>
        </w:rPr>
        <w:t>月</w:t>
      </w:r>
      <w:r w:rsidRPr="006C56AA">
        <w:rPr>
          <w:color w:val="000000"/>
          <w:sz w:val="24"/>
          <w:szCs w:val="24"/>
        </w:rPr>
        <w:t>30</w:t>
      </w:r>
      <w:r w:rsidRPr="006C56AA">
        <w:rPr>
          <w:color w:val="000000"/>
          <w:sz w:val="24"/>
          <w:szCs w:val="24"/>
        </w:rPr>
        <w:t>日止。</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2  </w:t>
      </w:r>
      <w:r w:rsidRPr="00264E55">
        <w:rPr>
          <w:rFonts w:ascii="宋体" w:hAnsi="宋体" w:hint="eastAsia"/>
          <w:color w:val="000000"/>
          <w:kern w:val="0"/>
          <w:sz w:val="24"/>
          <w:szCs w:val="24"/>
        </w:rPr>
        <w:t>基金产品概况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5479"/>
      </w:tblGrid>
      <w:tr w:rsidR="00750D48" w:rsidRPr="00264E55" w:rsidTr="00500A03">
        <w:tc>
          <w:tcPr>
            <w:tcW w:w="2835" w:type="dxa"/>
          </w:tcPr>
          <w:p w:rsidR="00750D48" w:rsidRPr="00232B03" w:rsidRDefault="00750D48" w:rsidP="007B5AFB">
            <w:pPr>
              <w:adjustRightInd w:val="0"/>
              <w:spacing w:before="29" w:line="360" w:lineRule="auto"/>
              <w:ind w:left="17"/>
              <w:jc w:val="left"/>
              <w:rPr>
                <w:kern w:val="0"/>
                <w:sz w:val="24"/>
                <w:szCs w:val="24"/>
              </w:rPr>
            </w:pPr>
            <w:r w:rsidRPr="00232B03">
              <w:rPr>
                <w:kern w:val="0"/>
                <w:sz w:val="24"/>
                <w:szCs w:val="24"/>
              </w:rPr>
              <w:t>基金简称</w:t>
            </w:r>
          </w:p>
        </w:tc>
        <w:tc>
          <w:tcPr>
            <w:tcW w:w="5479" w:type="dxa"/>
          </w:tcPr>
          <w:p w:rsidR="00750D48" w:rsidRPr="00232B03" w:rsidRDefault="00750D48" w:rsidP="007B5AFB">
            <w:pPr>
              <w:adjustRightInd w:val="0"/>
              <w:spacing w:before="29" w:line="360" w:lineRule="auto"/>
              <w:ind w:left="17"/>
              <w:jc w:val="left"/>
              <w:rPr>
                <w:color w:val="000000"/>
                <w:kern w:val="0"/>
                <w:sz w:val="24"/>
                <w:szCs w:val="24"/>
              </w:rPr>
            </w:pPr>
            <w:r w:rsidRPr="00232B03">
              <w:rPr>
                <w:color w:val="000000"/>
                <w:kern w:val="0"/>
                <w:sz w:val="24"/>
                <w:szCs w:val="24"/>
              </w:rPr>
              <w:t>易方达富财纯债债券</w:t>
            </w:r>
          </w:p>
        </w:tc>
      </w:tr>
      <w:tr w:rsidR="00750D48" w:rsidRPr="00264E55" w:rsidTr="00D94B8D">
        <w:tc>
          <w:tcPr>
            <w:tcW w:w="2835" w:type="dxa"/>
          </w:tcPr>
          <w:p w:rsidR="00750D48" w:rsidRPr="00232B03" w:rsidRDefault="00750D48">
            <w:pPr>
              <w:adjustRightInd w:val="0"/>
              <w:spacing w:before="29" w:line="360" w:lineRule="auto"/>
              <w:ind w:left="17"/>
              <w:jc w:val="left"/>
              <w:rPr>
                <w:kern w:val="0"/>
                <w:sz w:val="24"/>
                <w:szCs w:val="24"/>
              </w:rPr>
            </w:pPr>
            <w:r w:rsidRPr="00232B03">
              <w:rPr>
                <w:kern w:val="0"/>
                <w:sz w:val="24"/>
                <w:szCs w:val="24"/>
              </w:rPr>
              <w:t>基金主代码</w:t>
            </w:r>
          </w:p>
        </w:tc>
        <w:tc>
          <w:tcPr>
            <w:tcW w:w="5479" w:type="dxa"/>
          </w:tcPr>
          <w:p w:rsidR="00750D48" w:rsidRPr="00232B03" w:rsidRDefault="00750D48">
            <w:pPr>
              <w:adjustRightInd w:val="0"/>
              <w:spacing w:before="29" w:line="360" w:lineRule="auto"/>
              <w:ind w:left="17"/>
              <w:jc w:val="left"/>
              <w:rPr>
                <w:color w:val="000000"/>
                <w:kern w:val="0"/>
                <w:sz w:val="24"/>
                <w:szCs w:val="24"/>
              </w:rPr>
            </w:pPr>
            <w:r w:rsidRPr="00232B03">
              <w:rPr>
                <w:color w:val="000000"/>
                <w:kern w:val="0"/>
                <w:sz w:val="24"/>
                <w:szCs w:val="24"/>
              </w:rPr>
              <w:t>005667</w:t>
            </w:r>
          </w:p>
        </w:tc>
      </w:tr>
      <w:tr w:rsidR="00750D48" w:rsidRPr="00264E55" w:rsidTr="00D94B8D">
        <w:tc>
          <w:tcPr>
            <w:tcW w:w="2835" w:type="dxa"/>
          </w:tcPr>
          <w:p w:rsidR="00750D48" w:rsidRPr="00232B03" w:rsidRDefault="00750D48" w:rsidP="00895A8A">
            <w:pPr>
              <w:adjustRightInd w:val="0"/>
              <w:spacing w:before="29" w:line="360" w:lineRule="auto"/>
              <w:ind w:left="17"/>
              <w:jc w:val="left"/>
              <w:rPr>
                <w:kern w:val="0"/>
                <w:sz w:val="24"/>
                <w:szCs w:val="24"/>
              </w:rPr>
            </w:pPr>
            <w:r w:rsidRPr="00232B03">
              <w:rPr>
                <w:kern w:val="0"/>
                <w:sz w:val="24"/>
                <w:szCs w:val="24"/>
              </w:rPr>
              <w:t>交易代码</w:t>
            </w:r>
          </w:p>
        </w:tc>
        <w:tc>
          <w:tcPr>
            <w:tcW w:w="5479" w:type="dxa"/>
          </w:tcPr>
          <w:p w:rsidR="00750D48" w:rsidRPr="00232B03" w:rsidRDefault="00750D48" w:rsidP="00895A8A">
            <w:pPr>
              <w:adjustRightInd w:val="0"/>
              <w:spacing w:before="29" w:line="360" w:lineRule="auto"/>
              <w:ind w:left="17"/>
              <w:jc w:val="left"/>
              <w:rPr>
                <w:color w:val="000000"/>
                <w:kern w:val="0"/>
                <w:sz w:val="24"/>
                <w:szCs w:val="24"/>
              </w:rPr>
            </w:pPr>
            <w:r w:rsidRPr="00232B03">
              <w:rPr>
                <w:kern w:val="0"/>
                <w:sz w:val="24"/>
              </w:rPr>
              <w:t>005667</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基金运作方式</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契约型开放式</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基金合同生效日</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2018</w:t>
            </w:r>
            <w:r w:rsidRPr="00232B03">
              <w:rPr>
                <w:color w:val="000000"/>
                <w:kern w:val="0"/>
                <w:sz w:val="24"/>
                <w:szCs w:val="24"/>
              </w:rPr>
              <w:t>年</w:t>
            </w:r>
            <w:r w:rsidRPr="00232B03">
              <w:rPr>
                <w:color w:val="000000"/>
                <w:kern w:val="0"/>
                <w:sz w:val="24"/>
                <w:szCs w:val="24"/>
              </w:rPr>
              <w:t>10</w:t>
            </w:r>
            <w:r w:rsidRPr="00232B03">
              <w:rPr>
                <w:color w:val="000000"/>
                <w:kern w:val="0"/>
                <w:sz w:val="24"/>
                <w:szCs w:val="24"/>
              </w:rPr>
              <w:t>月</w:t>
            </w:r>
            <w:r w:rsidRPr="00232B03">
              <w:rPr>
                <w:color w:val="000000"/>
                <w:kern w:val="0"/>
                <w:sz w:val="24"/>
                <w:szCs w:val="24"/>
              </w:rPr>
              <w:t>26</w:t>
            </w:r>
            <w:r w:rsidRPr="00232B03">
              <w:rPr>
                <w:color w:val="000000"/>
                <w:kern w:val="0"/>
                <w:sz w:val="24"/>
                <w:szCs w:val="24"/>
              </w:rPr>
              <w:t>日</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报告期末基金份额总额</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6,618,578,900.77</w:t>
            </w:r>
            <w:r w:rsidRPr="00232B03">
              <w:rPr>
                <w:color w:val="000000"/>
                <w:kern w:val="0"/>
                <w:sz w:val="24"/>
                <w:szCs w:val="24"/>
              </w:rPr>
              <w:t>份</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投资目标</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本基金为纯债基金，管理人主要通过分析影响债券市场的各类要素，对债券组合的平均久期、期限结构、类属品种进行有效配置，力争为投资人提供长期稳定的投资回报。</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投资策略</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本基金主要投资于中短期政策性金融债，力求在承担较低风险的前提下，谋求投资收益的最大化，同时保持组合较好的流动性，为投资者提供稳定回</w:t>
            </w:r>
            <w:r w:rsidRPr="00232B03">
              <w:rPr>
                <w:color w:val="000000"/>
                <w:kern w:val="0"/>
                <w:sz w:val="24"/>
                <w:szCs w:val="24"/>
              </w:rPr>
              <w:lastRenderedPageBreak/>
              <w:t>报。本基金将采取积极管理的投资策略，力争为投资人获取超越业绩比较基准的回报。</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lastRenderedPageBreak/>
              <w:t>业绩比较基准</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中债新综合指数（全价）收益率</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风险收益特征</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本基金为债券型基金，其长期平均风险和预期收益率理论上低于股票型基金、混合型基金，高于货币市场基金。</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基金管理人</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易方达基金管理有限公司</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基金托管人</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兴业银行股份有限公司</w:t>
            </w:r>
          </w:p>
        </w:tc>
      </w:tr>
    </w:tbl>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3  </w:t>
      </w:r>
      <w:r w:rsidRPr="00264E55">
        <w:rPr>
          <w:rFonts w:ascii="宋体" w:hAnsi="宋体" w:hint="eastAsia"/>
          <w:color w:val="000000"/>
          <w:kern w:val="0"/>
          <w:sz w:val="24"/>
          <w:szCs w:val="24"/>
        </w:rPr>
        <w:t>主要财务指标和基金净值表现</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3.1 </w:t>
      </w:r>
      <w:r w:rsidRPr="00264E55">
        <w:rPr>
          <w:rFonts w:ascii="宋体" w:hAnsi="宋体" w:hint="eastAsia"/>
          <w:b/>
          <w:bCs/>
          <w:color w:val="000000"/>
          <w:kern w:val="0"/>
          <w:sz w:val="24"/>
          <w:szCs w:val="24"/>
        </w:rPr>
        <w:t>主要财务指标</w:t>
      </w:r>
    </w:p>
    <w:p w:rsidR="00392044" w:rsidRPr="006506EF" w:rsidRDefault="00392044" w:rsidP="00392044">
      <w:pPr>
        <w:autoSpaceDE w:val="0"/>
        <w:autoSpaceDN w:val="0"/>
        <w:adjustRightInd w:val="0"/>
        <w:spacing w:before="29" w:line="360" w:lineRule="auto"/>
        <w:ind w:left="15"/>
        <w:jc w:val="right"/>
        <w:rPr>
          <w:color w:val="000000"/>
          <w:kern w:val="0"/>
          <w:sz w:val="24"/>
        </w:rPr>
      </w:pPr>
      <w:r w:rsidRPr="006506EF">
        <w:rPr>
          <w:color w:val="000000"/>
          <w:kern w:val="0"/>
          <w:sz w:val="24"/>
        </w:rPr>
        <w:t>单位：人民币元</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
        <w:gridCol w:w="4961"/>
      </w:tblGrid>
      <w:tr w:rsidR="00392044" w:rsidRPr="006506EF" w:rsidTr="00C3442A">
        <w:tc>
          <w:tcPr>
            <w:tcW w:w="3402" w:type="dxa"/>
            <w:vAlign w:val="center"/>
          </w:tcPr>
          <w:p w:rsidR="00392044" w:rsidRPr="006506EF" w:rsidRDefault="00392044" w:rsidP="00C3442A">
            <w:pPr>
              <w:adjustRightInd w:val="0"/>
              <w:spacing w:before="29" w:line="360" w:lineRule="auto"/>
              <w:ind w:left="17"/>
              <w:jc w:val="center"/>
              <w:rPr>
                <w:kern w:val="0"/>
                <w:sz w:val="24"/>
              </w:rPr>
            </w:pPr>
            <w:r w:rsidRPr="006506EF">
              <w:rPr>
                <w:kern w:val="0"/>
                <w:sz w:val="24"/>
              </w:rPr>
              <w:t>主要财务指标</w:t>
            </w:r>
          </w:p>
        </w:tc>
        <w:tc>
          <w:tcPr>
            <w:tcW w:w="4962" w:type="dxa"/>
            <w:hMerge w:val="restart"/>
            <w:vAlign w:val="center"/>
          </w:tcPr>
          <w:p w:rsidR="00392044" w:rsidRPr="006506EF" w:rsidRDefault="00392044" w:rsidP="00C3442A">
            <w:pPr>
              <w:adjustRightInd w:val="0"/>
              <w:spacing w:before="29" w:line="360" w:lineRule="auto"/>
              <w:ind w:left="17"/>
              <w:jc w:val="center"/>
              <w:rPr>
                <w:color w:val="000000"/>
                <w:sz w:val="24"/>
              </w:rPr>
            </w:pPr>
            <w:r w:rsidRPr="006506EF">
              <w:rPr>
                <w:color w:val="000000"/>
                <w:sz w:val="24"/>
              </w:rPr>
              <w:t>报告期</w:t>
            </w:r>
          </w:p>
          <w:p w:rsidR="00392044" w:rsidRPr="006506EF" w:rsidRDefault="00392044" w:rsidP="00C3442A">
            <w:pPr>
              <w:adjustRightInd w:val="0"/>
              <w:spacing w:before="29" w:line="360" w:lineRule="auto"/>
              <w:ind w:left="17"/>
              <w:jc w:val="center"/>
              <w:rPr>
                <w:color w:val="000000"/>
                <w:sz w:val="24"/>
              </w:rPr>
            </w:pPr>
            <w:r w:rsidRPr="006506EF">
              <w:rPr>
                <w:color w:val="000000"/>
                <w:sz w:val="24"/>
              </w:rPr>
              <w:t>(2019</w:t>
            </w:r>
            <w:r w:rsidRPr="006506EF">
              <w:rPr>
                <w:color w:val="000000"/>
                <w:sz w:val="24"/>
              </w:rPr>
              <w:t>年</w:t>
            </w:r>
            <w:r w:rsidRPr="006506EF">
              <w:rPr>
                <w:color w:val="000000"/>
                <w:sz w:val="24"/>
              </w:rPr>
              <w:t>7</w:t>
            </w:r>
            <w:r w:rsidRPr="006506EF">
              <w:rPr>
                <w:color w:val="000000"/>
                <w:sz w:val="24"/>
              </w:rPr>
              <w:t>月</w:t>
            </w:r>
            <w:r w:rsidRPr="006506EF">
              <w:rPr>
                <w:color w:val="000000"/>
                <w:sz w:val="24"/>
              </w:rPr>
              <w:t>1</w:t>
            </w:r>
            <w:r w:rsidRPr="006506EF">
              <w:rPr>
                <w:color w:val="000000"/>
                <w:sz w:val="24"/>
              </w:rPr>
              <w:t>日</w:t>
            </w:r>
            <w:r w:rsidRPr="006506EF">
              <w:rPr>
                <w:color w:val="000000"/>
                <w:sz w:val="24"/>
              </w:rPr>
              <w:t>-2019</w:t>
            </w:r>
            <w:r w:rsidRPr="006506EF">
              <w:rPr>
                <w:color w:val="000000"/>
                <w:sz w:val="24"/>
              </w:rPr>
              <w:t>年</w:t>
            </w:r>
            <w:r w:rsidRPr="006506EF">
              <w:rPr>
                <w:color w:val="000000"/>
                <w:sz w:val="24"/>
              </w:rPr>
              <w:t>9</w:t>
            </w:r>
            <w:r w:rsidRPr="006506EF">
              <w:rPr>
                <w:color w:val="000000"/>
                <w:sz w:val="24"/>
              </w:rPr>
              <w:t>月</w:t>
            </w:r>
            <w:r w:rsidRPr="006506EF">
              <w:rPr>
                <w:color w:val="000000"/>
                <w:sz w:val="24"/>
              </w:rPr>
              <w:t>30</w:t>
            </w:r>
            <w:r w:rsidRPr="006506EF">
              <w:rPr>
                <w:color w:val="000000"/>
                <w:sz w:val="24"/>
              </w:rPr>
              <w:t>日</w:t>
            </w:r>
            <w:r w:rsidRPr="006506EF">
              <w:rPr>
                <w:color w:val="000000"/>
                <w:sz w:val="24"/>
              </w:rPr>
              <w:t>)</w:t>
            </w:r>
          </w:p>
        </w:tc>
        <w:tc>
          <w:tcPr>
            <w:tcW w:w="2410" w:type="dxa"/>
            <w:hMerge/>
          </w:tcPr>
          <w:p w:rsidR="00392044" w:rsidRPr="006506EF" w:rsidRDefault="00392044" w:rsidP="00C3442A">
            <w:pPr>
              <w:adjustRightInd w:val="0"/>
              <w:spacing w:before="29" w:line="360" w:lineRule="auto"/>
              <w:ind w:left="17"/>
              <w:jc w:val="center"/>
              <w:rPr>
                <w:color w:val="000000"/>
                <w:sz w:val="24"/>
              </w:rPr>
            </w:pPr>
            <w:r w:rsidRPr="006506EF">
              <w:rPr>
                <w:color w:val="000000"/>
                <w:sz w:val="24"/>
              </w:rPr>
              <w:t>上期金额</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1.</w:t>
            </w:r>
            <w:r w:rsidRPr="006506EF">
              <w:rPr>
                <w:kern w:val="0"/>
                <w:sz w:val="24"/>
              </w:rPr>
              <w:t>本期已实现收益</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48,376,763.54</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2.</w:t>
            </w:r>
            <w:r w:rsidRPr="006506EF">
              <w:rPr>
                <w:kern w:val="0"/>
                <w:sz w:val="24"/>
              </w:rPr>
              <w:t>本期利润</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57,159,638.27</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3.</w:t>
            </w:r>
            <w:r w:rsidRPr="006506EF">
              <w:rPr>
                <w:kern w:val="0"/>
                <w:sz w:val="24"/>
              </w:rPr>
              <w:t>加权平均基金份额本期利润</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0.0097</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4.</w:t>
            </w:r>
            <w:r w:rsidRPr="006506EF">
              <w:rPr>
                <w:kern w:val="0"/>
                <w:sz w:val="24"/>
              </w:rPr>
              <w:t>期末基金资产净值</w:t>
            </w:r>
          </w:p>
        </w:tc>
        <w:tc>
          <w:tcPr>
            <w:tcW w:w="4962" w:type="dxa"/>
            <w:hMerge w:val="restart"/>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6,712,529,575.55</w:t>
            </w:r>
          </w:p>
        </w:tc>
        <w:tc>
          <w:tcPr>
            <w:tcW w:w="2410" w:type="dxa"/>
            <w:hMerge/>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rPr>
          <w:trHeight w:val="158"/>
        </w:trPr>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5.</w:t>
            </w:r>
            <w:r w:rsidRPr="006506EF">
              <w:rPr>
                <w:kern w:val="0"/>
                <w:sz w:val="24"/>
              </w:rPr>
              <w:t>期末基金份额净值</w:t>
            </w:r>
          </w:p>
        </w:tc>
        <w:tc>
          <w:tcPr>
            <w:tcW w:w="4962" w:type="dxa"/>
            <w:hMerge w:val="restart"/>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1.0142</w:t>
            </w:r>
          </w:p>
        </w:tc>
        <w:tc>
          <w:tcPr>
            <w:tcW w:w="2410" w:type="dxa"/>
            <w:hMerge/>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bl>
    <w:p w:rsidR="009D59E5" w:rsidRDefault="00847168">
      <w:pPr>
        <w:spacing w:line="360" w:lineRule="auto"/>
        <w:ind w:firstLineChars="200" w:firstLine="480"/>
        <w:rPr>
          <w:color w:val="000000"/>
          <w:sz w:val="24"/>
          <w:szCs w:val="24"/>
        </w:rPr>
      </w:pPr>
      <w:r>
        <w:rPr>
          <w:color w:val="000000"/>
          <w:sz w:val="24"/>
        </w:rPr>
        <w:t>注：</w:t>
      </w:r>
      <w:r>
        <w:rPr>
          <w:color w:val="000000"/>
          <w:sz w:val="24"/>
        </w:rPr>
        <w:t>1.</w:t>
      </w:r>
      <w:r>
        <w:rPr>
          <w:color w:val="000000"/>
          <w:sz w:val="24"/>
        </w:rPr>
        <w:t>所述基金业绩指标不包括持有人认购或交易基金的各项费用，计入费用后实际收益水平要低于所列数字。</w:t>
      </w:r>
    </w:p>
    <w:p w:rsidR="00750D48" w:rsidRPr="00232B03" w:rsidRDefault="00392044" w:rsidP="00232B03">
      <w:pPr>
        <w:spacing w:line="360" w:lineRule="auto"/>
        <w:ind w:firstLineChars="200" w:firstLine="480"/>
        <w:rPr>
          <w:color w:val="000000"/>
          <w:sz w:val="24"/>
          <w:szCs w:val="24"/>
        </w:rPr>
      </w:pPr>
      <w:r w:rsidRPr="006506EF">
        <w:rPr>
          <w:color w:val="000000"/>
          <w:sz w:val="24"/>
        </w:rPr>
        <w:t>2.</w:t>
      </w:r>
      <w:r w:rsidRPr="006506EF">
        <w:rPr>
          <w:color w:val="000000"/>
          <w:sz w:val="24"/>
        </w:rPr>
        <w:t>本期已实现收益指基金本期利息收入、投资收益、其他收入（不含公允价值变动收益）扣除相关费用后的余额，本期利润为本期已实现收益加上本期公允价值变动收益。</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3.2 </w:t>
      </w:r>
      <w:r w:rsidRPr="00264E55">
        <w:rPr>
          <w:rFonts w:ascii="宋体" w:hAnsi="宋体" w:hint="eastAsia"/>
          <w:b/>
          <w:bCs/>
          <w:color w:val="000000"/>
          <w:kern w:val="0"/>
          <w:sz w:val="24"/>
          <w:szCs w:val="24"/>
        </w:rPr>
        <w:t>基金净值表现</w:t>
      </w:r>
    </w:p>
    <w:p w:rsidR="00750D48" w:rsidRPr="00264E55" w:rsidRDefault="00750D48" w:rsidP="009E7C6A">
      <w:pPr>
        <w:autoSpaceDE w:val="0"/>
        <w:autoSpaceDN w:val="0"/>
        <w:adjustRightInd w:val="0"/>
        <w:spacing w:line="360" w:lineRule="auto"/>
        <w:jc w:val="left"/>
        <w:rPr>
          <w:rFonts w:ascii="宋体" w:cs="宋体"/>
          <w:b/>
          <w:bCs/>
          <w:color w:val="000000"/>
          <w:kern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b/>
            <w:bCs/>
            <w:color w:val="000000"/>
            <w:kern w:val="0"/>
            <w:sz w:val="24"/>
            <w:szCs w:val="24"/>
          </w:rPr>
          <w:t>3.2.1</w:t>
        </w:r>
      </w:smartTag>
      <w:r w:rsidRPr="00264E55">
        <w:rPr>
          <w:rFonts w:ascii="宋体" w:hAnsi="宋体" w:cs="宋体" w:hint="eastAsia"/>
          <w:b/>
          <w:bCs/>
          <w:color w:val="000000"/>
          <w:kern w:val="0"/>
          <w:sz w:val="24"/>
          <w:szCs w:val="24"/>
        </w:rPr>
        <w:t>本报告期基金份额净值增长率及其与同期业绩比较基准收益率的比较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95"/>
        <w:gridCol w:w="1092"/>
        <w:gridCol w:w="1161"/>
        <w:gridCol w:w="1181"/>
        <w:gridCol w:w="1188"/>
        <w:gridCol w:w="1199"/>
        <w:gridCol w:w="1204"/>
      </w:tblGrid>
      <w:tr w:rsidR="00750D48" w:rsidRPr="00264E55" w:rsidTr="00B05049">
        <w:tc>
          <w:tcPr>
            <w:tcW w:w="1395"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阶段</w:t>
            </w:r>
          </w:p>
        </w:tc>
        <w:tc>
          <w:tcPr>
            <w:tcW w:w="1092"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净值增长率</w:t>
            </w:r>
            <w:r w:rsidRPr="00232B03">
              <w:rPr>
                <w:rFonts w:ascii="宋体" w:hAnsi="宋体" w:cs="宋体" w:hint="eastAsia"/>
                <w:color w:val="000000"/>
                <w:kern w:val="0"/>
                <w:sz w:val="24"/>
                <w:szCs w:val="24"/>
              </w:rPr>
              <w:t>①</w:t>
            </w:r>
          </w:p>
        </w:tc>
        <w:tc>
          <w:tcPr>
            <w:tcW w:w="1161"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净值增长率标准差</w:t>
            </w:r>
            <w:r w:rsidRPr="00232B03">
              <w:rPr>
                <w:rFonts w:ascii="宋体" w:hAnsi="宋体" w:cs="宋体" w:hint="eastAsia"/>
                <w:color w:val="000000"/>
                <w:kern w:val="0"/>
                <w:sz w:val="24"/>
                <w:szCs w:val="24"/>
              </w:rPr>
              <w:t>②</w:t>
            </w:r>
          </w:p>
        </w:tc>
        <w:tc>
          <w:tcPr>
            <w:tcW w:w="1181"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业绩比较基准收益率</w:t>
            </w:r>
            <w:r w:rsidRPr="00232B03">
              <w:rPr>
                <w:rFonts w:ascii="宋体" w:hAnsi="宋体" w:cs="宋体" w:hint="eastAsia"/>
                <w:color w:val="000000"/>
                <w:kern w:val="0"/>
                <w:sz w:val="24"/>
                <w:szCs w:val="24"/>
              </w:rPr>
              <w:t>③</w:t>
            </w:r>
          </w:p>
        </w:tc>
        <w:tc>
          <w:tcPr>
            <w:tcW w:w="1188"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业绩比较基准收益率标准差</w:t>
            </w:r>
            <w:r w:rsidRPr="00232B03">
              <w:rPr>
                <w:rFonts w:ascii="宋体" w:hAnsi="宋体" w:cs="宋体" w:hint="eastAsia"/>
                <w:color w:val="000000"/>
                <w:kern w:val="0"/>
                <w:sz w:val="24"/>
                <w:szCs w:val="24"/>
              </w:rPr>
              <w:t>④</w:t>
            </w:r>
          </w:p>
        </w:tc>
        <w:tc>
          <w:tcPr>
            <w:tcW w:w="1199"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rFonts w:ascii="宋体" w:hAnsi="宋体" w:cs="宋体" w:hint="eastAsia"/>
                <w:color w:val="000000"/>
                <w:kern w:val="0"/>
                <w:sz w:val="24"/>
                <w:szCs w:val="24"/>
              </w:rPr>
              <w:t>①</w:t>
            </w:r>
            <w:r w:rsidRPr="00232B03">
              <w:rPr>
                <w:color w:val="000000"/>
                <w:kern w:val="0"/>
                <w:sz w:val="24"/>
                <w:szCs w:val="24"/>
              </w:rPr>
              <w:t>-</w:t>
            </w:r>
            <w:r w:rsidRPr="00232B03">
              <w:rPr>
                <w:rFonts w:ascii="宋体" w:hAnsi="宋体" w:cs="宋体" w:hint="eastAsia"/>
                <w:color w:val="000000"/>
                <w:kern w:val="0"/>
                <w:sz w:val="24"/>
                <w:szCs w:val="24"/>
              </w:rPr>
              <w:t>③</w:t>
            </w:r>
          </w:p>
        </w:tc>
        <w:tc>
          <w:tcPr>
            <w:tcW w:w="1204"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rFonts w:ascii="宋体" w:hAnsi="宋体" w:cs="宋体" w:hint="eastAsia"/>
                <w:color w:val="000000"/>
                <w:kern w:val="0"/>
                <w:sz w:val="24"/>
                <w:szCs w:val="24"/>
              </w:rPr>
              <w:t>②</w:t>
            </w:r>
            <w:r w:rsidRPr="00232B03">
              <w:rPr>
                <w:color w:val="000000"/>
                <w:kern w:val="0"/>
                <w:sz w:val="24"/>
                <w:szCs w:val="24"/>
              </w:rPr>
              <w:t>-</w:t>
            </w:r>
            <w:r w:rsidRPr="00232B03">
              <w:rPr>
                <w:rFonts w:ascii="宋体" w:hAnsi="宋体" w:cs="宋体" w:hint="eastAsia"/>
                <w:color w:val="000000"/>
                <w:kern w:val="0"/>
                <w:sz w:val="24"/>
                <w:szCs w:val="24"/>
              </w:rPr>
              <w:t>④</w:t>
            </w:r>
          </w:p>
        </w:tc>
      </w:tr>
      <w:tr w:rsidR="009D59E5">
        <w:tc>
          <w:tcPr>
            <w:tcW w:w="1395" w:type="dxa"/>
            <w:vAlign w:val="center"/>
          </w:tcPr>
          <w:p w:rsidR="009D59E5" w:rsidRDefault="00847168">
            <w:pPr>
              <w:jc w:val="left"/>
            </w:pPr>
            <w:r>
              <w:rPr>
                <w:color w:val="000000"/>
                <w:kern w:val="0"/>
                <w:sz w:val="24"/>
                <w:szCs w:val="24"/>
              </w:rPr>
              <w:t>过去三个月</w:t>
            </w:r>
          </w:p>
        </w:tc>
        <w:tc>
          <w:tcPr>
            <w:tcW w:w="1092" w:type="dxa"/>
            <w:vAlign w:val="center"/>
          </w:tcPr>
          <w:p w:rsidR="009D59E5" w:rsidRDefault="00847168">
            <w:pPr>
              <w:jc w:val="center"/>
            </w:pPr>
            <w:r>
              <w:rPr>
                <w:color w:val="000000"/>
                <w:kern w:val="0"/>
                <w:sz w:val="24"/>
                <w:szCs w:val="24"/>
              </w:rPr>
              <w:t>0.96%</w:t>
            </w:r>
          </w:p>
        </w:tc>
        <w:tc>
          <w:tcPr>
            <w:tcW w:w="1161" w:type="dxa"/>
            <w:vAlign w:val="center"/>
          </w:tcPr>
          <w:p w:rsidR="009D59E5" w:rsidRDefault="00847168">
            <w:pPr>
              <w:jc w:val="center"/>
            </w:pPr>
            <w:r>
              <w:rPr>
                <w:color w:val="000000"/>
                <w:kern w:val="0"/>
                <w:sz w:val="24"/>
                <w:szCs w:val="24"/>
              </w:rPr>
              <w:t>0.02%</w:t>
            </w:r>
          </w:p>
        </w:tc>
        <w:tc>
          <w:tcPr>
            <w:tcW w:w="1181" w:type="dxa"/>
            <w:vAlign w:val="center"/>
          </w:tcPr>
          <w:p w:rsidR="009D59E5" w:rsidRDefault="00847168">
            <w:pPr>
              <w:jc w:val="center"/>
            </w:pPr>
            <w:r>
              <w:rPr>
                <w:color w:val="000000"/>
                <w:kern w:val="0"/>
                <w:sz w:val="24"/>
                <w:szCs w:val="24"/>
              </w:rPr>
              <w:t>0.46%</w:t>
            </w:r>
          </w:p>
        </w:tc>
        <w:tc>
          <w:tcPr>
            <w:tcW w:w="1188" w:type="dxa"/>
            <w:vAlign w:val="center"/>
          </w:tcPr>
          <w:p w:rsidR="009D59E5" w:rsidRDefault="00847168">
            <w:pPr>
              <w:jc w:val="center"/>
            </w:pPr>
            <w:r>
              <w:rPr>
                <w:color w:val="000000"/>
                <w:kern w:val="0"/>
                <w:sz w:val="24"/>
                <w:szCs w:val="24"/>
              </w:rPr>
              <w:t>0.04%</w:t>
            </w:r>
          </w:p>
        </w:tc>
        <w:tc>
          <w:tcPr>
            <w:tcW w:w="1199" w:type="dxa"/>
            <w:vAlign w:val="center"/>
          </w:tcPr>
          <w:p w:rsidR="009D59E5" w:rsidRDefault="00847168">
            <w:pPr>
              <w:jc w:val="center"/>
            </w:pPr>
            <w:r>
              <w:rPr>
                <w:color w:val="000000"/>
                <w:kern w:val="0"/>
                <w:sz w:val="24"/>
                <w:szCs w:val="24"/>
              </w:rPr>
              <w:t>0.50%</w:t>
            </w:r>
          </w:p>
        </w:tc>
        <w:tc>
          <w:tcPr>
            <w:tcW w:w="1204" w:type="dxa"/>
            <w:vAlign w:val="center"/>
          </w:tcPr>
          <w:p w:rsidR="009D59E5" w:rsidRDefault="00847168">
            <w:pPr>
              <w:jc w:val="center"/>
            </w:pPr>
            <w:r>
              <w:rPr>
                <w:color w:val="000000"/>
                <w:kern w:val="0"/>
                <w:sz w:val="24"/>
                <w:szCs w:val="24"/>
              </w:rPr>
              <w:t>-0.02%</w:t>
            </w:r>
          </w:p>
        </w:tc>
      </w:tr>
    </w:tbl>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b/>
            <w:bCs/>
            <w:color w:val="000000"/>
            <w:kern w:val="0"/>
            <w:sz w:val="24"/>
            <w:szCs w:val="24"/>
          </w:rPr>
          <w:t>3.2.2</w:t>
        </w:r>
        <w:r w:rsidR="00D87469" w:rsidRPr="00370BEA">
          <w:rPr>
            <w:rStyle w:val="afb"/>
            <w:rFonts w:hint="eastAsia"/>
            <w:color w:val="000000"/>
            <w:sz w:val="24"/>
            <w:shd w:val="clear" w:color="auto" w:fill="FFFFFF"/>
          </w:rPr>
          <w:t>自基金合同生效以来</w:t>
        </w:r>
      </w:smartTag>
      <w:r w:rsidRPr="00264E55">
        <w:rPr>
          <w:rFonts w:ascii="宋体" w:hAnsi="宋体" w:hint="eastAsia"/>
          <w:b/>
          <w:bCs/>
          <w:color w:val="000000"/>
          <w:kern w:val="0"/>
          <w:sz w:val="24"/>
          <w:szCs w:val="24"/>
        </w:rPr>
        <w:t>基金累计净值增长率变动及其与同期业绩比较基准收益率变动的比较</w:t>
      </w:r>
    </w:p>
    <w:p w:rsidR="00750D48" w:rsidRPr="0074694E" w:rsidRDefault="00750D48" w:rsidP="009E7C6A">
      <w:pPr>
        <w:spacing w:line="360" w:lineRule="auto"/>
        <w:jc w:val="center"/>
        <w:rPr>
          <w:color w:val="000000"/>
          <w:sz w:val="24"/>
          <w:szCs w:val="24"/>
        </w:rPr>
      </w:pPr>
      <w:r w:rsidRPr="0074694E">
        <w:rPr>
          <w:color w:val="000000"/>
          <w:sz w:val="24"/>
          <w:szCs w:val="24"/>
        </w:rPr>
        <w:t>易方达富财纯债债券型证券投资基金</w:t>
      </w:r>
    </w:p>
    <w:p w:rsidR="00750D48" w:rsidRPr="0074694E" w:rsidRDefault="00750D48" w:rsidP="009E7C6A">
      <w:pPr>
        <w:pStyle w:val="a5"/>
        <w:snapToGrid w:val="0"/>
        <w:spacing w:line="360" w:lineRule="auto"/>
        <w:jc w:val="center"/>
        <w:rPr>
          <w:rFonts w:ascii="Times New Roman" w:hAnsi="Times New Roman"/>
          <w:color w:val="000000"/>
          <w:sz w:val="24"/>
          <w:szCs w:val="24"/>
        </w:rPr>
      </w:pPr>
      <w:r w:rsidRPr="0074694E">
        <w:rPr>
          <w:rFonts w:ascii="Times New Roman" w:hAnsi="Times New Roman"/>
          <w:color w:val="000000"/>
          <w:sz w:val="24"/>
          <w:szCs w:val="24"/>
        </w:rPr>
        <w:t>累计净值增长率与业绩比较基准收益率的历史走势对比图</w:t>
      </w:r>
    </w:p>
    <w:p w:rsidR="00750D48" w:rsidRPr="0074694E" w:rsidRDefault="005F7917" w:rsidP="009E7C6A">
      <w:pPr>
        <w:pStyle w:val="a5"/>
        <w:snapToGrid w:val="0"/>
        <w:spacing w:line="360" w:lineRule="auto"/>
        <w:ind w:firstLine="480"/>
        <w:jc w:val="center"/>
        <w:rPr>
          <w:rFonts w:ascii="Times New Roman" w:hAnsi="Times New Roman"/>
          <w:sz w:val="24"/>
          <w:szCs w:val="24"/>
        </w:rPr>
      </w:pPr>
      <w:r w:rsidRPr="0074694E">
        <w:rPr>
          <w:rFonts w:ascii="Times New Roman" w:hAnsi="Times New Roman"/>
          <w:sz w:val="24"/>
          <w:szCs w:val="24"/>
        </w:rPr>
        <w:t>（</w:t>
      </w:r>
      <w:r w:rsidRPr="0074694E">
        <w:rPr>
          <w:rFonts w:ascii="Times New Roman" w:hAnsi="Times New Roman"/>
          <w:sz w:val="24"/>
          <w:szCs w:val="24"/>
        </w:rPr>
        <w:t>2018</w:t>
      </w:r>
      <w:r w:rsidRPr="0074694E">
        <w:rPr>
          <w:rFonts w:ascii="Times New Roman" w:hAnsi="Times New Roman"/>
          <w:sz w:val="24"/>
          <w:szCs w:val="24"/>
        </w:rPr>
        <w:t>年</w:t>
      </w:r>
      <w:r w:rsidRPr="0074694E">
        <w:rPr>
          <w:rFonts w:ascii="Times New Roman" w:hAnsi="Times New Roman"/>
          <w:sz w:val="24"/>
          <w:szCs w:val="24"/>
        </w:rPr>
        <w:t>10</w:t>
      </w:r>
      <w:r w:rsidRPr="0074694E">
        <w:rPr>
          <w:rFonts w:ascii="Times New Roman" w:hAnsi="Times New Roman"/>
          <w:sz w:val="24"/>
          <w:szCs w:val="24"/>
        </w:rPr>
        <w:t>月</w:t>
      </w:r>
      <w:r w:rsidRPr="0074694E">
        <w:rPr>
          <w:rFonts w:ascii="Times New Roman" w:hAnsi="Times New Roman"/>
          <w:sz w:val="24"/>
          <w:szCs w:val="24"/>
        </w:rPr>
        <w:t>26</w:t>
      </w:r>
      <w:r w:rsidRPr="0074694E">
        <w:rPr>
          <w:rFonts w:ascii="Times New Roman" w:hAnsi="Times New Roman"/>
          <w:sz w:val="24"/>
          <w:szCs w:val="24"/>
        </w:rPr>
        <w:t>日至</w:t>
      </w:r>
      <w:r w:rsidRPr="0074694E">
        <w:rPr>
          <w:rFonts w:ascii="Times New Roman" w:hAnsi="Times New Roman"/>
          <w:sz w:val="24"/>
          <w:szCs w:val="24"/>
        </w:rPr>
        <w:t>2019</w:t>
      </w:r>
      <w:r w:rsidRPr="0074694E">
        <w:rPr>
          <w:rFonts w:ascii="Times New Roman" w:hAnsi="Times New Roman"/>
          <w:sz w:val="24"/>
          <w:szCs w:val="24"/>
        </w:rPr>
        <w:t>年</w:t>
      </w:r>
      <w:r w:rsidRPr="0074694E">
        <w:rPr>
          <w:rFonts w:ascii="Times New Roman" w:hAnsi="Times New Roman"/>
          <w:sz w:val="24"/>
          <w:szCs w:val="24"/>
        </w:rPr>
        <w:t>9</w:t>
      </w:r>
      <w:r w:rsidRPr="0074694E">
        <w:rPr>
          <w:rFonts w:ascii="Times New Roman" w:hAnsi="Times New Roman"/>
          <w:sz w:val="24"/>
          <w:szCs w:val="24"/>
        </w:rPr>
        <w:t>月</w:t>
      </w:r>
      <w:r w:rsidRPr="0074694E">
        <w:rPr>
          <w:rFonts w:ascii="Times New Roman" w:hAnsi="Times New Roman"/>
          <w:sz w:val="24"/>
          <w:szCs w:val="24"/>
        </w:rPr>
        <w:t>30</w:t>
      </w:r>
      <w:r w:rsidRPr="0074694E">
        <w:rPr>
          <w:rFonts w:ascii="Times New Roman" w:hAnsi="Times New Roman"/>
          <w:sz w:val="24"/>
          <w:szCs w:val="24"/>
        </w:rPr>
        <w:t>日）</w:t>
      </w:r>
    </w:p>
    <w:p w:rsidR="00750D48" w:rsidRPr="00264E55" w:rsidRDefault="00847168" w:rsidP="004061AC">
      <w:pPr>
        <w:pStyle w:val="a5"/>
        <w:snapToGrid w:val="0"/>
        <w:spacing w:before="120" w:line="360" w:lineRule="auto"/>
        <w:jc w:val="center"/>
        <w:rPr>
          <w:rFonts w:hAnsi="宋体"/>
          <w:color w:val="000000"/>
          <w:sz w:val="24"/>
          <w:szCs w:val="24"/>
        </w:rPr>
      </w:pPr>
      <w:r>
        <w:rPr>
          <w:rFonts w:hAnsi="宋体"/>
          <w:noProof/>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412.5pt;height:241.5pt;visibility:visible">
            <v:imagedata r:id="rId10" o:title=""/>
          </v:shape>
        </w:pict>
      </w:r>
    </w:p>
    <w:p w:rsidR="009D59E5" w:rsidRDefault="00847168">
      <w:pPr>
        <w:spacing w:line="360" w:lineRule="auto"/>
        <w:ind w:firstLineChars="200" w:firstLine="480"/>
        <w:rPr>
          <w:color w:val="000000"/>
          <w:sz w:val="24"/>
          <w:szCs w:val="24"/>
        </w:rPr>
      </w:pPr>
      <w:r>
        <w:rPr>
          <w:color w:val="000000"/>
          <w:sz w:val="24"/>
          <w:szCs w:val="24"/>
        </w:rPr>
        <w:t>注：</w:t>
      </w:r>
      <w:r>
        <w:rPr>
          <w:color w:val="000000"/>
          <w:sz w:val="24"/>
          <w:szCs w:val="24"/>
        </w:rPr>
        <w:t>1.</w:t>
      </w:r>
      <w:r>
        <w:rPr>
          <w:color w:val="000000"/>
          <w:sz w:val="24"/>
          <w:szCs w:val="24"/>
        </w:rPr>
        <w:t>本基金合同于</w:t>
      </w:r>
      <w:r>
        <w:rPr>
          <w:color w:val="000000"/>
          <w:sz w:val="24"/>
          <w:szCs w:val="24"/>
        </w:rPr>
        <w:t>2018</w:t>
      </w:r>
      <w:r>
        <w:rPr>
          <w:color w:val="000000"/>
          <w:sz w:val="24"/>
          <w:szCs w:val="24"/>
        </w:rPr>
        <w:t>年</w:t>
      </w:r>
      <w:r>
        <w:rPr>
          <w:color w:val="000000"/>
          <w:sz w:val="24"/>
          <w:szCs w:val="24"/>
        </w:rPr>
        <w:t>10</w:t>
      </w:r>
      <w:r>
        <w:rPr>
          <w:color w:val="000000"/>
          <w:sz w:val="24"/>
          <w:szCs w:val="24"/>
        </w:rPr>
        <w:t>月</w:t>
      </w:r>
      <w:r>
        <w:rPr>
          <w:color w:val="000000"/>
          <w:sz w:val="24"/>
          <w:szCs w:val="24"/>
        </w:rPr>
        <w:t>26</w:t>
      </w:r>
      <w:r>
        <w:rPr>
          <w:color w:val="000000"/>
          <w:sz w:val="24"/>
          <w:szCs w:val="24"/>
        </w:rPr>
        <w:t>日生效，截至报告期末本基金合同生效未满一年。</w:t>
      </w:r>
    </w:p>
    <w:p w:rsidR="009D59E5" w:rsidRDefault="00847168">
      <w:pPr>
        <w:spacing w:line="360" w:lineRule="auto"/>
        <w:ind w:firstLineChars="200" w:firstLine="480"/>
        <w:rPr>
          <w:color w:val="000000"/>
          <w:sz w:val="24"/>
          <w:szCs w:val="24"/>
        </w:rPr>
      </w:pPr>
      <w:r>
        <w:rPr>
          <w:color w:val="000000"/>
          <w:sz w:val="24"/>
          <w:szCs w:val="24"/>
        </w:rPr>
        <w:t>2.</w:t>
      </w:r>
      <w:r>
        <w:rPr>
          <w:color w:val="000000"/>
          <w:sz w:val="24"/>
          <w:szCs w:val="24"/>
        </w:rPr>
        <w:t>按基金合同和招募说明书的约定，本基金的建仓期为六个月，建仓期结束时各项资产配置比例符合基金合同（第十二部分二、投资范围，三、投资策略和四、投资限制）的有关约定。</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3.</w:t>
      </w:r>
      <w:r w:rsidRPr="006C56AA">
        <w:rPr>
          <w:color w:val="000000"/>
          <w:sz w:val="24"/>
          <w:szCs w:val="24"/>
        </w:rPr>
        <w:t>自基金合同生效至报告期末，基金份额净值增长率为</w:t>
      </w:r>
      <w:r w:rsidRPr="006C56AA">
        <w:rPr>
          <w:color w:val="000000"/>
          <w:sz w:val="24"/>
          <w:szCs w:val="24"/>
        </w:rPr>
        <w:t>4.15%</w:t>
      </w:r>
      <w:r w:rsidRPr="006C56AA">
        <w:rPr>
          <w:color w:val="000000"/>
          <w:sz w:val="24"/>
          <w:szCs w:val="24"/>
        </w:rPr>
        <w:t>，同期业绩比较基准收益率为</w:t>
      </w:r>
      <w:r w:rsidRPr="006C56AA">
        <w:rPr>
          <w:color w:val="000000"/>
          <w:sz w:val="24"/>
          <w:szCs w:val="24"/>
        </w:rPr>
        <w:t>2.19%</w:t>
      </w:r>
      <w:r w:rsidRPr="006C56AA">
        <w:rPr>
          <w:color w:val="000000"/>
          <w:sz w:val="24"/>
          <w:szCs w:val="24"/>
        </w:rPr>
        <w:t>。</w:t>
      </w:r>
    </w:p>
    <w:p w:rsidR="00750D48" w:rsidRPr="00232B03" w:rsidRDefault="00750D48" w:rsidP="00693843">
      <w:pPr>
        <w:tabs>
          <w:tab w:val="left" w:pos="1800"/>
        </w:tabs>
        <w:spacing w:line="288" w:lineRule="auto"/>
        <w:rPr>
          <w:color w:val="000000"/>
          <w:sz w:val="24"/>
          <w:szCs w:val="24"/>
        </w:rPr>
      </w:pP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4  </w:t>
      </w:r>
      <w:r w:rsidRPr="00264E55">
        <w:rPr>
          <w:rFonts w:ascii="宋体" w:hAnsi="宋体" w:hint="eastAsia"/>
          <w:color w:val="000000"/>
          <w:kern w:val="0"/>
          <w:sz w:val="24"/>
          <w:szCs w:val="24"/>
        </w:rPr>
        <w:t>管理人报告</w:t>
      </w:r>
    </w:p>
    <w:p w:rsidR="004D28A3" w:rsidRPr="0078105B" w:rsidRDefault="00750D48" w:rsidP="004D28A3">
      <w:pPr>
        <w:autoSpaceDE w:val="0"/>
        <w:autoSpaceDN w:val="0"/>
        <w:adjustRightInd w:val="0"/>
        <w:spacing w:line="360" w:lineRule="auto"/>
        <w:jc w:val="left"/>
        <w:rPr>
          <w:rFonts w:ascii="宋体" w:cs="Arial"/>
          <w:b/>
          <w:color w:val="000000"/>
          <w:kern w:val="0"/>
          <w:sz w:val="24"/>
        </w:rPr>
      </w:pPr>
      <w:r w:rsidRPr="00264E55">
        <w:rPr>
          <w:rFonts w:ascii="宋体" w:hAnsi="宋体"/>
          <w:b/>
          <w:bCs/>
          <w:color w:val="000000"/>
          <w:kern w:val="0"/>
          <w:sz w:val="24"/>
          <w:szCs w:val="24"/>
        </w:rPr>
        <w:t xml:space="preserve">4.1 </w:t>
      </w:r>
      <w:r w:rsidRPr="00264E55">
        <w:rPr>
          <w:rFonts w:ascii="宋体" w:hAnsi="宋体" w:hint="eastAsia"/>
          <w:b/>
          <w:bCs/>
          <w:color w:val="000000"/>
          <w:kern w:val="0"/>
          <w:sz w:val="24"/>
          <w:szCs w:val="24"/>
        </w:rPr>
        <w:t>基金经理</w:t>
      </w:r>
      <w:r w:rsidRPr="00264E55">
        <w:rPr>
          <w:rFonts w:ascii="宋体" w:hAnsi="宋体"/>
          <w:b/>
          <w:bCs/>
          <w:color w:val="000000"/>
          <w:kern w:val="0"/>
          <w:sz w:val="24"/>
          <w:szCs w:val="24"/>
        </w:rPr>
        <w:t>(</w:t>
      </w:r>
      <w:r w:rsidRPr="00264E55">
        <w:rPr>
          <w:rFonts w:ascii="宋体" w:hAnsi="宋体" w:hint="eastAsia"/>
          <w:b/>
          <w:bCs/>
          <w:color w:val="000000"/>
          <w:kern w:val="0"/>
          <w:sz w:val="24"/>
          <w:szCs w:val="24"/>
        </w:rPr>
        <w:t>或基金经理小组</w:t>
      </w:r>
      <w:r w:rsidRPr="00264E55">
        <w:rPr>
          <w:rFonts w:ascii="宋体" w:hAnsi="宋体"/>
          <w:b/>
          <w:bCs/>
          <w:color w:val="000000"/>
          <w:kern w:val="0"/>
          <w:sz w:val="24"/>
          <w:szCs w:val="24"/>
        </w:rPr>
        <w:t>)</w:t>
      </w:r>
      <w:r w:rsidRPr="00264E55">
        <w:rPr>
          <w:rFonts w:ascii="宋体" w:hAnsi="宋体" w:hint="eastAsia"/>
          <w:b/>
          <w:bCs/>
          <w:color w:val="000000"/>
          <w:kern w:val="0"/>
          <w:sz w:val="24"/>
          <w:szCs w:val="24"/>
        </w:rPr>
        <w:t>简介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835"/>
        <w:gridCol w:w="851"/>
        <w:gridCol w:w="850"/>
        <w:gridCol w:w="851"/>
        <w:gridCol w:w="2977"/>
      </w:tblGrid>
      <w:tr w:rsidR="004D28A3" w:rsidRPr="0078105B" w:rsidTr="003328D9">
        <w:trPr>
          <w:cantSplit/>
        </w:trPr>
        <w:tc>
          <w:tcPr>
            <w:tcW w:w="567"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姓名</w:t>
            </w:r>
          </w:p>
        </w:tc>
        <w:tc>
          <w:tcPr>
            <w:tcW w:w="2835"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职务</w:t>
            </w:r>
          </w:p>
        </w:tc>
        <w:tc>
          <w:tcPr>
            <w:tcW w:w="1701" w:type="dxa"/>
            <w:gridSpan w:val="2"/>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任本基金的基金经理期限</w:t>
            </w:r>
          </w:p>
        </w:tc>
        <w:tc>
          <w:tcPr>
            <w:tcW w:w="851"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证券从业年限</w:t>
            </w:r>
          </w:p>
        </w:tc>
        <w:tc>
          <w:tcPr>
            <w:tcW w:w="2977"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说明</w:t>
            </w:r>
          </w:p>
        </w:tc>
      </w:tr>
      <w:tr w:rsidR="004D28A3" w:rsidRPr="0078105B" w:rsidTr="003328D9">
        <w:trPr>
          <w:cantSplit/>
        </w:trPr>
        <w:tc>
          <w:tcPr>
            <w:tcW w:w="567"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2835" w:type="dxa"/>
            <w:vMerge/>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851" w:type="dxa"/>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任职日期</w:t>
            </w:r>
          </w:p>
        </w:tc>
        <w:tc>
          <w:tcPr>
            <w:tcW w:w="850" w:type="dxa"/>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离任日期</w:t>
            </w:r>
          </w:p>
        </w:tc>
        <w:tc>
          <w:tcPr>
            <w:tcW w:w="851"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2977"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r>
      <w:tr w:rsidR="009D59E5">
        <w:tc>
          <w:tcPr>
            <w:tcW w:w="567" w:type="dxa"/>
            <w:vAlign w:val="center"/>
          </w:tcPr>
          <w:p w:rsidR="009D59E5" w:rsidRDefault="00847168">
            <w:pPr>
              <w:jc w:val="center"/>
            </w:pPr>
            <w:r>
              <w:rPr>
                <w:color w:val="000000"/>
                <w:sz w:val="24"/>
              </w:rPr>
              <w:t>张雅君</w:t>
            </w:r>
          </w:p>
        </w:tc>
        <w:tc>
          <w:tcPr>
            <w:tcW w:w="2835" w:type="dxa"/>
            <w:vAlign w:val="center"/>
          </w:tcPr>
          <w:p w:rsidR="009D59E5" w:rsidRDefault="00847168">
            <w:pPr>
              <w:jc w:val="center"/>
            </w:pPr>
            <w:r>
              <w:rPr>
                <w:color w:val="000000"/>
                <w:sz w:val="24"/>
              </w:rPr>
              <w:t>本基金的基金经理、易方达中债</w:t>
            </w:r>
            <w:r>
              <w:rPr>
                <w:color w:val="000000"/>
                <w:sz w:val="24"/>
              </w:rPr>
              <w:t>7-10</w:t>
            </w:r>
            <w:r>
              <w:rPr>
                <w:color w:val="000000"/>
                <w:sz w:val="24"/>
              </w:rPr>
              <w:t>年期国开行债券指数证券投资基金的基金经理、易方达中债</w:t>
            </w:r>
            <w:r>
              <w:rPr>
                <w:color w:val="000000"/>
                <w:sz w:val="24"/>
              </w:rPr>
              <w:t>3-5</w:t>
            </w:r>
            <w:r>
              <w:rPr>
                <w:color w:val="000000"/>
                <w:sz w:val="24"/>
              </w:rPr>
              <w:t>年期国债指数证券投资基金的基金经理、易方达增强回报债券型证券投资基金的基金经理、易方达裕丰回报债券型证券投资基金的基金经理、易方达恒益定期开放债券型发起式证券投资基金的基金经理（自</w:t>
            </w:r>
            <w:r>
              <w:rPr>
                <w:color w:val="000000"/>
                <w:sz w:val="24"/>
              </w:rPr>
              <w:t>2017</w:t>
            </w:r>
            <w:r>
              <w:rPr>
                <w:color w:val="000000"/>
                <w:sz w:val="24"/>
              </w:rPr>
              <w:t>年</w:t>
            </w:r>
            <w:r>
              <w:rPr>
                <w:color w:val="000000"/>
                <w:sz w:val="24"/>
              </w:rPr>
              <w:t>10</w:t>
            </w:r>
            <w:r>
              <w:rPr>
                <w:color w:val="000000"/>
                <w:sz w:val="24"/>
              </w:rPr>
              <w:t>月</w:t>
            </w:r>
            <w:r>
              <w:rPr>
                <w:color w:val="000000"/>
                <w:sz w:val="24"/>
              </w:rPr>
              <w:t>25</w:t>
            </w:r>
            <w:r>
              <w:rPr>
                <w:color w:val="000000"/>
                <w:sz w:val="24"/>
              </w:rPr>
              <w:t>日至</w:t>
            </w:r>
            <w:r>
              <w:rPr>
                <w:color w:val="000000"/>
                <w:sz w:val="24"/>
              </w:rPr>
              <w:t>2019</w:t>
            </w:r>
            <w:r>
              <w:rPr>
                <w:color w:val="000000"/>
                <w:sz w:val="24"/>
              </w:rPr>
              <w:t>年</w:t>
            </w:r>
            <w:r>
              <w:rPr>
                <w:color w:val="000000"/>
                <w:sz w:val="24"/>
              </w:rPr>
              <w:t>07</w:t>
            </w:r>
            <w:r>
              <w:rPr>
                <w:color w:val="000000"/>
                <w:sz w:val="24"/>
              </w:rPr>
              <w:t>月</w:t>
            </w:r>
            <w:r>
              <w:rPr>
                <w:color w:val="000000"/>
                <w:sz w:val="24"/>
              </w:rPr>
              <w:t>11</w:t>
            </w:r>
            <w:r>
              <w:rPr>
                <w:color w:val="000000"/>
                <w:sz w:val="24"/>
              </w:rPr>
              <w:t>日）、易方达富惠纯债债券型证券投资基金的基金经理、易方达纯债债券型证券投资基金的基金经理、易方达安盈回报混合型证券投资基金的基金经理助理、易方达丰华债券型证券投资基金的基金经理助理、易方达鑫转招</w:t>
            </w:r>
            <w:r>
              <w:rPr>
                <w:color w:val="000000"/>
                <w:sz w:val="24"/>
              </w:rPr>
              <w:t>利混合型证券投资基金的基金经理助理、易方达鑫转增利混合型证券投资基金的基金经理助理、易方达鑫转添利混合型证券投资基金的基金经理助理、易方达裕如灵活配置混合型证券投资基金的基金经理助理、易方达安心回馈混合型证券投资基金的基金经理助理、易方达安心回报债券型证券投资基金的基金经理助理、易方达裕惠回报定期开放式混合型发起式证券投资基金的基金经理助理、易方达恒久添利</w:t>
            </w:r>
            <w:r>
              <w:rPr>
                <w:color w:val="000000"/>
                <w:sz w:val="24"/>
              </w:rPr>
              <w:t>1</w:t>
            </w:r>
            <w:r>
              <w:rPr>
                <w:color w:val="000000"/>
                <w:sz w:val="24"/>
              </w:rPr>
              <w:t>年定期开放债券型证券投资基金的基金经理助理、易方达丰和债券型证券投资基金的基金经理助理、混合资产投资部总经理助理</w:t>
            </w:r>
          </w:p>
        </w:tc>
        <w:tc>
          <w:tcPr>
            <w:tcW w:w="851" w:type="dxa"/>
            <w:vAlign w:val="center"/>
          </w:tcPr>
          <w:p w:rsidR="009D59E5" w:rsidRDefault="00847168">
            <w:pPr>
              <w:jc w:val="center"/>
            </w:pPr>
            <w:r>
              <w:rPr>
                <w:color w:val="000000"/>
                <w:sz w:val="24"/>
              </w:rPr>
              <w:t>2018-10-26</w:t>
            </w:r>
          </w:p>
        </w:tc>
        <w:tc>
          <w:tcPr>
            <w:tcW w:w="850" w:type="dxa"/>
            <w:vAlign w:val="center"/>
          </w:tcPr>
          <w:p w:rsidR="009D59E5" w:rsidRDefault="00847168">
            <w:pPr>
              <w:jc w:val="center"/>
            </w:pPr>
            <w:r>
              <w:rPr>
                <w:color w:val="000000"/>
                <w:sz w:val="24"/>
              </w:rPr>
              <w:t>-</w:t>
            </w:r>
          </w:p>
        </w:tc>
        <w:tc>
          <w:tcPr>
            <w:tcW w:w="851" w:type="dxa"/>
            <w:vAlign w:val="center"/>
          </w:tcPr>
          <w:p w:rsidR="009D59E5" w:rsidRDefault="00847168">
            <w:pPr>
              <w:jc w:val="center"/>
            </w:pPr>
            <w:r>
              <w:rPr>
                <w:color w:val="000000"/>
                <w:sz w:val="24"/>
              </w:rPr>
              <w:t>10</w:t>
            </w:r>
            <w:r>
              <w:rPr>
                <w:color w:val="000000"/>
                <w:sz w:val="24"/>
              </w:rPr>
              <w:t>年</w:t>
            </w:r>
          </w:p>
        </w:tc>
        <w:tc>
          <w:tcPr>
            <w:tcW w:w="2977" w:type="dxa"/>
            <w:vAlign w:val="center"/>
          </w:tcPr>
          <w:p w:rsidR="009D59E5" w:rsidRDefault="00847168">
            <w:r>
              <w:rPr>
                <w:color w:val="000000"/>
                <w:sz w:val="24"/>
              </w:rPr>
              <w:t>硕士</w:t>
            </w:r>
            <w:r>
              <w:rPr>
                <w:color w:val="000000"/>
                <w:sz w:val="24"/>
              </w:rPr>
              <w:t>研究生，曾任海通证券股份有限公司项目经理，工银瑞信基金管理有限公司债券交易员，易方达基金管理有限公司债券交易员、固定收益研究员、固定收益基金投资部总经理助理、易方达裕祥回报债券型证券投资基金基金经理助理、易方达裕丰回报债券型证券投资基金基金经理助理、易方达裕祥回报债券型证券投资基金基金经理、易方达投资级信用债债券型证券投资基金基金经理助理、易方达新收益灵活配置混合型证券投资基金基金经理助理、易方达保本一号混合型证券投资基金基金经理助理。</w:t>
            </w:r>
          </w:p>
        </w:tc>
      </w:tr>
      <w:tr w:rsidR="009D59E5">
        <w:tc>
          <w:tcPr>
            <w:tcW w:w="567" w:type="dxa"/>
            <w:vAlign w:val="center"/>
          </w:tcPr>
          <w:p w:rsidR="009D59E5" w:rsidRDefault="00847168">
            <w:pPr>
              <w:jc w:val="center"/>
            </w:pPr>
            <w:r>
              <w:rPr>
                <w:color w:val="000000"/>
                <w:sz w:val="24"/>
              </w:rPr>
              <w:t>王晓晨</w:t>
            </w:r>
          </w:p>
        </w:tc>
        <w:tc>
          <w:tcPr>
            <w:tcW w:w="2835" w:type="dxa"/>
            <w:vAlign w:val="center"/>
          </w:tcPr>
          <w:p w:rsidR="009D59E5" w:rsidRDefault="00847168">
            <w:pPr>
              <w:jc w:val="center"/>
            </w:pPr>
            <w:r>
              <w:rPr>
                <w:color w:val="000000"/>
                <w:sz w:val="24"/>
              </w:rPr>
              <w:t>本基金的基金经理、易方达中债新综合债券指数发起式证券投资基金</w:t>
            </w:r>
            <w:r>
              <w:rPr>
                <w:color w:val="000000"/>
                <w:sz w:val="24"/>
              </w:rPr>
              <w:t>(LOF)</w:t>
            </w:r>
            <w:r>
              <w:rPr>
                <w:color w:val="000000"/>
                <w:sz w:val="24"/>
              </w:rPr>
              <w:t>的基金经理、易方达中债</w:t>
            </w:r>
            <w:r>
              <w:rPr>
                <w:color w:val="000000"/>
                <w:sz w:val="24"/>
              </w:rPr>
              <w:t>7-10</w:t>
            </w:r>
            <w:r>
              <w:rPr>
                <w:color w:val="000000"/>
                <w:sz w:val="24"/>
              </w:rPr>
              <w:t>年期国开行债券指数证券投资基金的基金经理、易方达中债</w:t>
            </w:r>
            <w:r>
              <w:rPr>
                <w:color w:val="000000"/>
                <w:sz w:val="24"/>
              </w:rPr>
              <w:t>3-5</w:t>
            </w:r>
            <w:r>
              <w:rPr>
                <w:color w:val="000000"/>
                <w:sz w:val="24"/>
              </w:rPr>
              <w:t>年期国债指数证券投资基金的基金经理（自</w:t>
            </w:r>
            <w:r>
              <w:rPr>
                <w:color w:val="000000"/>
                <w:sz w:val="24"/>
              </w:rPr>
              <w:t>2017</w:t>
            </w:r>
            <w:r>
              <w:rPr>
                <w:color w:val="000000"/>
                <w:sz w:val="24"/>
              </w:rPr>
              <w:t>年</w:t>
            </w:r>
            <w:r>
              <w:rPr>
                <w:color w:val="000000"/>
                <w:sz w:val="24"/>
              </w:rPr>
              <w:t>02</w:t>
            </w:r>
            <w:r>
              <w:rPr>
                <w:color w:val="000000"/>
                <w:sz w:val="24"/>
              </w:rPr>
              <w:t>月</w:t>
            </w:r>
            <w:r>
              <w:rPr>
                <w:color w:val="000000"/>
                <w:sz w:val="24"/>
              </w:rPr>
              <w:t>15</w:t>
            </w:r>
            <w:r>
              <w:rPr>
                <w:color w:val="000000"/>
                <w:sz w:val="24"/>
              </w:rPr>
              <w:t>日至</w:t>
            </w:r>
            <w:r>
              <w:rPr>
                <w:color w:val="000000"/>
                <w:sz w:val="24"/>
              </w:rPr>
              <w:t>2019</w:t>
            </w:r>
            <w:r>
              <w:rPr>
                <w:color w:val="000000"/>
                <w:sz w:val="24"/>
              </w:rPr>
              <w:t>年</w:t>
            </w:r>
            <w:r>
              <w:rPr>
                <w:color w:val="000000"/>
                <w:sz w:val="24"/>
              </w:rPr>
              <w:t>09</w:t>
            </w:r>
            <w:r>
              <w:rPr>
                <w:color w:val="000000"/>
                <w:sz w:val="24"/>
              </w:rPr>
              <w:t>月</w:t>
            </w:r>
            <w:r>
              <w:rPr>
                <w:color w:val="000000"/>
                <w:sz w:val="24"/>
              </w:rPr>
              <w:t>27</w:t>
            </w:r>
            <w:r>
              <w:rPr>
                <w:color w:val="000000"/>
                <w:sz w:val="24"/>
              </w:rPr>
              <w:t>日）、易方达中债</w:t>
            </w:r>
            <w:r>
              <w:rPr>
                <w:color w:val="000000"/>
                <w:sz w:val="24"/>
              </w:rPr>
              <w:t>3-5</w:t>
            </w:r>
            <w:r>
              <w:rPr>
                <w:color w:val="000000"/>
                <w:sz w:val="24"/>
              </w:rPr>
              <w:t>年国开行债券指数证券投资基金的基金经理、易方达中债</w:t>
            </w:r>
            <w:r>
              <w:rPr>
                <w:color w:val="000000"/>
                <w:sz w:val="24"/>
              </w:rPr>
              <w:t>1-3</w:t>
            </w:r>
            <w:r>
              <w:rPr>
                <w:color w:val="000000"/>
                <w:sz w:val="24"/>
              </w:rPr>
              <w:t>年国开行债券指数证券投资基金的基金经理、易方达增强回报债券型证券投资基金的基金经理、易方达新鑫灵活配置混合型证券投资基金的基金经理（自</w:t>
            </w:r>
            <w:r>
              <w:rPr>
                <w:color w:val="000000"/>
                <w:sz w:val="24"/>
              </w:rPr>
              <w:t>2018</w:t>
            </w:r>
            <w:r>
              <w:rPr>
                <w:color w:val="000000"/>
                <w:sz w:val="24"/>
              </w:rPr>
              <w:t>年</w:t>
            </w:r>
            <w:r>
              <w:rPr>
                <w:color w:val="000000"/>
                <w:sz w:val="24"/>
              </w:rPr>
              <w:t>01</w:t>
            </w:r>
            <w:r>
              <w:rPr>
                <w:color w:val="000000"/>
                <w:sz w:val="24"/>
              </w:rPr>
              <w:t>月</w:t>
            </w:r>
            <w:r>
              <w:rPr>
                <w:color w:val="000000"/>
                <w:sz w:val="24"/>
              </w:rPr>
              <w:t>31</w:t>
            </w:r>
            <w:r>
              <w:rPr>
                <w:color w:val="000000"/>
                <w:sz w:val="24"/>
              </w:rPr>
              <w:t>日至</w:t>
            </w:r>
            <w:r>
              <w:rPr>
                <w:color w:val="000000"/>
                <w:sz w:val="24"/>
              </w:rPr>
              <w:t>2019</w:t>
            </w:r>
            <w:r>
              <w:rPr>
                <w:color w:val="000000"/>
                <w:sz w:val="24"/>
              </w:rPr>
              <w:t>年</w:t>
            </w:r>
            <w:r>
              <w:rPr>
                <w:color w:val="000000"/>
                <w:sz w:val="24"/>
              </w:rPr>
              <w:t>07</w:t>
            </w:r>
            <w:r>
              <w:rPr>
                <w:color w:val="000000"/>
                <w:sz w:val="24"/>
              </w:rPr>
              <w:t>月</w:t>
            </w:r>
            <w:r>
              <w:rPr>
                <w:color w:val="000000"/>
                <w:sz w:val="24"/>
              </w:rPr>
              <w:t>02</w:t>
            </w:r>
            <w:r>
              <w:rPr>
                <w:color w:val="000000"/>
                <w:sz w:val="24"/>
              </w:rPr>
              <w:t>日）、易方达投资</w:t>
            </w:r>
            <w:r>
              <w:rPr>
                <w:color w:val="000000"/>
                <w:sz w:val="24"/>
              </w:rPr>
              <w:t>级信用债债券型证券投资基金的基金经理、易方达双债增强债券型证券投资基金的基金经理、易方达恒益定期开放债券型发起式证券投资基金的基金经理（自</w:t>
            </w:r>
            <w:r>
              <w:rPr>
                <w:color w:val="000000"/>
                <w:sz w:val="24"/>
              </w:rPr>
              <w:t>2017</w:t>
            </w:r>
            <w:r>
              <w:rPr>
                <w:color w:val="000000"/>
                <w:sz w:val="24"/>
              </w:rPr>
              <w:t>年</w:t>
            </w:r>
            <w:r>
              <w:rPr>
                <w:color w:val="000000"/>
                <w:sz w:val="24"/>
              </w:rPr>
              <w:t>10</w:t>
            </w:r>
            <w:r>
              <w:rPr>
                <w:color w:val="000000"/>
                <w:sz w:val="24"/>
              </w:rPr>
              <w:t>月</w:t>
            </w:r>
            <w:r>
              <w:rPr>
                <w:color w:val="000000"/>
                <w:sz w:val="24"/>
              </w:rPr>
              <w:t>25</w:t>
            </w:r>
            <w:r>
              <w:rPr>
                <w:color w:val="000000"/>
                <w:sz w:val="24"/>
              </w:rPr>
              <w:t>日至</w:t>
            </w:r>
            <w:r>
              <w:rPr>
                <w:color w:val="000000"/>
                <w:sz w:val="24"/>
              </w:rPr>
              <w:t>2019</w:t>
            </w:r>
            <w:r>
              <w:rPr>
                <w:color w:val="000000"/>
                <w:sz w:val="24"/>
              </w:rPr>
              <w:t>年</w:t>
            </w:r>
            <w:r>
              <w:rPr>
                <w:color w:val="000000"/>
                <w:sz w:val="24"/>
              </w:rPr>
              <w:t>09</w:t>
            </w:r>
            <w:r>
              <w:rPr>
                <w:color w:val="000000"/>
                <w:sz w:val="24"/>
              </w:rPr>
              <w:t>月</w:t>
            </w:r>
            <w:r>
              <w:rPr>
                <w:color w:val="000000"/>
                <w:sz w:val="24"/>
              </w:rPr>
              <w:t>10</w:t>
            </w:r>
            <w:r>
              <w:rPr>
                <w:color w:val="000000"/>
                <w:sz w:val="24"/>
              </w:rPr>
              <w:t>日）、易方达恒安定期开放债券型发起式证券投资基金的基金经理、易方达纯债债券型证券投资基金的基金经理（自</w:t>
            </w:r>
            <w:r>
              <w:rPr>
                <w:color w:val="000000"/>
                <w:sz w:val="24"/>
              </w:rPr>
              <w:t>2017</w:t>
            </w:r>
            <w:r>
              <w:rPr>
                <w:color w:val="000000"/>
                <w:sz w:val="24"/>
              </w:rPr>
              <w:t>年</w:t>
            </w:r>
            <w:r>
              <w:rPr>
                <w:color w:val="000000"/>
                <w:sz w:val="24"/>
              </w:rPr>
              <w:t>02</w:t>
            </w:r>
            <w:r>
              <w:rPr>
                <w:color w:val="000000"/>
                <w:sz w:val="24"/>
              </w:rPr>
              <w:t>月</w:t>
            </w:r>
            <w:r>
              <w:rPr>
                <w:color w:val="000000"/>
                <w:sz w:val="24"/>
              </w:rPr>
              <w:t>15</w:t>
            </w:r>
            <w:r>
              <w:rPr>
                <w:color w:val="000000"/>
                <w:sz w:val="24"/>
              </w:rPr>
              <w:t>日至</w:t>
            </w:r>
            <w:r>
              <w:rPr>
                <w:color w:val="000000"/>
                <w:sz w:val="24"/>
              </w:rPr>
              <w:t>2019</w:t>
            </w:r>
            <w:r>
              <w:rPr>
                <w:color w:val="000000"/>
                <w:sz w:val="24"/>
              </w:rPr>
              <w:t>年</w:t>
            </w:r>
            <w:r>
              <w:rPr>
                <w:color w:val="000000"/>
                <w:sz w:val="24"/>
              </w:rPr>
              <w:t>09</w:t>
            </w:r>
            <w:r>
              <w:rPr>
                <w:color w:val="000000"/>
                <w:sz w:val="24"/>
              </w:rPr>
              <w:t>月</w:t>
            </w:r>
            <w:r>
              <w:rPr>
                <w:color w:val="000000"/>
                <w:sz w:val="24"/>
              </w:rPr>
              <w:t>10</w:t>
            </w:r>
            <w:r>
              <w:rPr>
                <w:color w:val="000000"/>
                <w:sz w:val="24"/>
              </w:rPr>
              <w:t>日）、易方达安瑞短债债券型证券投资基金的基金经理、固定收益投资部副总经理、易方达资产管理（香港）有限公司基金经理、就证券提供意见负责人员（</w:t>
            </w:r>
            <w:r>
              <w:rPr>
                <w:color w:val="000000"/>
                <w:sz w:val="24"/>
              </w:rPr>
              <w:t>RO</w:t>
            </w:r>
            <w:r>
              <w:rPr>
                <w:color w:val="000000"/>
                <w:sz w:val="24"/>
              </w:rPr>
              <w:t>）、提供资产管理负责人员（</w:t>
            </w:r>
            <w:r>
              <w:rPr>
                <w:color w:val="000000"/>
                <w:sz w:val="24"/>
              </w:rPr>
              <w:t>RO</w:t>
            </w:r>
            <w:r>
              <w:rPr>
                <w:color w:val="000000"/>
                <w:sz w:val="24"/>
              </w:rPr>
              <w:t>）、易方达资</w:t>
            </w:r>
            <w:r>
              <w:rPr>
                <w:color w:val="000000"/>
                <w:sz w:val="24"/>
              </w:rPr>
              <w:t>产管理（香港）有限公司固定收益投资决策委员会委员</w:t>
            </w:r>
          </w:p>
        </w:tc>
        <w:tc>
          <w:tcPr>
            <w:tcW w:w="851" w:type="dxa"/>
            <w:vAlign w:val="center"/>
          </w:tcPr>
          <w:p w:rsidR="009D59E5" w:rsidRDefault="00847168">
            <w:pPr>
              <w:jc w:val="center"/>
            </w:pPr>
            <w:r>
              <w:rPr>
                <w:color w:val="000000"/>
                <w:sz w:val="24"/>
              </w:rPr>
              <w:t>2018-10-26</w:t>
            </w:r>
          </w:p>
        </w:tc>
        <w:tc>
          <w:tcPr>
            <w:tcW w:w="850" w:type="dxa"/>
            <w:vAlign w:val="center"/>
          </w:tcPr>
          <w:p w:rsidR="009D59E5" w:rsidRDefault="00847168">
            <w:pPr>
              <w:jc w:val="center"/>
            </w:pPr>
            <w:r>
              <w:rPr>
                <w:color w:val="000000"/>
                <w:sz w:val="24"/>
              </w:rPr>
              <w:t>-</w:t>
            </w:r>
          </w:p>
        </w:tc>
        <w:tc>
          <w:tcPr>
            <w:tcW w:w="851" w:type="dxa"/>
            <w:vAlign w:val="center"/>
          </w:tcPr>
          <w:p w:rsidR="009D59E5" w:rsidRDefault="00847168">
            <w:pPr>
              <w:jc w:val="center"/>
            </w:pPr>
            <w:r>
              <w:rPr>
                <w:color w:val="000000"/>
                <w:sz w:val="24"/>
              </w:rPr>
              <w:t>16</w:t>
            </w:r>
            <w:r>
              <w:rPr>
                <w:color w:val="000000"/>
                <w:sz w:val="24"/>
              </w:rPr>
              <w:t>年</w:t>
            </w:r>
          </w:p>
        </w:tc>
        <w:tc>
          <w:tcPr>
            <w:tcW w:w="2977" w:type="dxa"/>
            <w:vAlign w:val="center"/>
          </w:tcPr>
          <w:p w:rsidR="009D59E5" w:rsidRDefault="00847168">
            <w:r>
              <w:rPr>
                <w:color w:val="000000"/>
                <w:sz w:val="24"/>
              </w:rPr>
              <w:t>硕士研究生，曾任易方达基金管理有限公司集中交易室债券交易员、债券交易主管、固定收益总部总经理助理、固定收益基金投资部副总经理、易方达货币市场基金基金经理、易方达保证金收益货币市场基金基金经理、易方达保本一号混合型证券投资基金基金经理。</w:t>
            </w:r>
          </w:p>
        </w:tc>
      </w:tr>
    </w:tbl>
    <w:p w:rsidR="009D59E5" w:rsidRDefault="00847168">
      <w:pPr>
        <w:spacing w:line="360" w:lineRule="auto"/>
        <w:ind w:firstLineChars="200" w:firstLine="480"/>
        <w:rPr>
          <w:color w:val="000000"/>
          <w:sz w:val="24"/>
          <w:szCs w:val="24"/>
        </w:rPr>
      </w:pPr>
      <w:r>
        <w:rPr>
          <w:color w:val="000000"/>
          <w:sz w:val="24"/>
          <w:szCs w:val="24"/>
        </w:rPr>
        <w:t>注：</w:t>
      </w:r>
      <w:r>
        <w:rPr>
          <w:color w:val="000000"/>
          <w:sz w:val="24"/>
          <w:szCs w:val="24"/>
        </w:rPr>
        <w:t>1.</w:t>
      </w:r>
      <w:r>
        <w:rPr>
          <w:color w:val="000000"/>
          <w:sz w:val="24"/>
          <w:szCs w:val="24"/>
        </w:rPr>
        <w:t>对基金的首任基金经理，其</w:t>
      </w:r>
      <w:r>
        <w:rPr>
          <w:color w:val="000000"/>
          <w:sz w:val="24"/>
          <w:szCs w:val="24"/>
        </w:rPr>
        <w:t>“</w:t>
      </w:r>
      <w:r>
        <w:rPr>
          <w:color w:val="000000"/>
          <w:sz w:val="24"/>
          <w:szCs w:val="24"/>
        </w:rPr>
        <w:t>任职日期</w:t>
      </w:r>
      <w:r>
        <w:rPr>
          <w:color w:val="000000"/>
          <w:sz w:val="24"/>
          <w:szCs w:val="24"/>
        </w:rPr>
        <w:t>”</w:t>
      </w:r>
      <w:r>
        <w:rPr>
          <w:color w:val="000000"/>
          <w:sz w:val="24"/>
          <w:szCs w:val="24"/>
        </w:rPr>
        <w:t>为基金合同生效日，</w:t>
      </w:r>
      <w:r>
        <w:rPr>
          <w:color w:val="000000"/>
          <w:sz w:val="24"/>
          <w:szCs w:val="24"/>
        </w:rPr>
        <w:t>“</w:t>
      </w:r>
      <w:r>
        <w:rPr>
          <w:color w:val="000000"/>
          <w:sz w:val="24"/>
          <w:szCs w:val="24"/>
        </w:rPr>
        <w:t>离任日期</w:t>
      </w:r>
      <w:r>
        <w:rPr>
          <w:color w:val="000000"/>
          <w:sz w:val="24"/>
          <w:szCs w:val="24"/>
        </w:rPr>
        <w:t>”</w:t>
      </w:r>
      <w:r>
        <w:rPr>
          <w:color w:val="000000"/>
          <w:sz w:val="24"/>
          <w:szCs w:val="24"/>
        </w:rPr>
        <w:t>为根据公司决定确定的解聘日期；对此后的非首任基金经理，</w:t>
      </w:r>
      <w:r>
        <w:rPr>
          <w:color w:val="000000"/>
          <w:sz w:val="24"/>
          <w:szCs w:val="24"/>
        </w:rPr>
        <w:t>“</w:t>
      </w:r>
      <w:r>
        <w:rPr>
          <w:color w:val="000000"/>
          <w:sz w:val="24"/>
          <w:szCs w:val="24"/>
        </w:rPr>
        <w:t>任职日期</w:t>
      </w:r>
      <w:r>
        <w:rPr>
          <w:color w:val="000000"/>
          <w:sz w:val="24"/>
          <w:szCs w:val="24"/>
        </w:rPr>
        <w:t>”</w:t>
      </w:r>
      <w:r>
        <w:rPr>
          <w:color w:val="000000"/>
          <w:sz w:val="24"/>
          <w:szCs w:val="24"/>
        </w:rPr>
        <w:t>和</w:t>
      </w:r>
      <w:r>
        <w:rPr>
          <w:color w:val="000000"/>
          <w:sz w:val="24"/>
          <w:szCs w:val="24"/>
        </w:rPr>
        <w:t>“</w:t>
      </w:r>
      <w:r>
        <w:rPr>
          <w:color w:val="000000"/>
          <w:sz w:val="24"/>
          <w:szCs w:val="24"/>
        </w:rPr>
        <w:t>离任日期</w:t>
      </w:r>
      <w:r>
        <w:rPr>
          <w:color w:val="000000"/>
          <w:sz w:val="24"/>
          <w:szCs w:val="24"/>
        </w:rPr>
        <w:t>”</w:t>
      </w:r>
      <w:r>
        <w:rPr>
          <w:color w:val="000000"/>
          <w:sz w:val="24"/>
          <w:szCs w:val="24"/>
        </w:rPr>
        <w:t>分别指根据公司决定确定的聘任日期和解聘日期。</w:t>
      </w:r>
    </w:p>
    <w:p w:rsidR="00750D48" w:rsidRPr="00232B03" w:rsidRDefault="004D28A3" w:rsidP="004D28A3">
      <w:pPr>
        <w:spacing w:line="360" w:lineRule="auto"/>
        <w:ind w:firstLineChars="200" w:firstLine="480"/>
        <w:rPr>
          <w:color w:val="000000"/>
          <w:sz w:val="24"/>
          <w:szCs w:val="24"/>
        </w:rPr>
      </w:pPr>
      <w:r w:rsidRPr="004D28A3">
        <w:rPr>
          <w:color w:val="000000"/>
          <w:sz w:val="24"/>
          <w:szCs w:val="24"/>
        </w:rPr>
        <w:t>2.</w:t>
      </w:r>
      <w:r w:rsidRPr="004D28A3">
        <w:rPr>
          <w:color w:val="000000"/>
          <w:sz w:val="24"/>
          <w:szCs w:val="24"/>
        </w:rPr>
        <w:t>证券从业的含义遵从《证券业从业人员资格管理办法》的相关规定。</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4.2 </w:t>
      </w:r>
      <w:r w:rsidRPr="00264E55">
        <w:rPr>
          <w:rFonts w:ascii="宋体" w:hAnsi="宋体" w:hint="eastAsia"/>
          <w:b/>
          <w:bCs/>
          <w:color w:val="000000"/>
          <w:kern w:val="0"/>
          <w:sz w:val="24"/>
          <w:szCs w:val="24"/>
        </w:rPr>
        <w:t>管理人对报告期内本基金运作遵规守信情况的说明</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报告期内，本基金管理人严格遵守《证券投资基金法》等有关法律法规及基金合同、基金招募说明书等有关基金法律文件的规定，以取信于市场、取信于社会投资公众为宗旨，本着诚实信用、勤勉尽责的原则管理和运用基金资产，在控制风险的前提下，为基金份额持有人谋求最大利益。在本报告期内，基金运作合法合规，无损害基金份额持有人利益的行为。</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4.3 </w:t>
      </w:r>
      <w:r w:rsidRPr="00264E55">
        <w:rPr>
          <w:rFonts w:ascii="宋体" w:hAnsi="宋体" w:hint="eastAsia"/>
          <w:b/>
          <w:bCs/>
          <w:color w:val="000000"/>
          <w:kern w:val="0"/>
          <w:sz w:val="24"/>
          <w:szCs w:val="24"/>
        </w:rPr>
        <w:t>公平交易专项说明</w:t>
      </w:r>
    </w:p>
    <w:p w:rsidR="00750D48" w:rsidRPr="00264E55" w:rsidRDefault="00750D48" w:rsidP="009E7C6A">
      <w:pPr>
        <w:spacing w:line="360" w:lineRule="auto"/>
        <w:rPr>
          <w:rFonts w:ascii="宋体"/>
          <w:color w:val="00000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olor w:val="000000"/>
            <w:sz w:val="24"/>
            <w:szCs w:val="24"/>
          </w:rPr>
          <w:t>4.3.1</w:t>
        </w:r>
      </w:smartTag>
      <w:r w:rsidRPr="00264E55">
        <w:rPr>
          <w:rFonts w:ascii="宋体" w:hAnsi="宋体" w:hint="eastAsia"/>
          <w:color w:val="000000"/>
          <w:sz w:val="24"/>
          <w:szCs w:val="24"/>
        </w:rPr>
        <w:t>公平交易制度的执行情况</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本基金管理人主要通过建立有纪律、规范化的投资研究和决策流程、交易流程，以及强化事后监控分析来确保公平对待不同投资组合，切实防范利益输送。本基金管理人制定了严格的投资权限管理制度、投资备选库管理制度和集中交易制度等，并重视交易执行环节的公平交易措施，以</w:t>
      </w:r>
      <w:r w:rsidRPr="006C56AA">
        <w:rPr>
          <w:color w:val="000000"/>
          <w:sz w:val="24"/>
          <w:szCs w:val="24"/>
        </w:rPr>
        <w:t>“</w:t>
      </w:r>
      <w:r w:rsidRPr="006C56AA">
        <w:rPr>
          <w:color w:val="000000"/>
          <w:sz w:val="24"/>
          <w:szCs w:val="24"/>
        </w:rPr>
        <w:t>时间优先、价格优先</w:t>
      </w:r>
      <w:r w:rsidRPr="006C56AA">
        <w:rPr>
          <w:color w:val="000000"/>
          <w:sz w:val="24"/>
          <w:szCs w:val="24"/>
        </w:rPr>
        <w:t>”</w:t>
      </w:r>
      <w:r w:rsidRPr="006C56AA">
        <w:rPr>
          <w:color w:val="000000"/>
          <w:sz w:val="24"/>
          <w:szCs w:val="24"/>
        </w:rPr>
        <w:t>作为执行指令的基本原则，通过投资交易系统中的公平交易模块，以尽可能确保公平对待各投资组合。本报告期内，公平交易制度总体执行情况良好。</w:t>
      </w:r>
    </w:p>
    <w:p w:rsidR="00750D48" w:rsidRPr="00264E55" w:rsidRDefault="00750D48" w:rsidP="009E7C6A">
      <w:pPr>
        <w:spacing w:line="360" w:lineRule="auto"/>
        <w:rPr>
          <w:rFonts w:ascii="宋体"/>
          <w:color w:val="00000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olor w:val="000000"/>
            <w:sz w:val="24"/>
            <w:szCs w:val="24"/>
          </w:rPr>
          <w:t>4.3.2</w:t>
        </w:r>
      </w:smartTag>
      <w:r w:rsidRPr="00264E55">
        <w:rPr>
          <w:rFonts w:ascii="宋体" w:hAnsi="宋体" w:hint="eastAsia"/>
          <w:color w:val="000000"/>
          <w:sz w:val="24"/>
          <w:szCs w:val="24"/>
        </w:rPr>
        <w:t>异常交易行为的专项说明</w:t>
      </w:r>
    </w:p>
    <w:p w:rsidR="009D59E5" w:rsidRDefault="00847168">
      <w:pPr>
        <w:spacing w:line="360" w:lineRule="auto"/>
        <w:ind w:firstLineChars="200" w:firstLine="480"/>
        <w:rPr>
          <w:color w:val="000000"/>
          <w:sz w:val="24"/>
          <w:szCs w:val="24"/>
        </w:rPr>
      </w:pPr>
      <w:r>
        <w:rPr>
          <w:color w:val="000000"/>
          <w:sz w:val="24"/>
          <w:szCs w:val="24"/>
        </w:rPr>
        <w:t>本报告期内，公司旗下所有投资组合参与的交易所公开竞价交易中，同日反向交易成交较少的单边交易量超过该证券当日成交量的</w:t>
      </w:r>
      <w:r>
        <w:rPr>
          <w:color w:val="000000"/>
          <w:sz w:val="24"/>
          <w:szCs w:val="24"/>
        </w:rPr>
        <w:t>5%</w:t>
      </w:r>
      <w:r>
        <w:rPr>
          <w:color w:val="000000"/>
          <w:sz w:val="24"/>
          <w:szCs w:val="24"/>
        </w:rPr>
        <w:t>的交易共</w:t>
      </w:r>
      <w:r>
        <w:rPr>
          <w:color w:val="000000"/>
          <w:sz w:val="24"/>
          <w:szCs w:val="24"/>
        </w:rPr>
        <w:t>26</w:t>
      </w:r>
      <w:r>
        <w:rPr>
          <w:color w:val="000000"/>
          <w:sz w:val="24"/>
          <w:szCs w:val="24"/>
        </w:rPr>
        <w:t>次，均为指数量化投资组合因投资策略需要和其他组合发生的反向交易。</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本报告期内，未发现本基金有可能导致不公平交易和利益输送的异常交易。</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4.4 </w:t>
      </w:r>
      <w:r w:rsidRPr="00264E55">
        <w:rPr>
          <w:rFonts w:ascii="宋体" w:hAnsi="宋体" w:hint="eastAsia"/>
          <w:b/>
          <w:bCs/>
          <w:color w:val="000000"/>
          <w:kern w:val="0"/>
          <w:sz w:val="24"/>
          <w:szCs w:val="24"/>
        </w:rPr>
        <w:t>报告期内基金的投资策略和业绩表现说明</w:t>
      </w:r>
    </w:p>
    <w:p w:rsidR="00750D48" w:rsidRPr="00264E55" w:rsidRDefault="00750D48" w:rsidP="009E7C6A">
      <w:pPr>
        <w:spacing w:line="360" w:lineRule="auto"/>
        <w:rPr>
          <w:rFonts w:asci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s="宋体"/>
            <w:sz w:val="24"/>
            <w:szCs w:val="24"/>
          </w:rPr>
          <w:t>4.4.1</w:t>
        </w:r>
      </w:smartTag>
      <w:r w:rsidRPr="00264E55">
        <w:rPr>
          <w:rFonts w:ascii="宋体" w:hAnsi="宋体" w:cs="宋体" w:hint="eastAsia"/>
          <w:sz w:val="24"/>
          <w:szCs w:val="24"/>
        </w:rPr>
        <w:t>报告期内基金投资策略和运作分析</w:t>
      </w:r>
    </w:p>
    <w:p w:rsidR="009D59E5" w:rsidRDefault="00847168">
      <w:pPr>
        <w:spacing w:line="360" w:lineRule="auto"/>
        <w:ind w:firstLineChars="200" w:firstLine="480"/>
        <w:rPr>
          <w:color w:val="000000"/>
          <w:sz w:val="24"/>
          <w:szCs w:val="24"/>
        </w:rPr>
      </w:pPr>
      <w:r>
        <w:rPr>
          <w:color w:val="000000"/>
          <w:sz w:val="24"/>
          <w:szCs w:val="24"/>
        </w:rPr>
        <w:t>三季度，债券市场收益率整体先下后上，全季来看收益率整体有所下行。三季度资金面从二季度末的极度宽松状态回归正常，不过这种不松不紧的状态整体并未超出市场预期，市场走势主要由基本面预期驱动。</w:t>
      </w:r>
      <w:r>
        <w:rPr>
          <w:color w:val="000000"/>
          <w:sz w:val="24"/>
          <w:szCs w:val="24"/>
        </w:rPr>
        <w:t>7</w:t>
      </w:r>
      <w:r>
        <w:rPr>
          <w:color w:val="000000"/>
          <w:sz w:val="24"/>
          <w:szCs w:val="24"/>
        </w:rPr>
        <w:t>月份收益率以整体小幅下行为主。</w:t>
      </w:r>
      <w:r>
        <w:rPr>
          <w:color w:val="000000"/>
          <w:sz w:val="24"/>
          <w:szCs w:val="24"/>
        </w:rPr>
        <w:t>8</w:t>
      </w:r>
      <w:r>
        <w:rPr>
          <w:color w:val="000000"/>
          <w:sz w:val="24"/>
          <w:szCs w:val="24"/>
        </w:rPr>
        <w:t>月份开始，受全球央行</w:t>
      </w:r>
      <w:r>
        <w:rPr>
          <w:color w:val="000000"/>
          <w:sz w:val="24"/>
          <w:szCs w:val="24"/>
        </w:rPr>
        <w:t>“</w:t>
      </w:r>
      <w:r>
        <w:rPr>
          <w:color w:val="000000"/>
          <w:sz w:val="24"/>
          <w:szCs w:val="24"/>
        </w:rPr>
        <w:t>鸽派</w:t>
      </w:r>
      <w:r>
        <w:rPr>
          <w:color w:val="000000"/>
          <w:sz w:val="24"/>
          <w:szCs w:val="24"/>
        </w:rPr>
        <w:t>”</w:t>
      </w:r>
      <w:r>
        <w:rPr>
          <w:color w:val="000000"/>
          <w:sz w:val="24"/>
          <w:szCs w:val="24"/>
        </w:rPr>
        <w:t>宽松，风险资产波动加大，基本面不及预期及政府对房地产调控不断加强的影响，债券收益率快速下行，期限利差和信用利差均大幅压缩，长端利率债收益率创今年新低，中低等级城投债利差也大幅收窄。</w:t>
      </w:r>
      <w:r>
        <w:rPr>
          <w:color w:val="000000"/>
          <w:sz w:val="24"/>
          <w:szCs w:val="24"/>
        </w:rPr>
        <w:t>8</w:t>
      </w:r>
      <w:r>
        <w:rPr>
          <w:color w:val="000000"/>
          <w:sz w:val="24"/>
          <w:szCs w:val="24"/>
        </w:rPr>
        <w:t>月中下旬开始，受专项债扩容担忧、通胀预期升温、货币政策宽松预期转弱、海外债券收益率反</w:t>
      </w:r>
      <w:r>
        <w:rPr>
          <w:color w:val="000000"/>
          <w:sz w:val="24"/>
          <w:szCs w:val="24"/>
        </w:rPr>
        <w:t>弹等因素影响，债券市场出现回调。即使</w:t>
      </w:r>
      <w:r>
        <w:rPr>
          <w:color w:val="000000"/>
          <w:sz w:val="24"/>
          <w:szCs w:val="24"/>
        </w:rPr>
        <w:t>9</w:t>
      </w:r>
      <w:r>
        <w:rPr>
          <w:color w:val="000000"/>
          <w:sz w:val="24"/>
          <w:szCs w:val="24"/>
        </w:rPr>
        <w:t>月降准也未能扭转债券市场弱势调整的态势。</w:t>
      </w:r>
      <w:r>
        <w:rPr>
          <w:color w:val="000000"/>
          <w:sz w:val="24"/>
          <w:szCs w:val="24"/>
        </w:rPr>
        <w:t xml:space="preserve"> </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本基金二季度依然选择中短期限的政策性金融债作为配置品种，不投资信用债以及国债期货等衍生品。组合持仓债券以持有获取下滑收益为主。</w:t>
      </w:r>
    </w:p>
    <w:p w:rsidR="00750D48" w:rsidRPr="00264E55" w:rsidRDefault="00750D48" w:rsidP="009E7C6A">
      <w:pPr>
        <w:spacing w:line="360" w:lineRule="auto"/>
        <w:rPr>
          <w:rFonts w:asci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s="宋体"/>
            <w:sz w:val="24"/>
            <w:szCs w:val="24"/>
          </w:rPr>
          <w:t>4.4.2</w:t>
        </w:r>
      </w:smartTag>
      <w:r w:rsidRPr="00264E55">
        <w:rPr>
          <w:rFonts w:ascii="宋体" w:hAnsi="宋体" w:cs="宋体" w:hint="eastAsia"/>
          <w:sz w:val="24"/>
          <w:szCs w:val="24"/>
        </w:rPr>
        <w:t>报告期内基金的业绩表现</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截至报告期末，本基金份额净值为</w:t>
      </w:r>
      <w:r w:rsidRPr="006C56AA">
        <w:rPr>
          <w:color w:val="000000"/>
          <w:sz w:val="24"/>
          <w:szCs w:val="24"/>
        </w:rPr>
        <w:t>1.0142</w:t>
      </w:r>
      <w:r w:rsidRPr="006C56AA">
        <w:rPr>
          <w:color w:val="000000"/>
          <w:sz w:val="24"/>
          <w:szCs w:val="24"/>
        </w:rPr>
        <w:t>元，本报告期份额净值增长率为</w:t>
      </w:r>
      <w:r w:rsidRPr="006C56AA">
        <w:rPr>
          <w:color w:val="000000"/>
          <w:sz w:val="24"/>
          <w:szCs w:val="24"/>
        </w:rPr>
        <w:t>0.96%</w:t>
      </w:r>
      <w:r w:rsidRPr="006C56AA">
        <w:rPr>
          <w:color w:val="000000"/>
          <w:sz w:val="24"/>
          <w:szCs w:val="24"/>
        </w:rPr>
        <w:t>，同期业绩比较基准收益率为</w:t>
      </w:r>
      <w:r w:rsidRPr="006C56AA">
        <w:rPr>
          <w:color w:val="000000"/>
          <w:sz w:val="24"/>
          <w:szCs w:val="24"/>
        </w:rPr>
        <w:t>0.46%</w:t>
      </w:r>
      <w:r w:rsidRPr="006C56AA">
        <w:rPr>
          <w:color w:val="000000"/>
          <w:sz w:val="24"/>
          <w:szCs w:val="24"/>
        </w:rPr>
        <w:t>。</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5  </w:t>
      </w:r>
      <w:r w:rsidRPr="00264E55">
        <w:rPr>
          <w:rFonts w:ascii="宋体" w:hAnsi="宋体" w:hint="eastAsia"/>
          <w:color w:val="000000"/>
          <w:kern w:val="0"/>
          <w:sz w:val="24"/>
          <w:szCs w:val="24"/>
        </w:rPr>
        <w:t>投资组合报告</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5.1 </w:t>
      </w:r>
      <w:r w:rsidRPr="00264E55">
        <w:rPr>
          <w:rFonts w:ascii="宋体" w:hAnsi="宋体" w:hint="eastAsia"/>
          <w:b/>
          <w:bCs/>
          <w:color w:val="000000"/>
          <w:kern w:val="0"/>
          <w:sz w:val="24"/>
          <w:szCs w:val="24"/>
        </w:rPr>
        <w:t>报告期末基金资产组合情况</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3357"/>
        <w:gridCol w:w="2977"/>
        <w:gridCol w:w="1843"/>
      </w:tblGrid>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3357"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项目</w:t>
            </w:r>
          </w:p>
        </w:tc>
        <w:tc>
          <w:tcPr>
            <w:tcW w:w="2977"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金额</w:t>
            </w:r>
            <w:r w:rsidR="005F7917" w:rsidRPr="00232B03">
              <w:rPr>
                <w:color w:val="000000"/>
                <w:kern w:val="0"/>
                <w:sz w:val="24"/>
                <w:szCs w:val="24"/>
              </w:rPr>
              <w:t>（元）</w:t>
            </w:r>
          </w:p>
        </w:tc>
        <w:tc>
          <w:tcPr>
            <w:tcW w:w="1843"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占基金总资产的比例</w:t>
            </w:r>
            <w:r w:rsidR="005F7917" w:rsidRPr="00232B03">
              <w:rPr>
                <w:color w:val="000000"/>
                <w:kern w:val="0"/>
                <w:sz w:val="24"/>
                <w:szCs w:val="24"/>
              </w:rPr>
              <w:t>（</w:t>
            </w:r>
            <w:r w:rsidR="005F7917" w:rsidRPr="00232B03">
              <w:rPr>
                <w:color w:val="000000"/>
                <w:kern w:val="0"/>
                <w:sz w:val="24"/>
                <w:szCs w:val="24"/>
              </w:rPr>
              <w:t>%</w:t>
            </w:r>
            <w:r w:rsidR="005F7917"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1</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权益投资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其中：股票</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2</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固定收益投资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6,710,644,000.00</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98.47</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其中：债券</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6,710,644,000.00</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98.47</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autoSpaceDE w:val="0"/>
              <w:autoSpaceDN w:val="0"/>
              <w:adjustRightInd w:val="0"/>
              <w:spacing w:before="29" w:line="360" w:lineRule="auto"/>
              <w:ind w:left="17"/>
              <w:jc w:val="left"/>
              <w:rPr>
                <w:color w:val="000000"/>
                <w:kern w:val="0"/>
                <w:sz w:val="24"/>
                <w:szCs w:val="24"/>
              </w:rPr>
            </w:pPr>
            <w:r w:rsidRPr="00232B03">
              <w:rPr>
                <w:color w:val="000000"/>
                <w:kern w:val="0"/>
                <w:sz w:val="24"/>
                <w:szCs w:val="24"/>
              </w:rPr>
              <w:t>资产支持证券</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3</w:t>
            </w:r>
          </w:p>
        </w:tc>
        <w:tc>
          <w:tcPr>
            <w:tcW w:w="3357" w:type="dxa"/>
          </w:tcPr>
          <w:p w:rsidR="00750D48" w:rsidRPr="00232B03" w:rsidRDefault="00750D48" w:rsidP="00EB572F">
            <w:pPr>
              <w:spacing w:before="29" w:line="360" w:lineRule="auto"/>
              <w:ind w:leftChars="50" w:left="105"/>
              <w:rPr>
                <w:color w:val="000000"/>
                <w:kern w:val="0"/>
                <w:sz w:val="24"/>
                <w:szCs w:val="24"/>
              </w:rPr>
            </w:pPr>
            <w:r w:rsidRPr="00232B03">
              <w:rPr>
                <w:color w:val="000000"/>
                <w:kern w:val="0"/>
                <w:sz w:val="24"/>
                <w:szCs w:val="24"/>
              </w:rPr>
              <w:t>贵金属投资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4</w:t>
            </w:r>
          </w:p>
        </w:tc>
        <w:tc>
          <w:tcPr>
            <w:tcW w:w="3357" w:type="dxa"/>
            <w:vAlign w:val="center"/>
          </w:tcPr>
          <w:p w:rsidR="00750D48" w:rsidRPr="00232B03" w:rsidRDefault="00750D48" w:rsidP="00B05049">
            <w:pPr>
              <w:spacing w:before="29" w:line="360" w:lineRule="auto"/>
              <w:ind w:left="17"/>
              <w:jc w:val="left"/>
              <w:rPr>
                <w:color w:val="000000"/>
                <w:kern w:val="0"/>
                <w:sz w:val="24"/>
                <w:szCs w:val="24"/>
              </w:rPr>
            </w:pPr>
            <w:r w:rsidRPr="00232B03">
              <w:rPr>
                <w:color w:val="000000"/>
                <w:kern w:val="0"/>
                <w:sz w:val="24"/>
                <w:szCs w:val="24"/>
              </w:rPr>
              <w:t>金融衍生品投资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5</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买入返售金融资产</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9,900,134.85</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0.15</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其中：买断式回购的买入返售金融资产</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6</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银行存款和结算备付金合计</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1,210,974.17</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0.02</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7</w:t>
            </w:r>
          </w:p>
        </w:tc>
        <w:tc>
          <w:tcPr>
            <w:tcW w:w="3357" w:type="dxa"/>
            <w:vAlign w:val="center"/>
          </w:tcPr>
          <w:p w:rsidR="00750D48" w:rsidRPr="00232B03" w:rsidRDefault="00750D48" w:rsidP="00B05049">
            <w:pPr>
              <w:jc w:val="left"/>
              <w:rPr>
                <w:kern w:val="0"/>
                <w:sz w:val="24"/>
                <w:szCs w:val="24"/>
              </w:rPr>
            </w:pPr>
            <w:r w:rsidRPr="00232B03">
              <w:rPr>
                <w:color w:val="000000"/>
                <w:kern w:val="0"/>
                <w:sz w:val="24"/>
                <w:szCs w:val="24"/>
              </w:rPr>
              <w:t>其他资产</w:t>
            </w:r>
          </w:p>
        </w:tc>
        <w:tc>
          <w:tcPr>
            <w:tcW w:w="2977"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93,018,350.03</w:t>
            </w:r>
          </w:p>
        </w:tc>
        <w:tc>
          <w:tcPr>
            <w:tcW w:w="1843"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1.36</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8</w:t>
            </w:r>
          </w:p>
        </w:tc>
        <w:tc>
          <w:tcPr>
            <w:tcW w:w="3357" w:type="dxa"/>
            <w:vAlign w:val="center"/>
          </w:tcPr>
          <w:p w:rsidR="00750D48" w:rsidRPr="00232B03" w:rsidRDefault="00750D48" w:rsidP="00B05049">
            <w:pPr>
              <w:jc w:val="left"/>
              <w:rPr>
                <w:kern w:val="0"/>
                <w:sz w:val="24"/>
                <w:szCs w:val="24"/>
              </w:rPr>
            </w:pPr>
            <w:r w:rsidRPr="00232B03">
              <w:rPr>
                <w:color w:val="000000"/>
                <w:kern w:val="0"/>
                <w:sz w:val="24"/>
                <w:szCs w:val="24"/>
              </w:rPr>
              <w:t>合计</w:t>
            </w:r>
          </w:p>
        </w:tc>
        <w:tc>
          <w:tcPr>
            <w:tcW w:w="2977"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6,814,773,459.05</w:t>
            </w:r>
          </w:p>
        </w:tc>
        <w:tc>
          <w:tcPr>
            <w:tcW w:w="1843"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100.00</w:t>
            </w:r>
          </w:p>
        </w:tc>
      </w:tr>
    </w:tbl>
    <w:p w:rsidR="008C2A4F" w:rsidRPr="00220C32" w:rsidRDefault="008C2A4F" w:rsidP="008C2A4F">
      <w:pPr>
        <w:autoSpaceDE w:val="0"/>
        <w:autoSpaceDN w:val="0"/>
        <w:adjustRightInd w:val="0"/>
        <w:spacing w:line="360" w:lineRule="auto"/>
        <w:jc w:val="left"/>
        <w:rPr>
          <w:rFonts w:asciiTheme="minorEastAsia" w:eastAsiaTheme="minorEastAsia" w:hAnsiTheme="minorEastAsia"/>
          <w:b/>
          <w:bCs/>
          <w:color w:val="000000" w:themeColor="text1"/>
          <w:kern w:val="0"/>
          <w:sz w:val="24"/>
          <w:szCs w:val="24"/>
        </w:rPr>
      </w:pPr>
      <w:r w:rsidRPr="00220C32">
        <w:rPr>
          <w:rFonts w:asciiTheme="minorEastAsia" w:eastAsiaTheme="minorEastAsia" w:hAnsiTheme="minorEastAsia"/>
          <w:b/>
          <w:bCs/>
          <w:color w:val="000000" w:themeColor="text1"/>
          <w:kern w:val="0"/>
          <w:sz w:val="24"/>
          <w:szCs w:val="24"/>
        </w:rPr>
        <w:t xml:space="preserve">5.2 </w:t>
      </w:r>
      <w:r w:rsidRPr="00220C32">
        <w:rPr>
          <w:rFonts w:asciiTheme="minorEastAsia" w:eastAsiaTheme="minorEastAsia" w:hAnsiTheme="minorEastAsia" w:hint="eastAsia"/>
          <w:b/>
          <w:bCs/>
          <w:color w:val="000000" w:themeColor="text1"/>
          <w:kern w:val="0"/>
          <w:sz w:val="24"/>
          <w:szCs w:val="24"/>
        </w:rPr>
        <w:t>报告期末按行业分类的股票投资组合</w:t>
      </w:r>
    </w:p>
    <w:p w:rsidR="008C2A4F" w:rsidRPr="000D7474" w:rsidRDefault="008C2A4F" w:rsidP="008C2A4F">
      <w:pPr>
        <w:rPr>
          <w:rFonts w:asciiTheme="minorEastAsia" w:eastAsiaTheme="minorEastAsia" w:hAnsiTheme="minorEastAsia"/>
          <w:b/>
          <w:bCs/>
          <w:color w:val="000000" w:themeColor="text1"/>
          <w:kern w:val="0"/>
          <w:sz w:val="24"/>
          <w:szCs w:val="24"/>
        </w:rPr>
      </w:pPr>
      <w:r w:rsidRPr="000D7474">
        <w:rPr>
          <w:rFonts w:asciiTheme="minorEastAsia" w:eastAsiaTheme="minorEastAsia" w:hAnsiTheme="minorEastAsia" w:hint="eastAsia"/>
          <w:b/>
          <w:bCs/>
          <w:color w:val="000000" w:themeColor="text1"/>
          <w:kern w:val="0"/>
          <w:sz w:val="24"/>
          <w:szCs w:val="24"/>
        </w:rPr>
        <w:t>5.2.1报告期末按行业分类的境内股票投资组合</w:t>
      </w:r>
    </w:p>
    <w:p w:rsidR="008C2A4F" w:rsidRPr="00403A06" w:rsidRDefault="008C2A4F" w:rsidP="00403A06">
      <w:pPr>
        <w:spacing w:line="360" w:lineRule="auto"/>
        <w:ind w:firstLineChars="200" w:firstLine="480"/>
        <w:rPr>
          <w:color w:val="000000"/>
          <w:sz w:val="24"/>
          <w:szCs w:val="24"/>
        </w:rPr>
      </w:pPr>
      <w:r w:rsidRPr="00403A06">
        <w:rPr>
          <w:color w:val="000000"/>
          <w:sz w:val="24"/>
          <w:szCs w:val="24"/>
        </w:rPr>
        <w:t>本基金本报告期末未持有境内股票。</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5.3 </w:t>
      </w:r>
      <w:r w:rsidRPr="00264E55">
        <w:rPr>
          <w:rFonts w:ascii="宋体" w:hAnsi="宋体" w:hint="eastAsia"/>
          <w:b/>
          <w:bCs/>
          <w:color w:val="000000"/>
          <w:kern w:val="0"/>
          <w:sz w:val="24"/>
          <w:szCs w:val="24"/>
        </w:rPr>
        <w:t>报告期末按公允价值占基金资产净值比例大小排序的前十名股票投资明细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本基金本报告期末未持有股票。</w:t>
      </w:r>
    </w:p>
    <w:p w:rsidR="00CA4677" w:rsidRPr="00283CAD" w:rsidRDefault="00750D48" w:rsidP="00CA4677">
      <w:pPr>
        <w:autoSpaceDE w:val="0"/>
        <w:autoSpaceDN w:val="0"/>
        <w:adjustRightInd w:val="0"/>
        <w:spacing w:line="360" w:lineRule="auto"/>
        <w:jc w:val="left"/>
        <w:rPr>
          <w:rFonts w:eastAsiaTheme="minorEastAsia"/>
          <w:b/>
          <w:bCs/>
          <w:color w:val="000000" w:themeColor="text1"/>
          <w:kern w:val="0"/>
          <w:sz w:val="24"/>
          <w:szCs w:val="24"/>
        </w:rPr>
      </w:pPr>
      <w:r w:rsidRPr="00264E55">
        <w:rPr>
          <w:rFonts w:ascii="宋体" w:hAnsi="宋体"/>
          <w:b/>
          <w:bCs/>
          <w:color w:val="000000"/>
          <w:kern w:val="0"/>
          <w:sz w:val="24"/>
          <w:szCs w:val="24"/>
        </w:rPr>
        <w:t xml:space="preserve">5.4 </w:t>
      </w:r>
      <w:r w:rsidRPr="00264E55">
        <w:rPr>
          <w:rFonts w:ascii="宋体" w:hAnsi="宋体" w:hint="eastAsia"/>
          <w:b/>
          <w:bCs/>
          <w:color w:val="000000"/>
          <w:kern w:val="0"/>
          <w:sz w:val="24"/>
          <w:szCs w:val="24"/>
        </w:rPr>
        <w:t>报告期末按债券品种分类的债券投资组合</w:t>
      </w:r>
    </w:p>
    <w:tbl>
      <w:tblPr>
        <w:tblStyle w:val="af7"/>
        <w:tblW w:w="8755" w:type="dxa"/>
        <w:jc w:val="center"/>
        <w:tblLayout w:type="fixed"/>
        <w:tblLook w:val="04A0" w:firstRow="1" w:lastRow="0" w:firstColumn="1" w:lastColumn="0" w:noHBand="0" w:noVBand="1"/>
      </w:tblPr>
      <w:tblGrid>
        <w:gridCol w:w="817"/>
        <w:gridCol w:w="3260"/>
        <w:gridCol w:w="2949"/>
        <w:gridCol w:w="1729"/>
      </w:tblGrid>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序号</w:t>
            </w:r>
          </w:p>
        </w:tc>
        <w:tc>
          <w:tcPr>
            <w:tcW w:w="3260"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债券品种</w:t>
            </w:r>
          </w:p>
        </w:tc>
        <w:tc>
          <w:tcPr>
            <w:tcW w:w="2949"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公允价值</w:t>
            </w:r>
            <w:r w:rsidRPr="00283CAD">
              <w:rPr>
                <w:rFonts w:eastAsiaTheme="minorEastAsia"/>
                <w:color w:val="000000" w:themeColor="text1"/>
                <w:sz w:val="24"/>
                <w:szCs w:val="24"/>
              </w:rPr>
              <w:t>(</w:t>
            </w:r>
            <w:r w:rsidRPr="00283CAD">
              <w:rPr>
                <w:rFonts w:eastAsiaTheme="minorEastAsia"/>
                <w:color w:val="000000" w:themeColor="text1"/>
                <w:sz w:val="24"/>
                <w:szCs w:val="24"/>
              </w:rPr>
              <w:t>元</w:t>
            </w: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占基金资产净值比例</w:t>
            </w:r>
            <w:r w:rsidRPr="00283CAD">
              <w:rPr>
                <w:rFonts w:eastAsiaTheme="minorEastAsia"/>
                <w:color w:val="000000" w:themeColor="text1"/>
                <w:sz w:val="24"/>
                <w:szCs w:val="24"/>
              </w:rPr>
              <w:t>(</w:t>
            </w:r>
            <w:r w:rsidRPr="00283CAD">
              <w:rPr>
                <w:rFonts w:eastAsiaTheme="minorEastAsia"/>
                <w:color w:val="000000" w:themeColor="text1"/>
                <w:sz w:val="24"/>
                <w:szCs w:val="24"/>
              </w:rPr>
              <w:t>％</w:t>
            </w: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1</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国家债券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2</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央行票据</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3</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金融债券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6,710,644,000.00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99.97</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其中：政策性金融债</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6,710,644,000.00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99.97</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4</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企业债券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5</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企业短期融资券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6</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中期票据</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7</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可转债</w:t>
            </w:r>
            <w:r w:rsidR="004B5343" w:rsidRPr="004B5343">
              <w:rPr>
                <w:rFonts w:eastAsiaTheme="minorEastAsia" w:hint="eastAsia"/>
                <w:color w:val="000000" w:themeColor="text1"/>
                <w:sz w:val="24"/>
                <w:szCs w:val="24"/>
              </w:rPr>
              <w:t>（可交换债）</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8</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同业存单</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9</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其他</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10</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合计</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6,710,644,000.00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99.97</w:t>
            </w:r>
          </w:p>
        </w:tc>
      </w:tr>
    </w:tbl>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5.5 </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的前五名债券投资明细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1276"/>
        <w:gridCol w:w="1275"/>
        <w:gridCol w:w="1560"/>
        <w:gridCol w:w="1984"/>
        <w:gridCol w:w="1474"/>
      </w:tblGrid>
      <w:tr w:rsidR="00750D48" w:rsidRPr="00264E55" w:rsidTr="005602F3">
        <w:tc>
          <w:tcPr>
            <w:tcW w:w="959"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1276"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债券代码</w:t>
            </w:r>
          </w:p>
        </w:tc>
        <w:tc>
          <w:tcPr>
            <w:tcW w:w="1275"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债券名称</w:t>
            </w:r>
          </w:p>
        </w:tc>
        <w:tc>
          <w:tcPr>
            <w:tcW w:w="1560"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数量</w:t>
            </w:r>
            <w:r w:rsidR="005F7917" w:rsidRPr="00232B03">
              <w:rPr>
                <w:color w:val="000000"/>
                <w:kern w:val="0"/>
                <w:sz w:val="24"/>
                <w:szCs w:val="24"/>
              </w:rPr>
              <w:t>（张）</w:t>
            </w:r>
          </w:p>
        </w:tc>
        <w:tc>
          <w:tcPr>
            <w:tcW w:w="1984"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公允价值</w:t>
            </w:r>
            <w:r w:rsidR="005F7917" w:rsidRPr="00232B03">
              <w:rPr>
                <w:color w:val="000000"/>
                <w:kern w:val="0"/>
                <w:sz w:val="24"/>
                <w:szCs w:val="24"/>
              </w:rPr>
              <w:t>（元）</w:t>
            </w:r>
          </w:p>
        </w:tc>
        <w:tc>
          <w:tcPr>
            <w:tcW w:w="1474"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占基金资产净值比例</w:t>
            </w:r>
            <w:r w:rsidR="005F7917" w:rsidRPr="00232B03">
              <w:rPr>
                <w:color w:val="000000"/>
                <w:kern w:val="0"/>
                <w:sz w:val="24"/>
                <w:szCs w:val="24"/>
              </w:rPr>
              <w:t>（％）</w:t>
            </w:r>
          </w:p>
        </w:tc>
      </w:tr>
      <w:tr w:rsidR="009D59E5">
        <w:tc>
          <w:tcPr>
            <w:tcW w:w="959" w:type="dxa"/>
            <w:vAlign w:val="center"/>
          </w:tcPr>
          <w:p w:rsidR="009D59E5" w:rsidRDefault="00847168">
            <w:pPr>
              <w:jc w:val="center"/>
            </w:pPr>
            <w:r>
              <w:rPr>
                <w:color w:val="000000"/>
                <w:kern w:val="0"/>
                <w:sz w:val="24"/>
                <w:szCs w:val="24"/>
              </w:rPr>
              <w:t>1</w:t>
            </w:r>
          </w:p>
        </w:tc>
        <w:tc>
          <w:tcPr>
            <w:tcW w:w="1276" w:type="dxa"/>
            <w:vAlign w:val="center"/>
          </w:tcPr>
          <w:p w:rsidR="009D59E5" w:rsidRDefault="00847168">
            <w:pPr>
              <w:jc w:val="center"/>
            </w:pPr>
            <w:r>
              <w:rPr>
                <w:color w:val="000000"/>
                <w:kern w:val="0"/>
                <w:sz w:val="24"/>
                <w:szCs w:val="24"/>
              </w:rPr>
              <w:t>160206</w:t>
            </w:r>
          </w:p>
        </w:tc>
        <w:tc>
          <w:tcPr>
            <w:tcW w:w="1275" w:type="dxa"/>
            <w:vAlign w:val="center"/>
          </w:tcPr>
          <w:p w:rsidR="009D59E5" w:rsidRDefault="00847168">
            <w:pPr>
              <w:jc w:val="center"/>
            </w:pPr>
            <w:r>
              <w:rPr>
                <w:color w:val="000000"/>
                <w:kern w:val="0"/>
                <w:sz w:val="24"/>
                <w:szCs w:val="24"/>
              </w:rPr>
              <w:t>16</w:t>
            </w:r>
            <w:r>
              <w:rPr>
                <w:color w:val="000000"/>
                <w:kern w:val="0"/>
                <w:sz w:val="24"/>
                <w:szCs w:val="24"/>
              </w:rPr>
              <w:t>国开</w:t>
            </w:r>
            <w:r>
              <w:rPr>
                <w:color w:val="000000"/>
                <w:kern w:val="0"/>
                <w:sz w:val="24"/>
                <w:szCs w:val="24"/>
              </w:rPr>
              <w:t>06</w:t>
            </w:r>
          </w:p>
        </w:tc>
        <w:tc>
          <w:tcPr>
            <w:tcW w:w="1560" w:type="dxa"/>
            <w:vAlign w:val="center"/>
          </w:tcPr>
          <w:p w:rsidR="009D59E5" w:rsidRDefault="00847168">
            <w:pPr>
              <w:jc w:val="right"/>
            </w:pPr>
            <w:r>
              <w:rPr>
                <w:color w:val="000000"/>
                <w:kern w:val="0"/>
                <w:sz w:val="24"/>
                <w:szCs w:val="24"/>
              </w:rPr>
              <w:t>14,200,000</w:t>
            </w:r>
          </w:p>
        </w:tc>
        <w:tc>
          <w:tcPr>
            <w:tcW w:w="1984" w:type="dxa"/>
            <w:vAlign w:val="center"/>
          </w:tcPr>
          <w:p w:rsidR="009D59E5" w:rsidRDefault="00847168">
            <w:pPr>
              <w:jc w:val="right"/>
            </w:pPr>
            <w:r>
              <w:rPr>
                <w:color w:val="000000"/>
                <w:kern w:val="0"/>
                <w:sz w:val="24"/>
                <w:szCs w:val="24"/>
              </w:rPr>
              <w:t>1,420,568,000.00</w:t>
            </w:r>
          </w:p>
        </w:tc>
        <w:tc>
          <w:tcPr>
            <w:tcW w:w="1474" w:type="dxa"/>
            <w:vAlign w:val="center"/>
          </w:tcPr>
          <w:p w:rsidR="009D59E5" w:rsidRDefault="00847168">
            <w:pPr>
              <w:jc w:val="right"/>
            </w:pPr>
            <w:r>
              <w:rPr>
                <w:color w:val="000000"/>
                <w:kern w:val="0"/>
                <w:sz w:val="24"/>
                <w:szCs w:val="24"/>
              </w:rPr>
              <w:t>21.16</w:t>
            </w:r>
          </w:p>
        </w:tc>
      </w:tr>
      <w:tr w:rsidR="009D59E5">
        <w:tc>
          <w:tcPr>
            <w:tcW w:w="959" w:type="dxa"/>
            <w:vAlign w:val="center"/>
          </w:tcPr>
          <w:p w:rsidR="009D59E5" w:rsidRDefault="00847168">
            <w:pPr>
              <w:jc w:val="center"/>
            </w:pPr>
            <w:r>
              <w:rPr>
                <w:color w:val="000000"/>
                <w:kern w:val="0"/>
                <w:sz w:val="24"/>
                <w:szCs w:val="24"/>
              </w:rPr>
              <w:t>2</w:t>
            </w:r>
          </w:p>
        </w:tc>
        <w:tc>
          <w:tcPr>
            <w:tcW w:w="1276" w:type="dxa"/>
            <w:vAlign w:val="center"/>
          </w:tcPr>
          <w:p w:rsidR="009D59E5" w:rsidRDefault="00847168">
            <w:pPr>
              <w:jc w:val="center"/>
            </w:pPr>
            <w:r>
              <w:rPr>
                <w:color w:val="000000"/>
                <w:kern w:val="0"/>
                <w:sz w:val="24"/>
                <w:szCs w:val="24"/>
              </w:rPr>
              <w:t>180313</w:t>
            </w:r>
          </w:p>
        </w:tc>
        <w:tc>
          <w:tcPr>
            <w:tcW w:w="1275" w:type="dxa"/>
            <w:vAlign w:val="center"/>
          </w:tcPr>
          <w:p w:rsidR="009D59E5" w:rsidRDefault="00847168">
            <w:pPr>
              <w:jc w:val="center"/>
            </w:pPr>
            <w:r>
              <w:rPr>
                <w:color w:val="000000"/>
                <w:kern w:val="0"/>
                <w:sz w:val="24"/>
                <w:szCs w:val="24"/>
              </w:rPr>
              <w:t>18</w:t>
            </w:r>
            <w:r>
              <w:rPr>
                <w:color w:val="000000"/>
                <w:kern w:val="0"/>
                <w:sz w:val="24"/>
                <w:szCs w:val="24"/>
              </w:rPr>
              <w:t>进出</w:t>
            </w:r>
            <w:r>
              <w:rPr>
                <w:color w:val="000000"/>
                <w:kern w:val="0"/>
                <w:sz w:val="24"/>
                <w:szCs w:val="24"/>
              </w:rPr>
              <w:t>13</w:t>
            </w:r>
          </w:p>
        </w:tc>
        <w:tc>
          <w:tcPr>
            <w:tcW w:w="1560" w:type="dxa"/>
            <w:vAlign w:val="center"/>
          </w:tcPr>
          <w:p w:rsidR="009D59E5" w:rsidRDefault="00847168">
            <w:pPr>
              <w:jc w:val="right"/>
            </w:pPr>
            <w:r>
              <w:rPr>
                <w:color w:val="000000"/>
                <w:kern w:val="0"/>
                <w:sz w:val="24"/>
                <w:szCs w:val="24"/>
              </w:rPr>
              <w:t>8,800,000</w:t>
            </w:r>
          </w:p>
        </w:tc>
        <w:tc>
          <w:tcPr>
            <w:tcW w:w="1984" w:type="dxa"/>
            <w:vAlign w:val="center"/>
          </w:tcPr>
          <w:p w:rsidR="009D59E5" w:rsidRDefault="00847168">
            <w:pPr>
              <w:jc w:val="right"/>
            </w:pPr>
            <w:r>
              <w:rPr>
                <w:color w:val="000000"/>
                <w:kern w:val="0"/>
                <w:sz w:val="24"/>
                <w:szCs w:val="24"/>
              </w:rPr>
              <w:t>891,792,000.00</w:t>
            </w:r>
          </w:p>
        </w:tc>
        <w:tc>
          <w:tcPr>
            <w:tcW w:w="1474" w:type="dxa"/>
            <w:vAlign w:val="center"/>
          </w:tcPr>
          <w:p w:rsidR="009D59E5" w:rsidRDefault="00847168">
            <w:pPr>
              <w:jc w:val="right"/>
            </w:pPr>
            <w:r>
              <w:rPr>
                <w:color w:val="000000"/>
                <w:kern w:val="0"/>
                <w:sz w:val="24"/>
                <w:szCs w:val="24"/>
              </w:rPr>
              <w:t>13.29</w:t>
            </w:r>
          </w:p>
        </w:tc>
      </w:tr>
      <w:tr w:rsidR="009D59E5">
        <w:tc>
          <w:tcPr>
            <w:tcW w:w="959" w:type="dxa"/>
            <w:vAlign w:val="center"/>
          </w:tcPr>
          <w:p w:rsidR="009D59E5" w:rsidRDefault="00847168">
            <w:pPr>
              <w:jc w:val="center"/>
            </w:pPr>
            <w:r>
              <w:rPr>
                <w:color w:val="000000"/>
                <w:kern w:val="0"/>
                <w:sz w:val="24"/>
                <w:szCs w:val="24"/>
              </w:rPr>
              <w:t>3</w:t>
            </w:r>
          </w:p>
        </w:tc>
        <w:tc>
          <w:tcPr>
            <w:tcW w:w="1276" w:type="dxa"/>
            <w:vAlign w:val="center"/>
          </w:tcPr>
          <w:p w:rsidR="009D59E5" w:rsidRDefault="00847168">
            <w:pPr>
              <w:jc w:val="center"/>
            </w:pPr>
            <w:r>
              <w:rPr>
                <w:color w:val="000000"/>
                <w:kern w:val="0"/>
                <w:sz w:val="24"/>
                <w:szCs w:val="24"/>
              </w:rPr>
              <w:t>180208</w:t>
            </w:r>
          </w:p>
        </w:tc>
        <w:tc>
          <w:tcPr>
            <w:tcW w:w="1275" w:type="dxa"/>
            <w:vAlign w:val="center"/>
          </w:tcPr>
          <w:p w:rsidR="009D59E5" w:rsidRDefault="00847168">
            <w:pPr>
              <w:jc w:val="center"/>
            </w:pPr>
            <w:r>
              <w:rPr>
                <w:color w:val="000000"/>
                <w:kern w:val="0"/>
                <w:sz w:val="24"/>
                <w:szCs w:val="24"/>
              </w:rPr>
              <w:t>18</w:t>
            </w:r>
            <w:r>
              <w:rPr>
                <w:color w:val="000000"/>
                <w:kern w:val="0"/>
                <w:sz w:val="24"/>
                <w:szCs w:val="24"/>
              </w:rPr>
              <w:t>国开</w:t>
            </w:r>
            <w:r>
              <w:rPr>
                <w:color w:val="000000"/>
                <w:kern w:val="0"/>
                <w:sz w:val="24"/>
                <w:szCs w:val="24"/>
              </w:rPr>
              <w:t>08</w:t>
            </w:r>
          </w:p>
        </w:tc>
        <w:tc>
          <w:tcPr>
            <w:tcW w:w="1560" w:type="dxa"/>
            <w:vAlign w:val="center"/>
          </w:tcPr>
          <w:p w:rsidR="009D59E5" w:rsidRDefault="00847168">
            <w:pPr>
              <w:jc w:val="right"/>
            </w:pPr>
            <w:r>
              <w:rPr>
                <w:color w:val="000000"/>
                <w:kern w:val="0"/>
                <w:sz w:val="24"/>
                <w:szCs w:val="24"/>
              </w:rPr>
              <w:t>5,600,000</w:t>
            </w:r>
          </w:p>
        </w:tc>
        <w:tc>
          <w:tcPr>
            <w:tcW w:w="1984" w:type="dxa"/>
            <w:vAlign w:val="center"/>
          </w:tcPr>
          <w:p w:rsidR="009D59E5" w:rsidRDefault="00847168">
            <w:pPr>
              <w:jc w:val="right"/>
            </w:pPr>
            <w:r>
              <w:rPr>
                <w:color w:val="000000"/>
                <w:kern w:val="0"/>
                <w:sz w:val="24"/>
                <w:szCs w:val="24"/>
              </w:rPr>
              <w:t>569,688,000.00</w:t>
            </w:r>
          </w:p>
        </w:tc>
        <w:tc>
          <w:tcPr>
            <w:tcW w:w="1474" w:type="dxa"/>
            <w:vAlign w:val="center"/>
          </w:tcPr>
          <w:p w:rsidR="009D59E5" w:rsidRDefault="00847168">
            <w:pPr>
              <w:jc w:val="right"/>
            </w:pPr>
            <w:r>
              <w:rPr>
                <w:color w:val="000000"/>
                <w:kern w:val="0"/>
                <w:sz w:val="24"/>
                <w:szCs w:val="24"/>
              </w:rPr>
              <w:t>8.49</w:t>
            </w:r>
          </w:p>
        </w:tc>
      </w:tr>
      <w:tr w:rsidR="009D59E5">
        <w:tc>
          <w:tcPr>
            <w:tcW w:w="959" w:type="dxa"/>
            <w:vAlign w:val="center"/>
          </w:tcPr>
          <w:p w:rsidR="009D59E5" w:rsidRDefault="00847168">
            <w:pPr>
              <w:jc w:val="center"/>
            </w:pPr>
            <w:r>
              <w:rPr>
                <w:color w:val="000000"/>
                <w:kern w:val="0"/>
                <w:sz w:val="24"/>
                <w:szCs w:val="24"/>
              </w:rPr>
              <w:t>4</w:t>
            </w:r>
          </w:p>
        </w:tc>
        <w:tc>
          <w:tcPr>
            <w:tcW w:w="1276" w:type="dxa"/>
            <w:vAlign w:val="center"/>
          </w:tcPr>
          <w:p w:rsidR="009D59E5" w:rsidRDefault="00847168">
            <w:pPr>
              <w:jc w:val="center"/>
            </w:pPr>
            <w:r>
              <w:rPr>
                <w:color w:val="000000"/>
                <w:kern w:val="0"/>
                <w:sz w:val="24"/>
                <w:szCs w:val="24"/>
              </w:rPr>
              <w:t>180304</w:t>
            </w:r>
          </w:p>
        </w:tc>
        <w:tc>
          <w:tcPr>
            <w:tcW w:w="1275" w:type="dxa"/>
            <w:vAlign w:val="center"/>
          </w:tcPr>
          <w:p w:rsidR="009D59E5" w:rsidRDefault="00847168">
            <w:pPr>
              <w:jc w:val="center"/>
            </w:pPr>
            <w:r>
              <w:rPr>
                <w:color w:val="000000"/>
                <w:kern w:val="0"/>
                <w:sz w:val="24"/>
                <w:szCs w:val="24"/>
              </w:rPr>
              <w:t>18</w:t>
            </w:r>
            <w:r>
              <w:rPr>
                <w:color w:val="000000"/>
                <w:kern w:val="0"/>
                <w:sz w:val="24"/>
                <w:szCs w:val="24"/>
              </w:rPr>
              <w:t>进出</w:t>
            </w:r>
            <w:r>
              <w:rPr>
                <w:color w:val="000000"/>
                <w:kern w:val="0"/>
                <w:sz w:val="24"/>
                <w:szCs w:val="24"/>
              </w:rPr>
              <w:t>04</w:t>
            </w:r>
          </w:p>
        </w:tc>
        <w:tc>
          <w:tcPr>
            <w:tcW w:w="1560" w:type="dxa"/>
            <w:vAlign w:val="center"/>
          </w:tcPr>
          <w:p w:rsidR="009D59E5" w:rsidRDefault="00847168">
            <w:pPr>
              <w:jc w:val="right"/>
            </w:pPr>
            <w:r>
              <w:rPr>
                <w:color w:val="000000"/>
                <w:kern w:val="0"/>
                <w:sz w:val="24"/>
                <w:szCs w:val="24"/>
              </w:rPr>
              <w:t>4,800,000</w:t>
            </w:r>
          </w:p>
        </w:tc>
        <w:tc>
          <w:tcPr>
            <w:tcW w:w="1984" w:type="dxa"/>
            <w:vAlign w:val="center"/>
          </w:tcPr>
          <w:p w:rsidR="009D59E5" w:rsidRDefault="00847168">
            <w:pPr>
              <w:jc w:val="right"/>
            </w:pPr>
            <w:r>
              <w:rPr>
                <w:color w:val="000000"/>
                <w:kern w:val="0"/>
                <w:sz w:val="24"/>
                <w:szCs w:val="24"/>
              </w:rPr>
              <w:t>490,896,000.00</w:t>
            </w:r>
          </w:p>
        </w:tc>
        <w:tc>
          <w:tcPr>
            <w:tcW w:w="1474" w:type="dxa"/>
            <w:vAlign w:val="center"/>
          </w:tcPr>
          <w:p w:rsidR="009D59E5" w:rsidRDefault="00847168">
            <w:pPr>
              <w:jc w:val="right"/>
            </w:pPr>
            <w:r>
              <w:rPr>
                <w:color w:val="000000"/>
                <w:kern w:val="0"/>
                <w:sz w:val="24"/>
                <w:szCs w:val="24"/>
              </w:rPr>
              <w:t>7.31</w:t>
            </w:r>
          </w:p>
        </w:tc>
      </w:tr>
      <w:tr w:rsidR="009D59E5">
        <w:tc>
          <w:tcPr>
            <w:tcW w:w="959" w:type="dxa"/>
            <w:vAlign w:val="center"/>
          </w:tcPr>
          <w:p w:rsidR="009D59E5" w:rsidRDefault="00847168">
            <w:pPr>
              <w:jc w:val="center"/>
            </w:pPr>
            <w:r>
              <w:rPr>
                <w:color w:val="000000"/>
                <w:kern w:val="0"/>
                <w:sz w:val="24"/>
                <w:szCs w:val="24"/>
              </w:rPr>
              <w:t>5</w:t>
            </w:r>
          </w:p>
        </w:tc>
        <w:tc>
          <w:tcPr>
            <w:tcW w:w="1276" w:type="dxa"/>
            <w:vAlign w:val="center"/>
          </w:tcPr>
          <w:p w:rsidR="009D59E5" w:rsidRDefault="00847168">
            <w:pPr>
              <w:jc w:val="center"/>
            </w:pPr>
            <w:r>
              <w:rPr>
                <w:color w:val="000000"/>
                <w:kern w:val="0"/>
                <w:sz w:val="24"/>
                <w:szCs w:val="24"/>
              </w:rPr>
              <w:t>180212</w:t>
            </w:r>
          </w:p>
        </w:tc>
        <w:tc>
          <w:tcPr>
            <w:tcW w:w="1275" w:type="dxa"/>
            <w:vAlign w:val="center"/>
          </w:tcPr>
          <w:p w:rsidR="009D59E5" w:rsidRDefault="00847168">
            <w:pPr>
              <w:jc w:val="center"/>
            </w:pPr>
            <w:r>
              <w:rPr>
                <w:color w:val="000000"/>
                <w:kern w:val="0"/>
                <w:sz w:val="24"/>
                <w:szCs w:val="24"/>
              </w:rPr>
              <w:t>18</w:t>
            </w:r>
            <w:r>
              <w:rPr>
                <w:color w:val="000000"/>
                <w:kern w:val="0"/>
                <w:sz w:val="24"/>
                <w:szCs w:val="24"/>
              </w:rPr>
              <w:t>国开</w:t>
            </w:r>
            <w:r>
              <w:rPr>
                <w:color w:val="000000"/>
                <w:kern w:val="0"/>
                <w:sz w:val="24"/>
                <w:szCs w:val="24"/>
              </w:rPr>
              <w:t>12</w:t>
            </w:r>
          </w:p>
        </w:tc>
        <w:tc>
          <w:tcPr>
            <w:tcW w:w="1560" w:type="dxa"/>
            <w:vAlign w:val="center"/>
          </w:tcPr>
          <w:p w:rsidR="009D59E5" w:rsidRDefault="00847168">
            <w:pPr>
              <w:jc w:val="right"/>
            </w:pPr>
            <w:r>
              <w:rPr>
                <w:color w:val="000000"/>
                <w:kern w:val="0"/>
                <w:sz w:val="24"/>
                <w:szCs w:val="24"/>
              </w:rPr>
              <w:t>3,300,000</w:t>
            </w:r>
          </w:p>
        </w:tc>
        <w:tc>
          <w:tcPr>
            <w:tcW w:w="1984" w:type="dxa"/>
            <w:vAlign w:val="center"/>
          </w:tcPr>
          <w:p w:rsidR="009D59E5" w:rsidRDefault="00847168">
            <w:pPr>
              <w:jc w:val="right"/>
            </w:pPr>
            <w:r>
              <w:rPr>
                <w:color w:val="000000"/>
                <w:kern w:val="0"/>
                <w:sz w:val="24"/>
                <w:szCs w:val="24"/>
              </w:rPr>
              <w:t>334,422,000.00</w:t>
            </w:r>
          </w:p>
        </w:tc>
        <w:tc>
          <w:tcPr>
            <w:tcW w:w="1474" w:type="dxa"/>
            <w:vAlign w:val="center"/>
          </w:tcPr>
          <w:p w:rsidR="009D59E5" w:rsidRDefault="00847168">
            <w:pPr>
              <w:jc w:val="right"/>
            </w:pPr>
            <w:r>
              <w:rPr>
                <w:color w:val="000000"/>
                <w:kern w:val="0"/>
                <w:sz w:val="24"/>
                <w:szCs w:val="24"/>
              </w:rPr>
              <w:t>4.98</w:t>
            </w:r>
          </w:p>
        </w:tc>
      </w:tr>
    </w:tbl>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5.6 </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的前十名资产支持证券投资明细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本基金本报告期末未持有资产支持证券。</w:t>
      </w:r>
    </w:p>
    <w:p w:rsidR="00750D48" w:rsidRPr="001D63BB" w:rsidRDefault="00750D48" w:rsidP="001D63BB">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w:t>
      </w:r>
      <w:r w:rsidRPr="001B0A62">
        <w:rPr>
          <w:rFonts w:ascii="宋体"/>
          <w:b/>
          <w:bCs/>
          <w:color w:val="000000"/>
          <w:kern w:val="0"/>
          <w:sz w:val="24"/>
          <w:szCs w:val="24"/>
        </w:rPr>
        <w:t>7</w:t>
      </w:r>
      <w:r w:rsidRPr="001D63BB">
        <w:rPr>
          <w:rFonts w:ascii="宋体" w:hAnsi="宋体" w:hint="eastAsia"/>
          <w:b/>
          <w:bCs/>
          <w:color w:val="000000"/>
          <w:kern w:val="0"/>
          <w:sz w:val="24"/>
          <w:szCs w:val="24"/>
        </w:rPr>
        <w:t>报告期末按公允价值占基金资产净值比例大小排序的前五名贵金属投资明细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本基金本报告期末未持有贵金属。</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b/>
          <w:bCs/>
          <w:color w:val="000000"/>
          <w:kern w:val="0"/>
          <w:sz w:val="24"/>
          <w:szCs w:val="24"/>
        </w:rPr>
        <w:t>5.8</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的前五名权证投资明细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本基金本报告期末未持有权证。</w:t>
      </w:r>
    </w:p>
    <w:p w:rsidR="00750D48" w:rsidRPr="001B0A62"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w:t>
      </w:r>
      <w:r>
        <w:rPr>
          <w:rFonts w:ascii="宋体"/>
          <w:b/>
          <w:bCs/>
          <w:color w:val="000000"/>
          <w:kern w:val="0"/>
          <w:sz w:val="24"/>
          <w:szCs w:val="24"/>
        </w:rPr>
        <w:t>.</w:t>
      </w:r>
      <w:r w:rsidRPr="001B0A62">
        <w:rPr>
          <w:rFonts w:ascii="宋体"/>
          <w:b/>
          <w:bCs/>
          <w:color w:val="000000"/>
          <w:kern w:val="0"/>
          <w:sz w:val="24"/>
          <w:szCs w:val="24"/>
        </w:rPr>
        <w:t>9</w:t>
      </w:r>
      <w:r w:rsidRPr="001B0A62">
        <w:rPr>
          <w:rFonts w:ascii="宋体" w:hAnsi="宋体" w:hint="eastAsia"/>
          <w:b/>
          <w:bCs/>
          <w:color w:val="000000"/>
          <w:kern w:val="0"/>
          <w:sz w:val="24"/>
          <w:szCs w:val="24"/>
        </w:rPr>
        <w:t>报告期末本基金投资的股指期货交易情况说明</w:t>
      </w:r>
    </w:p>
    <w:p w:rsidR="00277FAE" w:rsidRDefault="00277FAE" w:rsidP="00277FAE">
      <w:pPr>
        <w:spacing w:line="360" w:lineRule="auto"/>
        <w:ind w:firstLineChars="200" w:firstLine="480"/>
        <w:rPr>
          <w:rFonts w:eastAsiaTheme="minorEastAsia"/>
          <w:color w:val="000000" w:themeColor="text1"/>
          <w:sz w:val="24"/>
        </w:rPr>
      </w:pPr>
      <w:r>
        <w:rPr>
          <w:rFonts w:eastAsiaTheme="minorEastAsia"/>
          <w:color w:val="000000" w:themeColor="text1"/>
          <w:sz w:val="24"/>
        </w:rPr>
        <w:t>本基金本报告期末未投资股指期货。</w:t>
      </w:r>
    </w:p>
    <w:p w:rsidR="00750D48" w:rsidRPr="001B0A62"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5.10</w:t>
      </w:r>
      <w:r w:rsidRPr="001B0A62">
        <w:rPr>
          <w:rFonts w:ascii="宋体" w:hAnsi="宋体" w:hint="eastAsia"/>
          <w:b/>
          <w:bCs/>
          <w:color w:val="000000"/>
          <w:kern w:val="0"/>
          <w:sz w:val="24"/>
          <w:szCs w:val="24"/>
        </w:rPr>
        <w:t>报告期末本基金投资的国债期货交易情况说明</w:t>
      </w:r>
    </w:p>
    <w:p w:rsidR="00277FAE" w:rsidRDefault="00277FAE" w:rsidP="00277FAE">
      <w:pPr>
        <w:spacing w:line="360" w:lineRule="auto"/>
        <w:ind w:firstLineChars="200" w:firstLine="480"/>
      </w:pPr>
      <w:r>
        <w:rPr>
          <w:color w:val="000000"/>
          <w:sz w:val="24"/>
        </w:rPr>
        <w:t>本基金本报告期末未投资国债期货。</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5.11 </w:t>
      </w:r>
      <w:r w:rsidRPr="00264E55">
        <w:rPr>
          <w:rFonts w:ascii="宋体" w:hAnsi="宋体" w:hint="eastAsia"/>
          <w:b/>
          <w:bCs/>
          <w:color w:val="000000"/>
          <w:kern w:val="0"/>
          <w:sz w:val="24"/>
          <w:szCs w:val="24"/>
        </w:rPr>
        <w:t>投资组合报告附注</w:t>
      </w:r>
    </w:p>
    <w:p w:rsidR="00750D48" w:rsidRPr="00264E55" w:rsidRDefault="00750D48" w:rsidP="001B0A62">
      <w:pPr>
        <w:spacing w:line="360" w:lineRule="auto"/>
        <w:rPr>
          <w:rFonts w:ascii="宋体" w:hAnsi="宋体"/>
          <w:color w:val="000000"/>
          <w:sz w:val="24"/>
          <w:szCs w:val="24"/>
        </w:rPr>
      </w:pPr>
      <w:r w:rsidRPr="00264E55">
        <w:rPr>
          <w:rFonts w:ascii="宋体" w:hAnsi="宋体"/>
          <w:color w:val="000000"/>
          <w:sz w:val="24"/>
          <w:szCs w:val="24"/>
        </w:rPr>
        <w:t>5.11.1本基金投资的前十名证券的发行主体本期没有出现被监管部门立案调查，或在报告编制日前一年内受到公开谴责、处罚的情形。</w:t>
      </w:r>
    </w:p>
    <w:p w:rsidR="00750D48" w:rsidRPr="00264E55" w:rsidRDefault="00750D48" w:rsidP="001B0A62">
      <w:pPr>
        <w:spacing w:line="360" w:lineRule="auto"/>
        <w:rPr>
          <w:rFonts w:ascii="宋体" w:hAnsi="宋体"/>
          <w:color w:val="000000"/>
          <w:sz w:val="24"/>
          <w:szCs w:val="24"/>
        </w:rPr>
      </w:pPr>
      <w:r w:rsidRPr="00264E55">
        <w:rPr>
          <w:rFonts w:ascii="宋体" w:hAnsi="宋体"/>
          <w:color w:val="000000"/>
          <w:sz w:val="24"/>
          <w:szCs w:val="24"/>
        </w:rPr>
        <w:t>5.11.2本基金本报告期没有投资股票，因此不存在投资的前十名股票超出基金合同规定的备选股票库情况。</w:t>
      </w:r>
    </w:p>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 xml:space="preserve">5.11.3 </w:t>
      </w:r>
      <w:r w:rsidRPr="001C7E00">
        <w:rPr>
          <w:rFonts w:ascii="宋体" w:hAnsi="宋体" w:hint="eastAsia"/>
          <w:bCs/>
          <w:color w:val="000000"/>
          <w:kern w:val="0"/>
          <w:sz w:val="24"/>
          <w:szCs w:val="24"/>
        </w:rPr>
        <w:t>其他各项资产构成</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35"/>
        <w:gridCol w:w="2470"/>
        <w:gridCol w:w="4808"/>
      </w:tblGrid>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序号</w:t>
            </w:r>
          </w:p>
        </w:tc>
        <w:tc>
          <w:tcPr>
            <w:tcW w:w="2470" w:type="dxa"/>
            <w:vAlign w:val="center"/>
          </w:tcPr>
          <w:p w:rsidR="00750D48" w:rsidRPr="00B227EA" w:rsidRDefault="00750D48" w:rsidP="00B05049">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名称</w:t>
            </w:r>
          </w:p>
        </w:tc>
        <w:tc>
          <w:tcPr>
            <w:tcW w:w="4808" w:type="dxa"/>
            <w:vAlign w:val="center"/>
          </w:tcPr>
          <w:p w:rsidR="00750D48" w:rsidRPr="00B227EA" w:rsidRDefault="00750D48" w:rsidP="005F7917">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金额</w:t>
            </w:r>
            <w:r w:rsidR="005F7917" w:rsidRPr="00B227EA">
              <w:rPr>
                <w:color w:val="000000"/>
                <w:kern w:val="0"/>
                <w:sz w:val="24"/>
                <w:szCs w:val="24"/>
              </w:rPr>
              <w:t>（元）</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1</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存出保证金</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2</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应收证券清算款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3</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应收股利</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4</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应收利息</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93,018,350.03</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5</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应收申购款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6</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其他应收款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7</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待摊费用</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8</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其他</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9</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合计</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93,018,350.03</w:t>
            </w:r>
          </w:p>
        </w:tc>
      </w:tr>
    </w:tbl>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5.11.4</w:t>
      </w:r>
      <w:r w:rsidRPr="001C7E00">
        <w:rPr>
          <w:rFonts w:ascii="宋体" w:hAnsi="宋体" w:hint="eastAsia"/>
          <w:bCs/>
          <w:color w:val="000000"/>
          <w:kern w:val="0"/>
          <w:sz w:val="24"/>
          <w:szCs w:val="24"/>
        </w:rPr>
        <w:t>报告期末持有的处于转股期的可转换债券明细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本基金本报告期末未持有处于转股期的可转换债券。</w:t>
      </w:r>
    </w:p>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5.11.5</w:t>
      </w:r>
      <w:r w:rsidRPr="001C7E00">
        <w:rPr>
          <w:rFonts w:ascii="宋体" w:hAnsi="宋体" w:hint="eastAsia"/>
          <w:bCs/>
          <w:color w:val="000000"/>
          <w:kern w:val="0"/>
          <w:sz w:val="24"/>
          <w:szCs w:val="24"/>
        </w:rPr>
        <w:t>报告期末前十名股票中存在流通受限情况的说明</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本基金本报告期末未持有股票。</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6  </w:t>
      </w:r>
      <w:r w:rsidRPr="00264E55">
        <w:rPr>
          <w:rFonts w:ascii="宋体" w:hAnsi="宋体" w:hint="eastAsia"/>
          <w:color w:val="000000"/>
          <w:kern w:val="0"/>
          <w:sz w:val="24"/>
          <w:szCs w:val="24"/>
        </w:rPr>
        <w:t>开放式基金份额变动</w:t>
      </w:r>
    </w:p>
    <w:p w:rsidR="00750D48" w:rsidRPr="00264E55" w:rsidRDefault="00750D48" w:rsidP="004061AC">
      <w:pPr>
        <w:autoSpaceDE w:val="0"/>
        <w:autoSpaceDN w:val="0"/>
        <w:adjustRightInd w:val="0"/>
        <w:spacing w:before="29" w:line="360" w:lineRule="auto"/>
        <w:ind w:left="15"/>
        <w:jc w:val="right"/>
        <w:rPr>
          <w:rFonts w:ascii="宋体"/>
          <w:color w:val="000000"/>
          <w:kern w:val="0"/>
          <w:sz w:val="24"/>
          <w:szCs w:val="24"/>
        </w:rPr>
      </w:pPr>
      <w:r w:rsidRPr="00264E55">
        <w:rPr>
          <w:rFonts w:ascii="宋体" w:hAnsi="宋体" w:cs="宋体" w:hint="eastAsia"/>
          <w:color w:val="000000"/>
          <w:kern w:val="0"/>
          <w:sz w:val="24"/>
          <w:szCs w:val="24"/>
        </w:rPr>
        <w:t>单位：份</w:t>
      </w:r>
    </w:p>
    <w:tbl>
      <w:tblPr>
        <w:tblW w:w="0" w:type="auto"/>
        <w:tblInd w:w="-106" w:type="dxa"/>
        <w:tblLayout w:type="fixed"/>
        <w:tblLook w:val="0000" w:firstRow="0" w:lastRow="0" w:firstColumn="0" w:lastColumn="0" w:noHBand="0" w:noVBand="0"/>
      </w:tblPr>
      <w:tblGrid>
        <w:gridCol w:w="4609"/>
        <w:gridCol w:w="4025"/>
      </w:tblGrid>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报告期期初基金份额总额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6,426,845,629.00</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报告期基金总申购份额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1,182,662,224.56</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减：报告期基金总赎回份额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990,928,952.79</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报告期基金拆分变动份额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报告期期末基金份额总额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0A2B53">
            <w:pPr>
              <w:autoSpaceDE w:val="0"/>
              <w:autoSpaceDN w:val="0"/>
              <w:adjustRightInd w:val="0"/>
              <w:spacing w:before="29" w:line="360" w:lineRule="auto"/>
              <w:ind w:left="17"/>
              <w:jc w:val="right"/>
              <w:rPr>
                <w:color w:val="000000"/>
                <w:sz w:val="24"/>
                <w:szCs w:val="24"/>
              </w:rPr>
            </w:pPr>
            <w:r w:rsidRPr="00B227EA">
              <w:rPr>
                <w:color w:val="000000"/>
                <w:sz w:val="24"/>
                <w:szCs w:val="24"/>
              </w:rPr>
              <w:t>6,618,578,900.77</w:t>
            </w:r>
          </w:p>
        </w:tc>
      </w:tr>
    </w:tbl>
    <w:p w:rsidR="00750D48" w:rsidRDefault="00750D48" w:rsidP="004D28A3">
      <w:pPr>
        <w:pStyle w:val="1"/>
        <w:tabs>
          <w:tab w:val="center" w:pos="4156"/>
          <w:tab w:val="right" w:pos="8312"/>
        </w:tabs>
        <w:spacing w:beforeLines="100" w:before="312" w:afterLines="100" w:after="312" w:line="360" w:lineRule="auto"/>
        <w:jc w:val="center"/>
        <w:rPr>
          <w:rFonts w:ascii="方正仿宋简体"/>
          <w:sz w:val="24"/>
          <w:szCs w:val="24"/>
        </w:rPr>
      </w:pPr>
      <w:r>
        <w:rPr>
          <w:rFonts w:ascii="宋体" w:hAnsi="宋体" w:cs="Arial" w:hint="eastAsia"/>
          <w:color w:val="000000"/>
          <w:kern w:val="0"/>
          <w:sz w:val="24"/>
          <w:szCs w:val="24"/>
        </w:rPr>
        <w:t>§</w:t>
      </w:r>
      <w:r>
        <w:rPr>
          <w:rFonts w:ascii="宋体" w:hAnsi="宋体" w:cs="Arial"/>
          <w:color w:val="000000"/>
          <w:kern w:val="0"/>
          <w:sz w:val="24"/>
          <w:szCs w:val="24"/>
        </w:rPr>
        <w:t xml:space="preserve">7  </w:t>
      </w:r>
      <w:r>
        <w:rPr>
          <w:rFonts w:ascii="方正仿宋简体" w:hint="eastAsia"/>
          <w:sz w:val="24"/>
          <w:szCs w:val="24"/>
        </w:rPr>
        <w:t>基金管理人运用固有资金投资本基金情况</w:t>
      </w:r>
    </w:p>
    <w:p w:rsidR="00750D48" w:rsidRDefault="00750D48" w:rsidP="00EB374A">
      <w:pPr>
        <w:spacing w:line="360" w:lineRule="auto"/>
        <w:jc w:val="left"/>
        <w:rPr>
          <w:sz w:val="24"/>
          <w:szCs w:val="24"/>
        </w:rPr>
      </w:pPr>
      <w:r>
        <w:rPr>
          <w:b/>
          <w:sz w:val="24"/>
        </w:rPr>
        <w:t xml:space="preserve">7.1 </w:t>
      </w:r>
      <w:r>
        <w:rPr>
          <w:rFonts w:hint="eastAsia"/>
          <w:b/>
          <w:sz w:val="24"/>
        </w:rPr>
        <w:t>基金管理人持有本基金份额变动情况</w:t>
      </w:r>
    </w:p>
    <w:p w:rsidR="00750D48" w:rsidRPr="00232B03" w:rsidRDefault="00AC11B0" w:rsidP="00232B03">
      <w:pPr>
        <w:spacing w:line="360" w:lineRule="auto"/>
        <w:ind w:firstLineChars="200" w:firstLine="480"/>
        <w:rPr>
          <w:color w:val="000000"/>
          <w:sz w:val="24"/>
          <w:szCs w:val="24"/>
        </w:rPr>
      </w:pPr>
      <w:r w:rsidRPr="00403A06">
        <w:rPr>
          <w:color w:val="000000"/>
          <w:sz w:val="24"/>
          <w:szCs w:val="24"/>
        </w:rPr>
        <w:t>本报告期内基金管理人未持有本基金份额。</w:t>
      </w:r>
    </w:p>
    <w:p w:rsidR="00750D48" w:rsidRDefault="00750D48" w:rsidP="00EB374A">
      <w:pPr>
        <w:spacing w:line="360" w:lineRule="auto"/>
        <w:jc w:val="left"/>
        <w:rPr>
          <w:sz w:val="24"/>
        </w:rPr>
      </w:pPr>
      <w:r>
        <w:rPr>
          <w:b/>
          <w:sz w:val="24"/>
        </w:rPr>
        <w:t xml:space="preserve">7.2 </w:t>
      </w:r>
      <w:r>
        <w:rPr>
          <w:rFonts w:hint="eastAsia"/>
          <w:b/>
          <w:sz w:val="24"/>
        </w:rPr>
        <w:t>基金管理人运用固有资金投资本基金交易明细</w:t>
      </w:r>
    </w:p>
    <w:p w:rsidR="00750D48" w:rsidRPr="006C56AA" w:rsidRDefault="00750D48" w:rsidP="006C56AA">
      <w:pPr>
        <w:spacing w:line="360" w:lineRule="auto"/>
        <w:ind w:firstLineChars="200" w:firstLine="480"/>
        <w:rPr>
          <w:color w:val="000000"/>
          <w:sz w:val="24"/>
          <w:szCs w:val="24"/>
        </w:rPr>
      </w:pPr>
      <w:r w:rsidRPr="006C56AA">
        <w:rPr>
          <w:color w:val="000000"/>
          <w:sz w:val="24"/>
          <w:szCs w:val="24"/>
        </w:rPr>
        <w:t>本报告期内基金管理人未运用固有资金申购、赎回、买卖本基金份额。</w:t>
      </w:r>
    </w:p>
    <w:p w:rsidR="004B7A92" w:rsidRPr="004B7A92" w:rsidRDefault="00013E6E" w:rsidP="004B7A92">
      <w:pPr>
        <w:pStyle w:val="1"/>
        <w:spacing w:beforeLines="100" w:before="312" w:afterLines="100" w:after="312" w:line="360" w:lineRule="auto"/>
        <w:jc w:val="center"/>
        <w:rPr>
          <w:rFonts w:ascii="宋体" w:hAnsi="宋体"/>
          <w:color w:val="000000"/>
          <w:kern w:val="0"/>
          <w:sz w:val="24"/>
          <w:szCs w:val="24"/>
        </w:rPr>
      </w:pPr>
      <w:r w:rsidRPr="00264E55">
        <w:rPr>
          <w:rFonts w:ascii="宋体" w:hAnsi="宋体" w:hint="eastAsia"/>
          <w:color w:val="000000"/>
          <w:kern w:val="0"/>
          <w:sz w:val="24"/>
          <w:szCs w:val="24"/>
        </w:rPr>
        <w:t>§</w:t>
      </w:r>
      <w:r w:rsidR="004B7A92" w:rsidRPr="004B7A92">
        <w:rPr>
          <w:rFonts w:ascii="宋体" w:hAnsi="宋体"/>
          <w:color w:val="000000"/>
          <w:kern w:val="0"/>
          <w:sz w:val="24"/>
          <w:szCs w:val="24"/>
        </w:rPr>
        <w:t>8</w:t>
      </w:r>
      <w:r w:rsidR="0043199A" w:rsidRPr="00264E55">
        <w:rPr>
          <w:rFonts w:ascii="宋体" w:hAnsi="宋体"/>
          <w:color w:val="000000"/>
          <w:kern w:val="0"/>
          <w:sz w:val="24"/>
          <w:szCs w:val="24"/>
        </w:rPr>
        <w:t xml:space="preserve">  </w:t>
      </w:r>
      <w:r w:rsidR="004B7A92" w:rsidRPr="004B7A92">
        <w:rPr>
          <w:rFonts w:ascii="宋体" w:hAnsi="宋体"/>
          <w:color w:val="000000"/>
          <w:kern w:val="0"/>
          <w:sz w:val="24"/>
          <w:szCs w:val="24"/>
        </w:rPr>
        <w:t>影响投资者决策的其他重要信息</w:t>
      </w:r>
    </w:p>
    <w:p w:rsidR="001F5F5D" w:rsidRPr="001F5F5D" w:rsidRDefault="001F5F5D" w:rsidP="001F5F5D">
      <w:pPr>
        <w:autoSpaceDE w:val="0"/>
        <w:autoSpaceDN w:val="0"/>
        <w:adjustRightInd w:val="0"/>
        <w:spacing w:line="360" w:lineRule="auto"/>
        <w:jc w:val="left"/>
        <w:rPr>
          <w:rFonts w:ascii="宋体"/>
          <w:b/>
          <w:bCs/>
          <w:color w:val="000000"/>
          <w:kern w:val="0"/>
          <w:sz w:val="24"/>
          <w:szCs w:val="24"/>
        </w:rPr>
      </w:pPr>
      <w:r w:rsidRPr="001F5F5D">
        <w:rPr>
          <w:rFonts w:ascii="宋体"/>
          <w:b/>
          <w:bCs/>
          <w:color w:val="000000"/>
          <w:kern w:val="0"/>
          <w:sz w:val="24"/>
          <w:szCs w:val="24"/>
        </w:rPr>
        <w:t>8.1 报告期内单一投资者持有基金份额比例达到或超过20%的情况</w:t>
      </w:r>
    </w:p>
    <w:tbl>
      <w:tblPr>
        <w:tblStyle w:val="af7"/>
        <w:tblW w:w="9640" w:type="dxa"/>
        <w:jc w:val="center"/>
        <w:tblLayout w:type="fixed"/>
        <w:tblLook w:val="04A0" w:firstRow="1" w:lastRow="0" w:firstColumn="1" w:lastColumn="0" w:noHBand="0" w:noVBand="1"/>
      </w:tblPr>
      <w:tblGrid>
        <w:gridCol w:w="1798"/>
        <w:gridCol w:w="709"/>
        <w:gridCol w:w="1985"/>
        <w:gridCol w:w="1134"/>
        <w:gridCol w:w="992"/>
        <w:gridCol w:w="1134"/>
        <w:gridCol w:w="1037"/>
        <w:gridCol w:w="851"/>
      </w:tblGrid>
      <w:tr w:rsidR="001F5F5D" w:rsidRPr="00FC0759" w:rsidTr="007125DB">
        <w:trPr>
          <w:jc w:val="center"/>
        </w:trPr>
        <w:tc>
          <w:tcPr>
            <w:tcW w:w="1798" w:type="dxa"/>
            <w:vMerge w:val="restart"/>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投资者类别</w:t>
            </w:r>
          </w:p>
        </w:tc>
        <w:tc>
          <w:tcPr>
            <w:tcW w:w="5954" w:type="dxa"/>
            <w:gridSpan w:val="5"/>
            <w:vAlign w:val="center"/>
          </w:tcPr>
          <w:p w:rsidR="001F5F5D" w:rsidRPr="00FC0759" w:rsidRDefault="001F5F5D" w:rsidP="00D9482C">
            <w:pPr>
              <w:autoSpaceDE w:val="0"/>
              <w:autoSpaceDN w:val="0"/>
              <w:adjustRightInd w:val="0"/>
              <w:ind w:firstLine="1126"/>
              <w:jc w:val="center"/>
              <w:rPr>
                <w:rFonts w:eastAsiaTheme="minorEastAsia"/>
                <w:b/>
                <w:bCs/>
                <w:color w:val="000000" w:themeColor="text1"/>
                <w:sz w:val="24"/>
                <w:szCs w:val="24"/>
              </w:rPr>
            </w:pPr>
            <w:r w:rsidRPr="00FC0759">
              <w:rPr>
                <w:color w:val="000000"/>
                <w:sz w:val="24"/>
                <w:szCs w:val="24"/>
              </w:rPr>
              <w:t>报告期内持有基金份额变化情况</w:t>
            </w:r>
          </w:p>
        </w:tc>
        <w:tc>
          <w:tcPr>
            <w:tcW w:w="1888" w:type="dxa"/>
            <w:gridSpan w:val="2"/>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报告期末持有基金情况</w:t>
            </w:r>
          </w:p>
        </w:tc>
      </w:tr>
      <w:tr w:rsidR="001F5F5D" w:rsidRPr="00FC0759" w:rsidTr="007125DB">
        <w:trPr>
          <w:jc w:val="center"/>
        </w:trPr>
        <w:tc>
          <w:tcPr>
            <w:tcW w:w="1798" w:type="dxa"/>
            <w:vMerge/>
            <w:vAlign w:val="center"/>
          </w:tcPr>
          <w:p w:rsidR="001F5F5D" w:rsidRPr="00FC0759" w:rsidRDefault="001F5F5D" w:rsidP="00D9482C">
            <w:pPr>
              <w:autoSpaceDE w:val="0"/>
              <w:autoSpaceDN w:val="0"/>
              <w:adjustRightInd w:val="0"/>
              <w:ind w:firstLine="1234"/>
              <w:jc w:val="center"/>
              <w:rPr>
                <w:rFonts w:eastAsiaTheme="minorEastAsia"/>
                <w:b/>
                <w:bCs/>
                <w:color w:val="000000" w:themeColor="text1"/>
                <w:sz w:val="24"/>
                <w:szCs w:val="24"/>
              </w:rPr>
            </w:pPr>
          </w:p>
        </w:tc>
        <w:tc>
          <w:tcPr>
            <w:tcW w:w="709" w:type="dxa"/>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序号</w:t>
            </w:r>
          </w:p>
        </w:tc>
        <w:tc>
          <w:tcPr>
            <w:tcW w:w="1985" w:type="dxa"/>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持有基金份额比例达到或者超过</w:t>
            </w:r>
            <w:r w:rsidRPr="00FC0759">
              <w:rPr>
                <w:color w:val="000000"/>
                <w:sz w:val="24"/>
                <w:szCs w:val="24"/>
              </w:rPr>
              <w:t>20%</w:t>
            </w:r>
            <w:r w:rsidRPr="00FC0759">
              <w:rPr>
                <w:color w:val="000000"/>
                <w:sz w:val="24"/>
                <w:szCs w:val="24"/>
              </w:rPr>
              <w:t>的时间区间</w:t>
            </w:r>
          </w:p>
        </w:tc>
        <w:tc>
          <w:tcPr>
            <w:tcW w:w="1134" w:type="dxa"/>
            <w:vAlign w:val="center"/>
          </w:tcPr>
          <w:p w:rsidR="001F5F5D" w:rsidRPr="00FC0759" w:rsidRDefault="001F5F5D" w:rsidP="00D9482C">
            <w:pPr>
              <w:widowControl/>
              <w:rPr>
                <w:rFonts w:eastAsiaTheme="minorEastAsia"/>
                <w:b/>
                <w:bCs/>
                <w:color w:val="000000" w:themeColor="text1"/>
                <w:sz w:val="24"/>
                <w:szCs w:val="24"/>
              </w:rPr>
            </w:pPr>
            <w:r w:rsidRPr="00FC0759">
              <w:rPr>
                <w:color w:val="000000"/>
                <w:sz w:val="24"/>
                <w:szCs w:val="24"/>
              </w:rPr>
              <w:t>期初份额</w:t>
            </w:r>
          </w:p>
        </w:tc>
        <w:tc>
          <w:tcPr>
            <w:tcW w:w="992" w:type="dxa"/>
            <w:vAlign w:val="center"/>
          </w:tcPr>
          <w:p w:rsidR="001F5F5D" w:rsidRPr="00FC0759" w:rsidRDefault="001F5F5D" w:rsidP="00D9482C">
            <w:pPr>
              <w:widowControl/>
              <w:rPr>
                <w:rFonts w:eastAsiaTheme="minorEastAsia"/>
                <w:b/>
                <w:bCs/>
                <w:color w:val="000000" w:themeColor="text1"/>
                <w:sz w:val="24"/>
                <w:szCs w:val="24"/>
              </w:rPr>
            </w:pPr>
            <w:r w:rsidRPr="00FC0759">
              <w:rPr>
                <w:color w:val="000000"/>
                <w:sz w:val="24"/>
                <w:szCs w:val="24"/>
              </w:rPr>
              <w:t>申购份额</w:t>
            </w:r>
          </w:p>
        </w:tc>
        <w:tc>
          <w:tcPr>
            <w:tcW w:w="1134" w:type="dxa"/>
            <w:vAlign w:val="center"/>
          </w:tcPr>
          <w:p w:rsidR="001F5F5D" w:rsidRPr="00FC0759" w:rsidRDefault="001F5F5D" w:rsidP="00D9482C">
            <w:pPr>
              <w:widowControl/>
              <w:rPr>
                <w:rFonts w:eastAsiaTheme="minorEastAsia"/>
                <w:b/>
                <w:bCs/>
                <w:color w:val="000000" w:themeColor="text1"/>
                <w:sz w:val="24"/>
                <w:szCs w:val="24"/>
              </w:rPr>
            </w:pPr>
            <w:r w:rsidRPr="00FC0759">
              <w:rPr>
                <w:color w:val="000000"/>
                <w:sz w:val="24"/>
                <w:szCs w:val="24"/>
              </w:rPr>
              <w:t>赎回份额</w:t>
            </w:r>
          </w:p>
        </w:tc>
        <w:tc>
          <w:tcPr>
            <w:tcW w:w="1037" w:type="dxa"/>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持有份额</w:t>
            </w:r>
          </w:p>
        </w:tc>
        <w:tc>
          <w:tcPr>
            <w:tcW w:w="851" w:type="dxa"/>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份额占比</w:t>
            </w:r>
          </w:p>
        </w:tc>
      </w:tr>
      <w:tr w:rsidR="009D59E5">
        <w:trPr>
          <w:jc w:val="center"/>
        </w:trPr>
        <w:tc>
          <w:tcPr>
            <w:tcW w:w="1798" w:type="dxa"/>
            <w:vMerge w:val="restart"/>
            <w:vAlign w:val="center"/>
          </w:tcPr>
          <w:p w:rsidR="009D59E5" w:rsidRDefault="00847168">
            <w:r>
              <w:rPr>
                <w:rFonts w:eastAsiaTheme="minorEastAsia"/>
                <w:bCs/>
                <w:color w:val="000000" w:themeColor="text1"/>
                <w:sz w:val="24"/>
                <w:szCs w:val="24"/>
              </w:rPr>
              <w:t>机构</w:t>
            </w:r>
          </w:p>
        </w:tc>
        <w:tc>
          <w:tcPr>
            <w:tcW w:w="709" w:type="dxa"/>
            <w:vAlign w:val="center"/>
          </w:tcPr>
          <w:p w:rsidR="009D59E5" w:rsidRDefault="00847168">
            <w:pPr>
              <w:jc w:val="center"/>
            </w:pPr>
            <w:r>
              <w:rPr>
                <w:sz w:val="24"/>
                <w:szCs w:val="24"/>
              </w:rPr>
              <w:t>1</w:t>
            </w:r>
          </w:p>
        </w:tc>
        <w:tc>
          <w:tcPr>
            <w:tcW w:w="1985" w:type="dxa"/>
            <w:vAlign w:val="center"/>
          </w:tcPr>
          <w:p w:rsidR="009D59E5" w:rsidRDefault="00847168">
            <w:pPr>
              <w:jc w:val="center"/>
            </w:pPr>
            <w:r>
              <w:rPr>
                <w:sz w:val="24"/>
                <w:szCs w:val="24"/>
              </w:rPr>
              <w:t>2019</w:t>
            </w:r>
            <w:r>
              <w:rPr>
                <w:sz w:val="24"/>
                <w:szCs w:val="24"/>
              </w:rPr>
              <w:t>年</w:t>
            </w:r>
            <w:r>
              <w:rPr>
                <w:sz w:val="24"/>
                <w:szCs w:val="24"/>
              </w:rPr>
              <w:t>07</w:t>
            </w:r>
            <w:r>
              <w:rPr>
                <w:sz w:val="24"/>
                <w:szCs w:val="24"/>
              </w:rPr>
              <w:t>月</w:t>
            </w:r>
            <w:r>
              <w:rPr>
                <w:sz w:val="24"/>
                <w:szCs w:val="24"/>
              </w:rPr>
              <w:t>01</w:t>
            </w:r>
            <w:r>
              <w:rPr>
                <w:sz w:val="24"/>
                <w:szCs w:val="24"/>
              </w:rPr>
              <w:t>日</w:t>
            </w:r>
            <w:r>
              <w:rPr>
                <w:sz w:val="24"/>
                <w:szCs w:val="24"/>
              </w:rPr>
              <w:t>~2019</w:t>
            </w:r>
            <w:r>
              <w:rPr>
                <w:sz w:val="24"/>
                <w:szCs w:val="24"/>
              </w:rPr>
              <w:t>年</w:t>
            </w:r>
            <w:r>
              <w:rPr>
                <w:sz w:val="24"/>
                <w:szCs w:val="24"/>
              </w:rPr>
              <w:t>09</w:t>
            </w:r>
            <w:r>
              <w:rPr>
                <w:sz w:val="24"/>
                <w:szCs w:val="24"/>
              </w:rPr>
              <w:t>月</w:t>
            </w:r>
            <w:r>
              <w:rPr>
                <w:sz w:val="24"/>
                <w:szCs w:val="24"/>
              </w:rPr>
              <w:t>30</w:t>
            </w:r>
            <w:r>
              <w:rPr>
                <w:sz w:val="24"/>
                <w:szCs w:val="24"/>
              </w:rPr>
              <w:t>日</w:t>
            </w:r>
          </w:p>
        </w:tc>
        <w:tc>
          <w:tcPr>
            <w:tcW w:w="1134" w:type="dxa"/>
            <w:vAlign w:val="center"/>
          </w:tcPr>
          <w:p w:rsidR="009D59E5" w:rsidRDefault="00847168">
            <w:pPr>
              <w:jc w:val="center"/>
            </w:pPr>
            <w:r>
              <w:rPr>
                <w:sz w:val="24"/>
                <w:szCs w:val="24"/>
              </w:rPr>
              <w:t>1,435,005,320.39</w:t>
            </w:r>
          </w:p>
        </w:tc>
        <w:tc>
          <w:tcPr>
            <w:tcW w:w="992" w:type="dxa"/>
            <w:vAlign w:val="center"/>
          </w:tcPr>
          <w:p w:rsidR="009D59E5" w:rsidRDefault="00847168">
            <w:pPr>
              <w:jc w:val="center"/>
            </w:pPr>
            <w:r>
              <w:rPr>
                <w:sz w:val="24"/>
                <w:szCs w:val="24"/>
              </w:rPr>
              <w:t>-</w:t>
            </w:r>
          </w:p>
        </w:tc>
        <w:tc>
          <w:tcPr>
            <w:tcW w:w="1134" w:type="dxa"/>
            <w:vAlign w:val="center"/>
          </w:tcPr>
          <w:p w:rsidR="009D59E5" w:rsidRDefault="00847168">
            <w:pPr>
              <w:jc w:val="center"/>
            </w:pPr>
            <w:r>
              <w:rPr>
                <w:sz w:val="24"/>
                <w:szCs w:val="24"/>
              </w:rPr>
              <w:t>-</w:t>
            </w:r>
          </w:p>
        </w:tc>
        <w:tc>
          <w:tcPr>
            <w:tcW w:w="1037" w:type="dxa"/>
            <w:vAlign w:val="center"/>
          </w:tcPr>
          <w:p w:rsidR="009D59E5" w:rsidRDefault="00847168">
            <w:pPr>
              <w:jc w:val="center"/>
            </w:pPr>
            <w:r>
              <w:rPr>
                <w:sz w:val="24"/>
                <w:szCs w:val="24"/>
              </w:rPr>
              <w:t>1,435,005,320.39</w:t>
            </w:r>
          </w:p>
        </w:tc>
        <w:tc>
          <w:tcPr>
            <w:tcW w:w="851" w:type="dxa"/>
            <w:vAlign w:val="center"/>
          </w:tcPr>
          <w:p w:rsidR="009D59E5" w:rsidRDefault="00847168">
            <w:pPr>
              <w:jc w:val="center"/>
            </w:pPr>
            <w:r>
              <w:rPr>
                <w:sz w:val="24"/>
                <w:szCs w:val="24"/>
              </w:rPr>
              <w:t>21.68%</w:t>
            </w:r>
          </w:p>
        </w:tc>
      </w:tr>
      <w:tr w:rsidR="009D59E5">
        <w:trPr>
          <w:jc w:val="center"/>
        </w:trPr>
        <w:tc>
          <w:tcPr>
            <w:tcW w:w="1798" w:type="dxa"/>
            <w:vMerge/>
          </w:tcPr>
          <w:p w:rsidR="009D59E5" w:rsidRDefault="009D59E5"/>
        </w:tc>
        <w:tc>
          <w:tcPr>
            <w:tcW w:w="709" w:type="dxa"/>
            <w:vAlign w:val="center"/>
          </w:tcPr>
          <w:p w:rsidR="009D59E5" w:rsidRDefault="00847168">
            <w:pPr>
              <w:jc w:val="center"/>
            </w:pPr>
            <w:r>
              <w:rPr>
                <w:sz w:val="24"/>
                <w:szCs w:val="24"/>
              </w:rPr>
              <w:t>2</w:t>
            </w:r>
          </w:p>
        </w:tc>
        <w:tc>
          <w:tcPr>
            <w:tcW w:w="1985" w:type="dxa"/>
            <w:vAlign w:val="center"/>
          </w:tcPr>
          <w:p w:rsidR="009D59E5" w:rsidRDefault="00847168">
            <w:pPr>
              <w:jc w:val="center"/>
            </w:pPr>
            <w:r>
              <w:rPr>
                <w:sz w:val="24"/>
                <w:szCs w:val="24"/>
              </w:rPr>
              <w:t>2019</w:t>
            </w:r>
            <w:r>
              <w:rPr>
                <w:sz w:val="24"/>
                <w:szCs w:val="24"/>
              </w:rPr>
              <w:t>年</w:t>
            </w:r>
            <w:r>
              <w:rPr>
                <w:sz w:val="24"/>
                <w:szCs w:val="24"/>
              </w:rPr>
              <w:t>07</w:t>
            </w:r>
            <w:r>
              <w:rPr>
                <w:sz w:val="24"/>
                <w:szCs w:val="24"/>
              </w:rPr>
              <w:t>月</w:t>
            </w:r>
            <w:r>
              <w:rPr>
                <w:sz w:val="24"/>
                <w:szCs w:val="24"/>
              </w:rPr>
              <w:t>05</w:t>
            </w:r>
            <w:r>
              <w:rPr>
                <w:sz w:val="24"/>
                <w:szCs w:val="24"/>
              </w:rPr>
              <w:t>日</w:t>
            </w:r>
            <w:r>
              <w:rPr>
                <w:sz w:val="24"/>
                <w:szCs w:val="24"/>
              </w:rPr>
              <w:t>~2019</w:t>
            </w:r>
            <w:r>
              <w:rPr>
                <w:sz w:val="24"/>
                <w:szCs w:val="24"/>
              </w:rPr>
              <w:t>年</w:t>
            </w:r>
            <w:r>
              <w:rPr>
                <w:sz w:val="24"/>
                <w:szCs w:val="24"/>
              </w:rPr>
              <w:t>07</w:t>
            </w:r>
            <w:r>
              <w:rPr>
                <w:sz w:val="24"/>
                <w:szCs w:val="24"/>
              </w:rPr>
              <w:t>月</w:t>
            </w:r>
            <w:r>
              <w:rPr>
                <w:sz w:val="24"/>
                <w:szCs w:val="24"/>
              </w:rPr>
              <w:t>25</w:t>
            </w:r>
            <w:r>
              <w:rPr>
                <w:sz w:val="24"/>
                <w:szCs w:val="24"/>
              </w:rPr>
              <w:t>日</w:t>
            </w:r>
          </w:p>
        </w:tc>
        <w:tc>
          <w:tcPr>
            <w:tcW w:w="1134" w:type="dxa"/>
            <w:vAlign w:val="center"/>
          </w:tcPr>
          <w:p w:rsidR="009D59E5" w:rsidRDefault="00847168">
            <w:pPr>
              <w:jc w:val="center"/>
            </w:pPr>
            <w:r>
              <w:rPr>
                <w:sz w:val="24"/>
                <w:szCs w:val="24"/>
              </w:rPr>
              <w:t>1,176,278,568.82</w:t>
            </w:r>
          </w:p>
        </w:tc>
        <w:tc>
          <w:tcPr>
            <w:tcW w:w="992" w:type="dxa"/>
            <w:vAlign w:val="center"/>
          </w:tcPr>
          <w:p w:rsidR="009D59E5" w:rsidRDefault="00847168">
            <w:pPr>
              <w:jc w:val="center"/>
            </w:pPr>
            <w:r>
              <w:rPr>
                <w:sz w:val="24"/>
                <w:szCs w:val="24"/>
              </w:rPr>
              <w:t>-</w:t>
            </w:r>
          </w:p>
        </w:tc>
        <w:tc>
          <w:tcPr>
            <w:tcW w:w="1134" w:type="dxa"/>
            <w:vAlign w:val="center"/>
          </w:tcPr>
          <w:p w:rsidR="009D59E5" w:rsidRDefault="00847168">
            <w:pPr>
              <w:jc w:val="center"/>
            </w:pPr>
            <w:r>
              <w:rPr>
                <w:sz w:val="24"/>
                <w:szCs w:val="24"/>
              </w:rPr>
              <w:t>-</w:t>
            </w:r>
          </w:p>
        </w:tc>
        <w:tc>
          <w:tcPr>
            <w:tcW w:w="1037" w:type="dxa"/>
            <w:vAlign w:val="center"/>
          </w:tcPr>
          <w:p w:rsidR="009D59E5" w:rsidRDefault="00847168">
            <w:pPr>
              <w:jc w:val="center"/>
            </w:pPr>
            <w:r>
              <w:rPr>
                <w:sz w:val="24"/>
                <w:szCs w:val="24"/>
              </w:rPr>
              <w:t>1,176,278,568.82</w:t>
            </w:r>
          </w:p>
        </w:tc>
        <w:tc>
          <w:tcPr>
            <w:tcW w:w="851" w:type="dxa"/>
            <w:vAlign w:val="center"/>
          </w:tcPr>
          <w:p w:rsidR="009D59E5" w:rsidRDefault="00847168">
            <w:pPr>
              <w:jc w:val="center"/>
            </w:pPr>
            <w:r>
              <w:rPr>
                <w:sz w:val="24"/>
                <w:szCs w:val="24"/>
              </w:rPr>
              <w:t>17.77%</w:t>
            </w:r>
          </w:p>
        </w:tc>
      </w:tr>
      <w:tr w:rsidR="001F5F5D" w:rsidRPr="00FC0759" w:rsidTr="00D9482C">
        <w:trPr>
          <w:jc w:val="center"/>
        </w:trPr>
        <w:tc>
          <w:tcPr>
            <w:tcW w:w="9637" w:type="dxa"/>
            <w:gridSpan w:val="8"/>
            <w:vAlign w:val="center"/>
          </w:tcPr>
          <w:p w:rsidR="001F5F5D" w:rsidRPr="00FC0759" w:rsidRDefault="001F5F5D" w:rsidP="003350A8">
            <w:pPr>
              <w:autoSpaceDE w:val="0"/>
              <w:autoSpaceDN w:val="0"/>
              <w:adjustRightInd w:val="0"/>
              <w:jc w:val="center"/>
              <w:rPr>
                <w:sz w:val="24"/>
                <w:szCs w:val="24"/>
              </w:rPr>
            </w:pPr>
            <w:r w:rsidRPr="00FC0759">
              <w:rPr>
                <w:color w:val="000000"/>
                <w:sz w:val="24"/>
                <w:szCs w:val="24"/>
              </w:rPr>
              <w:t>产品特有风险</w:t>
            </w:r>
          </w:p>
        </w:tc>
      </w:tr>
      <w:tr w:rsidR="001F5F5D" w:rsidRPr="00FC0759" w:rsidTr="00D9482C">
        <w:trPr>
          <w:jc w:val="center"/>
        </w:trPr>
        <w:tc>
          <w:tcPr>
            <w:tcW w:w="9637" w:type="dxa"/>
            <w:gridSpan w:val="8"/>
            <w:vAlign w:val="center"/>
          </w:tcPr>
          <w:p w:rsidR="001F5F5D" w:rsidRPr="00FC0759" w:rsidRDefault="001F5F5D" w:rsidP="00D9482C">
            <w:pPr>
              <w:autoSpaceDE w:val="0"/>
              <w:autoSpaceDN w:val="0"/>
              <w:adjustRightInd w:val="0"/>
              <w:jc w:val="left"/>
              <w:rPr>
                <w:sz w:val="24"/>
                <w:szCs w:val="24"/>
              </w:rPr>
            </w:pPr>
            <w:r w:rsidRPr="00FC0759">
              <w:rPr>
                <w:sz w:val="24"/>
                <w:szCs w:val="24"/>
              </w:rPr>
              <w:t>报告期内，本基金存在单一投资者持有份额比例达到或超过</w:t>
            </w:r>
            <w:r w:rsidRPr="00FC0759">
              <w:rPr>
                <w:sz w:val="24"/>
                <w:szCs w:val="24"/>
              </w:rPr>
              <w:t>20%</w:t>
            </w:r>
            <w:r w:rsidRPr="00FC0759">
              <w:rPr>
                <w:sz w:val="24"/>
                <w:szCs w:val="24"/>
              </w:rPr>
              <w:t>的情况，由此可能导致的特有风险主要包括：当投资者持有份额占比较为集中时，个别投资者的大额赎回可能会对基金资产运作及净值表现产生较大影响；极端情况下基金管理人可能无法以合理价格及时变现基金资产以应对投资者的赎回申请，可能带来流动性风险；如个别投资者大额赎回引发巨额赎回，基金管理人可能根据基金合同约定决定部分延期赎回或暂停接受基金的赎回申请，可能影响投资者赎回业务办理；若个别投资者大额赎回后本基金出现连续六十个工作日基金资产净值低于</w:t>
            </w:r>
            <w:r w:rsidRPr="00FC0759">
              <w:rPr>
                <w:sz w:val="24"/>
                <w:szCs w:val="24"/>
              </w:rPr>
              <w:t>5000</w:t>
            </w:r>
            <w:r w:rsidRPr="00FC0759">
              <w:rPr>
                <w:sz w:val="24"/>
                <w:szCs w:val="24"/>
              </w:rPr>
              <w:t>万元，基金还可能面临转换运作方式、与其他基金合并或者终止基金合同等情形；持有基金份额占比较高的投资者在召开持有人大会并对审议事项进行投票表决时可能拥有较大话语权。</w:t>
            </w:r>
          </w:p>
        </w:tc>
      </w:tr>
    </w:tbl>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9  </w:t>
      </w:r>
      <w:r w:rsidRPr="00264E55">
        <w:rPr>
          <w:rFonts w:ascii="宋体" w:hAnsi="宋体" w:hint="eastAsia"/>
          <w:color w:val="000000"/>
          <w:kern w:val="0"/>
          <w:sz w:val="24"/>
          <w:szCs w:val="24"/>
        </w:rPr>
        <w:t>备查文件目录</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9.1 </w:t>
      </w:r>
      <w:r w:rsidRPr="00264E55">
        <w:rPr>
          <w:rFonts w:ascii="宋体" w:hAnsi="宋体" w:hint="eastAsia"/>
          <w:b/>
          <w:bCs/>
          <w:color w:val="000000"/>
          <w:kern w:val="0"/>
          <w:sz w:val="24"/>
          <w:szCs w:val="24"/>
        </w:rPr>
        <w:t>备查文件目录</w:t>
      </w:r>
    </w:p>
    <w:p w:rsidR="009D59E5" w:rsidRDefault="00847168">
      <w:pPr>
        <w:spacing w:line="360" w:lineRule="auto"/>
        <w:ind w:firstLineChars="200" w:firstLine="480"/>
        <w:rPr>
          <w:color w:val="000000"/>
          <w:sz w:val="24"/>
          <w:szCs w:val="24"/>
        </w:rPr>
      </w:pPr>
      <w:r>
        <w:rPr>
          <w:color w:val="000000"/>
          <w:sz w:val="24"/>
          <w:szCs w:val="24"/>
        </w:rPr>
        <w:t>1.</w:t>
      </w:r>
      <w:r>
        <w:rPr>
          <w:color w:val="000000"/>
          <w:sz w:val="24"/>
          <w:szCs w:val="24"/>
        </w:rPr>
        <w:t>中国证监会准予易方达富财纯债债券型证券投资基金注册的文件；</w:t>
      </w:r>
    </w:p>
    <w:p w:rsidR="009D59E5" w:rsidRDefault="00847168">
      <w:pPr>
        <w:spacing w:line="360" w:lineRule="auto"/>
        <w:ind w:firstLineChars="200" w:firstLine="480"/>
        <w:rPr>
          <w:color w:val="000000"/>
          <w:sz w:val="24"/>
          <w:szCs w:val="24"/>
        </w:rPr>
      </w:pPr>
      <w:r>
        <w:rPr>
          <w:color w:val="000000"/>
          <w:sz w:val="24"/>
          <w:szCs w:val="24"/>
        </w:rPr>
        <w:t>2.</w:t>
      </w:r>
      <w:r>
        <w:rPr>
          <w:color w:val="000000"/>
          <w:sz w:val="24"/>
          <w:szCs w:val="24"/>
        </w:rPr>
        <w:t>《易方达富财纯债债券型证券投资基金基金合同》；</w:t>
      </w:r>
    </w:p>
    <w:p w:rsidR="009D59E5" w:rsidRDefault="00847168">
      <w:pPr>
        <w:spacing w:line="360" w:lineRule="auto"/>
        <w:ind w:firstLineChars="200" w:firstLine="480"/>
        <w:rPr>
          <w:color w:val="000000"/>
          <w:sz w:val="24"/>
          <w:szCs w:val="24"/>
        </w:rPr>
      </w:pPr>
      <w:r>
        <w:rPr>
          <w:color w:val="000000"/>
          <w:sz w:val="24"/>
          <w:szCs w:val="24"/>
        </w:rPr>
        <w:t>3.</w:t>
      </w:r>
      <w:r>
        <w:rPr>
          <w:color w:val="000000"/>
          <w:sz w:val="24"/>
          <w:szCs w:val="24"/>
        </w:rPr>
        <w:t>《易方达富财纯债债券型证券投资基金托管协议》；</w:t>
      </w:r>
    </w:p>
    <w:p w:rsidR="009D59E5" w:rsidRDefault="00847168">
      <w:pPr>
        <w:spacing w:line="360" w:lineRule="auto"/>
        <w:ind w:firstLineChars="200" w:firstLine="480"/>
        <w:rPr>
          <w:color w:val="000000"/>
          <w:sz w:val="24"/>
          <w:szCs w:val="24"/>
        </w:rPr>
      </w:pPr>
      <w:r>
        <w:rPr>
          <w:color w:val="000000"/>
          <w:sz w:val="24"/>
          <w:szCs w:val="24"/>
        </w:rPr>
        <w:t>4.</w:t>
      </w:r>
      <w:r>
        <w:rPr>
          <w:color w:val="000000"/>
          <w:sz w:val="24"/>
          <w:szCs w:val="24"/>
        </w:rPr>
        <w:t>《易方达基金管理有限公司开放式基金业务规则》；</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5.</w:t>
      </w:r>
      <w:r w:rsidRPr="006C56AA">
        <w:rPr>
          <w:color w:val="000000"/>
          <w:sz w:val="24"/>
          <w:szCs w:val="24"/>
        </w:rPr>
        <w:t>基金管理人业务资格批件、营业执照。</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9.2 </w:t>
      </w:r>
      <w:r w:rsidRPr="00264E55">
        <w:rPr>
          <w:rFonts w:ascii="宋体" w:hAnsi="宋体" w:hint="eastAsia"/>
          <w:b/>
          <w:bCs/>
          <w:color w:val="000000"/>
          <w:kern w:val="0"/>
          <w:sz w:val="24"/>
          <w:szCs w:val="24"/>
        </w:rPr>
        <w:t>存放地点</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广州市天河区珠江新城珠江东路</w:t>
      </w:r>
      <w:r w:rsidRPr="006C56AA">
        <w:rPr>
          <w:color w:val="000000"/>
          <w:sz w:val="24"/>
          <w:szCs w:val="24"/>
        </w:rPr>
        <w:t>30</w:t>
      </w:r>
      <w:r w:rsidRPr="006C56AA">
        <w:rPr>
          <w:color w:val="000000"/>
          <w:sz w:val="24"/>
          <w:szCs w:val="24"/>
        </w:rPr>
        <w:t>号广州银行大厦</w:t>
      </w:r>
      <w:r w:rsidRPr="006C56AA">
        <w:rPr>
          <w:color w:val="000000"/>
          <w:sz w:val="24"/>
          <w:szCs w:val="24"/>
        </w:rPr>
        <w:t>40-43</w:t>
      </w:r>
      <w:r w:rsidRPr="006C56AA">
        <w:rPr>
          <w:color w:val="000000"/>
          <w:sz w:val="24"/>
          <w:szCs w:val="24"/>
        </w:rPr>
        <w:t>楼。</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9.3 </w:t>
      </w:r>
      <w:r w:rsidRPr="00264E55">
        <w:rPr>
          <w:rFonts w:ascii="宋体" w:hAnsi="宋体" w:hint="eastAsia"/>
          <w:b/>
          <w:bCs/>
          <w:color w:val="000000"/>
          <w:kern w:val="0"/>
          <w:sz w:val="24"/>
          <w:szCs w:val="24"/>
        </w:rPr>
        <w:t>查阅方式</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投资者可在营业时间免费查阅，也可按工本费购买复印件。</w:t>
      </w: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C71497">
      <w:pPr>
        <w:spacing w:line="360" w:lineRule="auto"/>
        <w:jc w:val="right"/>
        <w:rPr>
          <w:rFonts w:ascii="宋体" w:hAnsi="宋体"/>
          <w:b/>
          <w:bCs/>
          <w:sz w:val="24"/>
          <w:szCs w:val="24"/>
        </w:rPr>
      </w:pPr>
      <w:r w:rsidRPr="00264E55">
        <w:rPr>
          <w:rFonts w:ascii="宋体" w:hAnsi="宋体"/>
          <w:b/>
          <w:bCs/>
          <w:sz w:val="24"/>
          <w:szCs w:val="24"/>
        </w:rPr>
        <w:t>易方达基金管理有限公司</w:t>
      </w:r>
    </w:p>
    <w:p w:rsidR="00750D48" w:rsidRPr="00191817" w:rsidRDefault="00750D48" w:rsidP="00191817">
      <w:pPr>
        <w:spacing w:line="360" w:lineRule="auto"/>
        <w:jc w:val="right"/>
        <w:rPr>
          <w:rFonts w:ascii="宋体" w:hAnsi="宋体"/>
          <w:b/>
          <w:bCs/>
          <w:sz w:val="24"/>
          <w:szCs w:val="24"/>
        </w:rPr>
      </w:pPr>
      <w:r w:rsidRPr="00264E55">
        <w:rPr>
          <w:rFonts w:ascii="宋体" w:hAnsi="宋体"/>
          <w:b/>
          <w:bCs/>
          <w:sz w:val="24"/>
          <w:szCs w:val="24"/>
        </w:rPr>
        <w:t>二〇一九年十月二十四日</w:t>
      </w:r>
    </w:p>
    <w:sectPr w:rsidR="00750D48" w:rsidRPr="00191817" w:rsidSect="00304A12">
      <w:footerReference w:type="default" r:id="rId11"/>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10DE" w:rsidRDefault="009510DE" w:rsidP="00876D65">
      <w:r>
        <w:separator/>
      </w:r>
    </w:p>
  </w:endnote>
  <w:endnote w:type="continuationSeparator" w:id="0">
    <w:p w:rsidR="009510DE" w:rsidRDefault="009510DE" w:rsidP="00876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FangSong">
    <w:altName w:val="Arial"/>
    <w:charset w:val="00"/>
    <w:family w:val="auto"/>
    <w:pitch w:val="default"/>
    <w:sig w:usb0="00000003" w:usb1="00000000" w:usb2="00000000" w:usb3="00000000" w:csb0="00000001" w:csb1="00000000"/>
  </w:font>
  <w:font w:name="方正仿宋简体">
    <w:altName w:val="Arial Unicode MS"/>
    <w:charset w:val="86"/>
    <w:family w:val="auto"/>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Default="003328D9" w:rsidP="00EF56B5">
    <w:pPr>
      <w:pStyle w:val="a6"/>
      <w:framePr w:wrap="auto" w:vAnchor="text" w:hAnchor="margin" w:xAlign="center" w:y="1"/>
      <w:rPr>
        <w:rStyle w:val="a7"/>
      </w:rPr>
    </w:pPr>
    <w:r>
      <w:rPr>
        <w:rStyle w:val="a7"/>
        <w:rFonts w:hint="eastAsia"/>
      </w:rPr>
      <w:t>第</w:t>
    </w:r>
    <w:r>
      <w:rPr>
        <w:rStyle w:val="a7"/>
      </w:rPr>
      <w:fldChar w:fldCharType="begin"/>
    </w:r>
    <w:r>
      <w:rPr>
        <w:rStyle w:val="a7"/>
      </w:rPr>
      <w:instrText xml:space="preserve">PAGE  </w:instrText>
    </w:r>
    <w:r>
      <w:rPr>
        <w:rStyle w:val="a7"/>
      </w:rPr>
      <w:fldChar w:fldCharType="separate"/>
    </w:r>
    <w:r w:rsidR="00847168">
      <w:rPr>
        <w:rStyle w:val="a7"/>
        <w:noProof/>
      </w:rPr>
      <w:t>1</w:t>
    </w:r>
    <w:r>
      <w:rPr>
        <w:rStyle w:val="a7"/>
      </w:rPr>
      <w:fldChar w:fldCharType="end"/>
    </w:r>
    <w:r>
      <w:rPr>
        <w:rStyle w:val="a7"/>
        <w:rFonts w:hint="eastAsia"/>
      </w:rPr>
      <w:t>页共</w:t>
    </w:r>
    <w:r w:rsidR="00847168">
      <w:fldChar w:fldCharType="begin"/>
    </w:r>
    <w:r w:rsidR="00847168">
      <w:instrText xml:space="preserve"> NUMPAGES  \* Arabic  \* MERGEFORMAT </w:instrText>
    </w:r>
    <w:r w:rsidR="00847168">
      <w:fldChar w:fldCharType="separate"/>
    </w:r>
    <w:r w:rsidR="00847168" w:rsidRPr="00847168">
      <w:rPr>
        <w:rStyle w:val="a7"/>
        <w:noProof/>
      </w:rPr>
      <w:t>3</w:t>
    </w:r>
    <w:r w:rsidR="00847168">
      <w:rPr>
        <w:rStyle w:val="a7"/>
        <w:noProof/>
      </w:rPr>
      <w:fldChar w:fldCharType="end"/>
    </w:r>
    <w:r>
      <w:rPr>
        <w:rStyle w:val="a7"/>
        <w:rFonts w:hint="eastAsia"/>
      </w:rPr>
      <w:t>页</w:t>
    </w:r>
  </w:p>
  <w:p w:rsidR="003328D9" w:rsidRPr="00EF56B5" w:rsidRDefault="003328D9" w:rsidP="00EF56B5">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Default="003328D9">
    <w:pPr>
      <w:pStyle w:val="a6"/>
      <w:framePr w:wrap="auto" w:vAnchor="text" w:hAnchor="margin" w:xAlign="center" w:y="1"/>
      <w:rPr>
        <w:rStyle w:val="a7"/>
      </w:rPr>
    </w:pPr>
    <w:r>
      <w:rPr>
        <w:rStyle w:val="a7"/>
        <w:rFonts w:hint="eastAsia"/>
      </w:rPr>
      <w:t>第</w:t>
    </w:r>
    <w:r>
      <w:rPr>
        <w:rStyle w:val="a7"/>
      </w:rPr>
      <w:fldChar w:fldCharType="begin"/>
    </w:r>
    <w:r>
      <w:rPr>
        <w:rStyle w:val="a7"/>
      </w:rPr>
      <w:instrText xml:space="preserve">PAGE  </w:instrText>
    </w:r>
    <w:r>
      <w:rPr>
        <w:rStyle w:val="a7"/>
      </w:rPr>
      <w:fldChar w:fldCharType="separate"/>
    </w:r>
    <w:r w:rsidR="00847168">
      <w:rPr>
        <w:rStyle w:val="a7"/>
        <w:noProof/>
      </w:rPr>
      <w:t>13</w:t>
    </w:r>
    <w:r>
      <w:rPr>
        <w:rStyle w:val="a7"/>
      </w:rPr>
      <w:fldChar w:fldCharType="end"/>
    </w:r>
    <w:r>
      <w:rPr>
        <w:rStyle w:val="a7"/>
        <w:rFonts w:hint="eastAsia"/>
      </w:rPr>
      <w:t>页共</w:t>
    </w:r>
    <w:fldSimple w:instr=" NUMPAGES  \* Arabic  \* MERGEFORMAT ">
      <w:r w:rsidR="00847168" w:rsidRPr="00847168">
        <w:rPr>
          <w:rStyle w:val="a7"/>
          <w:noProof/>
        </w:rPr>
        <w:t>13</w:t>
      </w:r>
    </w:fldSimple>
    <w:r>
      <w:rPr>
        <w:rStyle w:val="a7"/>
        <w:rFonts w:hint="eastAsia"/>
      </w:rPr>
      <w:t>页</w:t>
    </w:r>
  </w:p>
  <w:p w:rsidR="003328D9" w:rsidRDefault="003328D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10DE" w:rsidRDefault="009510DE" w:rsidP="00876D65">
      <w:r>
        <w:separator/>
      </w:r>
    </w:p>
  </w:footnote>
  <w:footnote w:type="continuationSeparator" w:id="0">
    <w:p w:rsidR="009510DE" w:rsidRDefault="009510DE" w:rsidP="00876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Pr="00093704" w:rsidRDefault="003328D9" w:rsidP="00090A26">
    <w:pPr>
      <w:pStyle w:val="a9"/>
      <w:pBdr>
        <w:bottom w:val="single" w:sz="6" w:space="0" w:color="auto"/>
      </w:pBdr>
      <w:jc w:val="right"/>
    </w:pPr>
    <w:r w:rsidRPr="00093704">
      <w:t>易方达富财纯债债券型证券投资基金</w:t>
    </w:r>
    <w:r w:rsidRPr="00093704">
      <w:t>2019</w:t>
    </w:r>
    <w:r w:rsidRPr="00093704">
      <w:t>年第</w:t>
    </w:r>
    <w:r w:rsidRPr="00093704">
      <w:t>3</w:t>
    </w:r>
    <w:r w:rsidRPr="00093704">
      <w:t>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start w:val="1"/>
      <w:numFmt w:val="bullet"/>
      <w:lvlText w:val=""/>
      <w:lvlJc w:val="left"/>
      <w:pPr>
        <w:tabs>
          <w:tab w:val="num" w:pos="1260"/>
        </w:tabs>
        <w:ind w:left="1260" w:hanging="420"/>
      </w:pPr>
      <w:rPr>
        <w:rFonts w:ascii="Wingdings" w:hAnsi="Wingdings" w:hint="default"/>
      </w:rPr>
    </w:lvl>
    <w:lvl w:ilvl="2" w:tplc="04090005">
      <w:start w:val="1"/>
      <w:numFmt w:val="bullet"/>
      <w:lvlText w:val=""/>
      <w:lvlJc w:val="left"/>
      <w:pPr>
        <w:tabs>
          <w:tab w:val="num" w:pos="1680"/>
        </w:tabs>
        <w:ind w:left="1680" w:hanging="420"/>
      </w:pPr>
      <w:rPr>
        <w:rFonts w:ascii="Wingdings" w:hAnsi="Wingdings" w:hint="default"/>
      </w:rPr>
    </w:lvl>
    <w:lvl w:ilvl="3" w:tplc="04090001">
      <w:start w:val="1"/>
      <w:numFmt w:val="bullet"/>
      <w:lvlText w:val=""/>
      <w:lvlJc w:val="left"/>
      <w:pPr>
        <w:tabs>
          <w:tab w:val="num" w:pos="2100"/>
        </w:tabs>
        <w:ind w:left="2100" w:hanging="420"/>
      </w:pPr>
      <w:rPr>
        <w:rFonts w:ascii="Wingdings" w:hAnsi="Wingdings" w:hint="default"/>
      </w:rPr>
    </w:lvl>
    <w:lvl w:ilvl="4" w:tplc="04090003">
      <w:start w:val="1"/>
      <w:numFmt w:val="bullet"/>
      <w:lvlText w:val=""/>
      <w:lvlJc w:val="left"/>
      <w:pPr>
        <w:tabs>
          <w:tab w:val="num" w:pos="2520"/>
        </w:tabs>
        <w:ind w:left="2520" w:hanging="420"/>
      </w:pPr>
      <w:rPr>
        <w:rFonts w:ascii="Wingdings" w:hAnsi="Wingdings" w:hint="default"/>
      </w:rPr>
    </w:lvl>
    <w:lvl w:ilvl="5" w:tplc="04090005">
      <w:start w:val="1"/>
      <w:numFmt w:val="bullet"/>
      <w:lvlText w:val=""/>
      <w:lvlJc w:val="left"/>
      <w:pPr>
        <w:tabs>
          <w:tab w:val="num" w:pos="2940"/>
        </w:tabs>
        <w:ind w:left="2940" w:hanging="420"/>
      </w:pPr>
      <w:rPr>
        <w:rFonts w:ascii="Wingdings" w:hAnsi="Wingdings" w:hint="default"/>
      </w:rPr>
    </w:lvl>
    <w:lvl w:ilvl="6" w:tplc="04090001">
      <w:start w:val="1"/>
      <w:numFmt w:val="bullet"/>
      <w:lvlText w:val=""/>
      <w:lvlJc w:val="left"/>
      <w:pPr>
        <w:tabs>
          <w:tab w:val="num" w:pos="3360"/>
        </w:tabs>
        <w:ind w:left="3360" w:hanging="420"/>
      </w:pPr>
      <w:rPr>
        <w:rFonts w:ascii="Wingdings" w:hAnsi="Wingdings" w:hint="default"/>
      </w:rPr>
    </w:lvl>
    <w:lvl w:ilvl="7" w:tplc="04090003">
      <w:start w:val="1"/>
      <w:numFmt w:val="bullet"/>
      <w:lvlText w:val=""/>
      <w:lvlJc w:val="left"/>
      <w:pPr>
        <w:tabs>
          <w:tab w:val="num" w:pos="3780"/>
        </w:tabs>
        <w:ind w:left="3780" w:hanging="420"/>
      </w:pPr>
      <w:rPr>
        <w:rFonts w:ascii="Wingdings" w:hAnsi="Wingdings" w:hint="default"/>
      </w:rPr>
    </w:lvl>
    <w:lvl w:ilvl="8" w:tplc="04090005">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szCs w:val="24"/>
      </w:rPr>
    </w:lvl>
    <w:lvl w:ilvl="1" w:tplc="04090019">
      <w:start w:val="1"/>
      <w:numFmt w:val="lowerLetter"/>
      <w:lvlText w:val="%2)"/>
      <w:lvlJc w:val="left"/>
      <w:pPr>
        <w:tabs>
          <w:tab w:val="num" w:pos="1320"/>
        </w:tabs>
        <w:ind w:left="1320" w:hanging="420"/>
      </w:pPr>
      <w:rPr>
        <w:rFonts w:cs="Times New Roman"/>
      </w:rPr>
    </w:lvl>
    <w:lvl w:ilvl="2" w:tplc="0409001B">
      <w:start w:val="1"/>
      <w:numFmt w:val="lowerRoman"/>
      <w:lvlText w:val="%3."/>
      <w:lvlJc w:val="right"/>
      <w:pPr>
        <w:tabs>
          <w:tab w:val="num" w:pos="1740"/>
        </w:tabs>
        <w:ind w:left="1740" w:hanging="420"/>
      </w:pPr>
      <w:rPr>
        <w:rFonts w:cs="Times New Roman"/>
      </w:rPr>
    </w:lvl>
    <w:lvl w:ilvl="3" w:tplc="0409000F">
      <w:start w:val="1"/>
      <w:numFmt w:val="decimal"/>
      <w:lvlText w:val="%4."/>
      <w:lvlJc w:val="left"/>
      <w:pPr>
        <w:tabs>
          <w:tab w:val="num" w:pos="2160"/>
        </w:tabs>
        <w:ind w:left="2160" w:hanging="420"/>
      </w:pPr>
      <w:rPr>
        <w:rFonts w:cs="Times New Roman"/>
      </w:rPr>
    </w:lvl>
    <w:lvl w:ilvl="4" w:tplc="04090019">
      <w:start w:val="1"/>
      <w:numFmt w:val="lowerLetter"/>
      <w:lvlText w:val="%5)"/>
      <w:lvlJc w:val="left"/>
      <w:pPr>
        <w:tabs>
          <w:tab w:val="num" w:pos="2580"/>
        </w:tabs>
        <w:ind w:left="2580" w:hanging="420"/>
      </w:pPr>
      <w:rPr>
        <w:rFonts w:cs="Times New Roman"/>
      </w:rPr>
    </w:lvl>
    <w:lvl w:ilvl="5" w:tplc="0409001B">
      <w:start w:val="1"/>
      <w:numFmt w:val="lowerRoman"/>
      <w:lvlText w:val="%6."/>
      <w:lvlJc w:val="right"/>
      <w:pPr>
        <w:tabs>
          <w:tab w:val="num" w:pos="3000"/>
        </w:tabs>
        <w:ind w:left="3000" w:hanging="420"/>
      </w:pPr>
      <w:rPr>
        <w:rFonts w:cs="Times New Roman"/>
      </w:rPr>
    </w:lvl>
    <w:lvl w:ilvl="6" w:tplc="0409000F">
      <w:start w:val="1"/>
      <w:numFmt w:val="decimal"/>
      <w:lvlText w:val="%7."/>
      <w:lvlJc w:val="left"/>
      <w:pPr>
        <w:tabs>
          <w:tab w:val="num" w:pos="3420"/>
        </w:tabs>
        <w:ind w:left="3420" w:hanging="420"/>
      </w:pPr>
      <w:rPr>
        <w:rFonts w:cs="Times New Roman"/>
      </w:rPr>
    </w:lvl>
    <w:lvl w:ilvl="7" w:tplc="04090019">
      <w:start w:val="1"/>
      <w:numFmt w:val="lowerLetter"/>
      <w:lvlText w:val="%8)"/>
      <w:lvlJc w:val="left"/>
      <w:pPr>
        <w:tabs>
          <w:tab w:val="num" w:pos="3840"/>
        </w:tabs>
        <w:ind w:left="3840" w:hanging="420"/>
      </w:pPr>
      <w:rPr>
        <w:rFonts w:cs="Times New Roman"/>
      </w:rPr>
    </w:lvl>
    <w:lvl w:ilvl="8" w:tplc="0409001B">
      <w:start w:val="1"/>
      <w:numFmt w:val="lowerRoman"/>
      <w:lvlText w:val="%9."/>
      <w:lvlJc w:val="right"/>
      <w:pPr>
        <w:tabs>
          <w:tab w:val="num" w:pos="4260"/>
        </w:tabs>
        <w:ind w:left="4260" w:hanging="420"/>
      </w:pPr>
      <w:rPr>
        <w:rFonts w:cs="Times New Roman"/>
      </w:rPr>
    </w:lvl>
  </w:abstractNum>
  <w:abstractNum w:abstractNumId="2"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061AC"/>
    <w:rsid w:val="00013E6E"/>
    <w:rsid w:val="00014099"/>
    <w:rsid w:val="000160C5"/>
    <w:rsid w:val="000210E7"/>
    <w:rsid w:val="000212F7"/>
    <w:rsid w:val="00031EBB"/>
    <w:rsid w:val="00033B8D"/>
    <w:rsid w:val="00043852"/>
    <w:rsid w:val="000450DD"/>
    <w:rsid w:val="000463DE"/>
    <w:rsid w:val="000553BD"/>
    <w:rsid w:val="0008313A"/>
    <w:rsid w:val="000875EA"/>
    <w:rsid w:val="000907D2"/>
    <w:rsid w:val="00090A26"/>
    <w:rsid w:val="00093704"/>
    <w:rsid w:val="00095F2A"/>
    <w:rsid w:val="000A2B53"/>
    <w:rsid w:val="000A438A"/>
    <w:rsid w:val="000B5257"/>
    <w:rsid w:val="000B624F"/>
    <w:rsid w:val="000B73C6"/>
    <w:rsid w:val="000C190B"/>
    <w:rsid w:val="000C1E17"/>
    <w:rsid w:val="000C493C"/>
    <w:rsid w:val="000C5216"/>
    <w:rsid w:val="000D0E6C"/>
    <w:rsid w:val="000D3ED4"/>
    <w:rsid w:val="000F2DE1"/>
    <w:rsid w:val="000F6CC8"/>
    <w:rsid w:val="00111261"/>
    <w:rsid w:val="00133843"/>
    <w:rsid w:val="00137452"/>
    <w:rsid w:val="00142CAF"/>
    <w:rsid w:val="00144F93"/>
    <w:rsid w:val="00147376"/>
    <w:rsid w:val="00150E7E"/>
    <w:rsid w:val="00154BE1"/>
    <w:rsid w:val="00154C17"/>
    <w:rsid w:val="00160EDC"/>
    <w:rsid w:val="0016180A"/>
    <w:rsid w:val="001675CD"/>
    <w:rsid w:val="00170435"/>
    <w:rsid w:val="00171EF0"/>
    <w:rsid w:val="001761D2"/>
    <w:rsid w:val="001830D7"/>
    <w:rsid w:val="00185A34"/>
    <w:rsid w:val="001878B0"/>
    <w:rsid w:val="0019049E"/>
    <w:rsid w:val="00191817"/>
    <w:rsid w:val="00191BDE"/>
    <w:rsid w:val="00196E6C"/>
    <w:rsid w:val="001A73E8"/>
    <w:rsid w:val="001B0A62"/>
    <w:rsid w:val="001B2F35"/>
    <w:rsid w:val="001B3C1C"/>
    <w:rsid w:val="001B6E7E"/>
    <w:rsid w:val="001C0993"/>
    <w:rsid w:val="001C79F2"/>
    <w:rsid w:val="001C7E00"/>
    <w:rsid w:val="001D0DB0"/>
    <w:rsid w:val="001D5B8F"/>
    <w:rsid w:val="001D63BB"/>
    <w:rsid w:val="001D6A4B"/>
    <w:rsid w:val="001D74DB"/>
    <w:rsid w:val="001E4630"/>
    <w:rsid w:val="001F0964"/>
    <w:rsid w:val="001F0EB2"/>
    <w:rsid w:val="001F30DA"/>
    <w:rsid w:val="001F5DC5"/>
    <w:rsid w:val="001F5F5D"/>
    <w:rsid w:val="00200FAB"/>
    <w:rsid w:val="00213821"/>
    <w:rsid w:val="00217B92"/>
    <w:rsid w:val="002279D3"/>
    <w:rsid w:val="00232B03"/>
    <w:rsid w:val="00240248"/>
    <w:rsid w:val="0024363B"/>
    <w:rsid w:val="00261111"/>
    <w:rsid w:val="00264E55"/>
    <w:rsid w:val="002661ED"/>
    <w:rsid w:val="00266337"/>
    <w:rsid w:val="00275745"/>
    <w:rsid w:val="0027688F"/>
    <w:rsid w:val="00276E44"/>
    <w:rsid w:val="00277FAE"/>
    <w:rsid w:val="00280C9F"/>
    <w:rsid w:val="00286BEF"/>
    <w:rsid w:val="00286FA2"/>
    <w:rsid w:val="002918E3"/>
    <w:rsid w:val="002973A9"/>
    <w:rsid w:val="002B1D1A"/>
    <w:rsid w:val="002C28F2"/>
    <w:rsid w:val="002C5960"/>
    <w:rsid w:val="002D6FB6"/>
    <w:rsid w:val="002E2255"/>
    <w:rsid w:val="002E3B09"/>
    <w:rsid w:val="002E4594"/>
    <w:rsid w:val="002E52B3"/>
    <w:rsid w:val="00303679"/>
    <w:rsid w:val="00304A12"/>
    <w:rsid w:val="00305636"/>
    <w:rsid w:val="00311662"/>
    <w:rsid w:val="00312A9F"/>
    <w:rsid w:val="00312F1C"/>
    <w:rsid w:val="00312F30"/>
    <w:rsid w:val="00315D5D"/>
    <w:rsid w:val="00316484"/>
    <w:rsid w:val="00316E01"/>
    <w:rsid w:val="00317067"/>
    <w:rsid w:val="00320300"/>
    <w:rsid w:val="00324508"/>
    <w:rsid w:val="003259C8"/>
    <w:rsid w:val="0032741D"/>
    <w:rsid w:val="003307FE"/>
    <w:rsid w:val="003328D9"/>
    <w:rsid w:val="003350A8"/>
    <w:rsid w:val="003376B7"/>
    <w:rsid w:val="00342369"/>
    <w:rsid w:val="003470E2"/>
    <w:rsid w:val="00352719"/>
    <w:rsid w:val="00354432"/>
    <w:rsid w:val="00355364"/>
    <w:rsid w:val="00364A60"/>
    <w:rsid w:val="00364CCB"/>
    <w:rsid w:val="0039085F"/>
    <w:rsid w:val="00392044"/>
    <w:rsid w:val="00394069"/>
    <w:rsid w:val="003A6061"/>
    <w:rsid w:val="003B6FBC"/>
    <w:rsid w:val="003D7406"/>
    <w:rsid w:val="003D7FAF"/>
    <w:rsid w:val="003E62FB"/>
    <w:rsid w:val="003F39DF"/>
    <w:rsid w:val="003F63BE"/>
    <w:rsid w:val="00403A06"/>
    <w:rsid w:val="004061AC"/>
    <w:rsid w:val="00407DBB"/>
    <w:rsid w:val="004149AC"/>
    <w:rsid w:val="00415AEF"/>
    <w:rsid w:val="0042009D"/>
    <w:rsid w:val="00427F58"/>
    <w:rsid w:val="0043199A"/>
    <w:rsid w:val="00433805"/>
    <w:rsid w:val="0046668C"/>
    <w:rsid w:val="00466850"/>
    <w:rsid w:val="00467048"/>
    <w:rsid w:val="00471408"/>
    <w:rsid w:val="004858E0"/>
    <w:rsid w:val="004934E9"/>
    <w:rsid w:val="004943C2"/>
    <w:rsid w:val="004A11A7"/>
    <w:rsid w:val="004A4D5B"/>
    <w:rsid w:val="004B5343"/>
    <w:rsid w:val="004B7A92"/>
    <w:rsid w:val="004C0259"/>
    <w:rsid w:val="004C702F"/>
    <w:rsid w:val="004D28A3"/>
    <w:rsid w:val="004D495A"/>
    <w:rsid w:val="004D75CD"/>
    <w:rsid w:val="004E5975"/>
    <w:rsid w:val="004E790A"/>
    <w:rsid w:val="004F04C1"/>
    <w:rsid w:val="004F50FD"/>
    <w:rsid w:val="004F6891"/>
    <w:rsid w:val="00500A03"/>
    <w:rsid w:val="00501495"/>
    <w:rsid w:val="00507F99"/>
    <w:rsid w:val="00512200"/>
    <w:rsid w:val="005143CD"/>
    <w:rsid w:val="005144F2"/>
    <w:rsid w:val="005242A5"/>
    <w:rsid w:val="005249DD"/>
    <w:rsid w:val="00531BA5"/>
    <w:rsid w:val="00531F10"/>
    <w:rsid w:val="00532E86"/>
    <w:rsid w:val="00540B13"/>
    <w:rsid w:val="00542434"/>
    <w:rsid w:val="00542470"/>
    <w:rsid w:val="00542546"/>
    <w:rsid w:val="005425BA"/>
    <w:rsid w:val="005454FB"/>
    <w:rsid w:val="005602F3"/>
    <w:rsid w:val="005659E4"/>
    <w:rsid w:val="005761EE"/>
    <w:rsid w:val="00582D99"/>
    <w:rsid w:val="0058551C"/>
    <w:rsid w:val="00590656"/>
    <w:rsid w:val="0059076B"/>
    <w:rsid w:val="00597E49"/>
    <w:rsid w:val="005A0F1F"/>
    <w:rsid w:val="005A2B83"/>
    <w:rsid w:val="005A478E"/>
    <w:rsid w:val="005A6675"/>
    <w:rsid w:val="005B2E9C"/>
    <w:rsid w:val="005B4F93"/>
    <w:rsid w:val="005B73D2"/>
    <w:rsid w:val="005C5E5B"/>
    <w:rsid w:val="005D2B36"/>
    <w:rsid w:val="005E1093"/>
    <w:rsid w:val="005E475E"/>
    <w:rsid w:val="005E78C0"/>
    <w:rsid w:val="005F3996"/>
    <w:rsid w:val="005F6AF6"/>
    <w:rsid w:val="005F7730"/>
    <w:rsid w:val="005F7917"/>
    <w:rsid w:val="005F7E00"/>
    <w:rsid w:val="00604C26"/>
    <w:rsid w:val="006066D2"/>
    <w:rsid w:val="0061286A"/>
    <w:rsid w:val="00613D7A"/>
    <w:rsid w:val="00614CC4"/>
    <w:rsid w:val="0062025E"/>
    <w:rsid w:val="00626998"/>
    <w:rsid w:val="006269FB"/>
    <w:rsid w:val="00631ED8"/>
    <w:rsid w:val="00635B05"/>
    <w:rsid w:val="00636DB7"/>
    <w:rsid w:val="0063783A"/>
    <w:rsid w:val="006423B9"/>
    <w:rsid w:val="00654B0D"/>
    <w:rsid w:val="00655CD8"/>
    <w:rsid w:val="006571DC"/>
    <w:rsid w:val="00660D4B"/>
    <w:rsid w:val="00664ECC"/>
    <w:rsid w:val="00670989"/>
    <w:rsid w:val="006757DC"/>
    <w:rsid w:val="00676095"/>
    <w:rsid w:val="006926A7"/>
    <w:rsid w:val="00693843"/>
    <w:rsid w:val="0069426C"/>
    <w:rsid w:val="00694DFB"/>
    <w:rsid w:val="006A1C62"/>
    <w:rsid w:val="006A48FD"/>
    <w:rsid w:val="006A67F8"/>
    <w:rsid w:val="006A7AF1"/>
    <w:rsid w:val="006B11BB"/>
    <w:rsid w:val="006B4C11"/>
    <w:rsid w:val="006C12B8"/>
    <w:rsid w:val="006C37FC"/>
    <w:rsid w:val="006C56AA"/>
    <w:rsid w:val="006C7EA3"/>
    <w:rsid w:val="006D07F3"/>
    <w:rsid w:val="006D39E9"/>
    <w:rsid w:val="006D3BE3"/>
    <w:rsid w:val="006D7004"/>
    <w:rsid w:val="006D789D"/>
    <w:rsid w:val="006D7FF8"/>
    <w:rsid w:val="006E042A"/>
    <w:rsid w:val="006E322B"/>
    <w:rsid w:val="006F49EE"/>
    <w:rsid w:val="006F5E68"/>
    <w:rsid w:val="00706D60"/>
    <w:rsid w:val="007075E3"/>
    <w:rsid w:val="00707F66"/>
    <w:rsid w:val="007125DB"/>
    <w:rsid w:val="00720D28"/>
    <w:rsid w:val="00722333"/>
    <w:rsid w:val="00722509"/>
    <w:rsid w:val="00727FCD"/>
    <w:rsid w:val="00733DDD"/>
    <w:rsid w:val="00744628"/>
    <w:rsid w:val="0074694E"/>
    <w:rsid w:val="00750CDF"/>
    <w:rsid w:val="00750D48"/>
    <w:rsid w:val="00752BA5"/>
    <w:rsid w:val="00755D86"/>
    <w:rsid w:val="00767C98"/>
    <w:rsid w:val="00770971"/>
    <w:rsid w:val="00780186"/>
    <w:rsid w:val="0078089C"/>
    <w:rsid w:val="00787D16"/>
    <w:rsid w:val="00796CA8"/>
    <w:rsid w:val="00797305"/>
    <w:rsid w:val="007B035B"/>
    <w:rsid w:val="007B4C04"/>
    <w:rsid w:val="007B5AFB"/>
    <w:rsid w:val="007C1B9B"/>
    <w:rsid w:val="007C54B1"/>
    <w:rsid w:val="007C5862"/>
    <w:rsid w:val="007F31E6"/>
    <w:rsid w:val="008014F9"/>
    <w:rsid w:val="0080358B"/>
    <w:rsid w:val="008059BD"/>
    <w:rsid w:val="00812D46"/>
    <w:rsid w:val="00815999"/>
    <w:rsid w:val="00815A38"/>
    <w:rsid w:val="0082103F"/>
    <w:rsid w:val="008279FE"/>
    <w:rsid w:val="00831259"/>
    <w:rsid w:val="0083208A"/>
    <w:rsid w:val="0083218A"/>
    <w:rsid w:val="00832A00"/>
    <w:rsid w:val="00837845"/>
    <w:rsid w:val="008442C4"/>
    <w:rsid w:val="00846739"/>
    <w:rsid w:val="00847168"/>
    <w:rsid w:val="00853140"/>
    <w:rsid w:val="00854537"/>
    <w:rsid w:val="008606B6"/>
    <w:rsid w:val="008635E6"/>
    <w:rsid w:val="00866CF2"/>
    <w:rsid w:val="008700EC"/>
    <w:rsid w:val="00876D65"/>
    <w:rsid w:val="00891261"/>
    <w:rsid w:val="00895A8A"/>
    <w:rsid w:val="008A09E5"/>
    <w:rsid w:val="008A21B2"/>
    <w:rsid w:val="008B2FDD"/>
    <w:rsid w:val="008C2A4F"/>
    <w:rsid w:val="008C75E7"/>
    <w:rsid w:val="008C7CA8"/>
    <w:rsid w:val="008D09EC"/>
    <w:rsid w:val="008D799F"/>
    <w:rsid w:val="008E07EB"/>
    <w:rsid w:val="008E2DCB"/>
    <w:rsid w:val="008E326D"/>
    <w:rsid w:val="008F5A8D"/>
    <w:rsid w:val="008F5F67"/>
    <w:rsid w:val="008F60F2"/>
    <w:rsid w:val="0090217D"/>
    <w:rsid w:val="00904749"/>
    <w:rsid w:val="00905C5E"/>
    <w:rsid w:val="009078DC"/>
    <w:rsid w:val="00907B61"/>
    <w:rsid w:val="009161AF"/>
    <w:rsid w:val="00921AC7"/>
    <w:rsid w:val="00922880"/>
    <w:rsid w:val="00924582"/>
    <w:rsid w:val="00931291"/>
    <w:rsid w:val="00932DC0"/>
    <w:rsid w:val="0093367D"/>
    <w:rsid w:val="00933B24"/>
    <w:rsid w:val="009431FA"/>
    <w:rsid w:val="00943BB5"/>
    <w:rsid w:val="00945AF6"/>
    <w:rsid w:val="009510DE"/>
    <w:rsid w:val="00951C43"/>
    <w:rsid w:val="0095204B"/>
    <w:rsid w:val="0095280A"/>
    <w:rsid w:val="00954A4B"/>
    <w:rsid w:val="009550BE"/>
    <w:rsid w:val="00955531"/>
    <w:rsid w:val="00955BE8"/>
    <w:rsid w:val="00957594"/>
    <w:rsid w:val="00963F40"/>
    <w:rsid w:val="00965CFB"/>
    <w:rsid w:val="0098122D"/>
    <w:rsid w:val="00986596"/>
    <w:rsid w:val="00990685"/>
    <w:rsid w:val="00991411"/>
    <w:rsid w:val="00992238"/>
    <w:rsid w:val="009A0ABE"/>
    <w:rsid w:val="009B2D4B"/>
    <w:rsid w:val="009B3243"/>
    <w:rsid w:val="009C4E99"/>
    <w:rsid w:val="009C5186"/>
    <w:rsid w:val="009C60F7"/>
    <w:rsid w:val="009D0952"/>
    <w:rsid w:val="009D54EA"/>
    <w:rsid w:val="009D59E5"/>
    <w:rsid w:val="009E285B"/>
    <w:rsid w:val="009E31DA"/>
    <w:rsid w:val="009E402C"/>
    <w:rsid w:val="009E7C6A"/>
    <w:rsid w:val="009F7ED4"/>
    <w:rsid w:val="00A03AAC"/>
    <w:rsid w:val="00A047D1"/>
    <w:rsid w:val="00A22AD0"/>
    <w:rsid w:val="00A22DA8"/>
    <w:rsid w:val="00A234BE"/>
    <w:rsid w:val="00A31671"/>
    <w:rsid w:val="00A45320"/>
    <w:rsid w:val="00A52C6D"/>
    <w:rsid w:val="00A5612C"/>
    <w:rsid w:val="00A5689C"/>
    <w:rsid w:val="00A57AE4"/>
    <w:rsid w:val="00A63F19"/>
    <w:rsid w:val="00A66F3F"/>
    <w:rsid w:val="00A66F42"/>
    <w:rsid w:val="00A727C1"/>
    <w:rsid w:val="00A76625"/>
    <w:rsid w:val="00A82CBA"/>
    <w:rsid w:val="00A83500"/>
    <w:rsid w:val="00A90049"/>
    <w:rsid w:val="00A917BF"/>
    <w:rsid w:val="00A96A94"/>
    <w:rsid w:val="00AA257D"/>
    <w:rsid w:val="00AA3A38"/>
    <w:rsid w:val="00AA4F94"/>
    <w:rsid w:val="00AB047E"/>
    <w:rsid w:val="00AC11B0"/>
    <w:rsid w:val="00AC592E"/>
    <w:rsid w:val="00AC6C10"/>
    <w:rsid w:val="00AC7BC6"/>
    <w:rsid w:val="00AD24AA"/>
    <w:rsid w:val="00AE7962"/>
    <w:rsid w:val="00AF5BA0"/>
    <w:rsid w:val="00B014D7"/>
    <w:rsid w:val="00B05049"/>
    <w:rsid w:val="00B12B7D"/>
    <w:rsid w:val="00B16985"/>
    <w:rsid w:val="00B221B8"/>
    <w:rsid w:val="00B227EA"/>
    <w:rsid w:val="00B27206"/>
    <w:rsid w:val="00B32AA7"/>
    <w:rsid w:val="00B3392B"/>
    <w:rsid w:val="00B4012D"/>
    <w:rsid w:val="00B40F64"/>
    <w:rsid w:val="00B42A76"/>
    <w:rsid w:val="00B53067"/>
    <w:rsid w:val="00B66B7D"/>
    <w:rsid w:val="00B7378D"/>
    <w:rsid w:val="00B82413"/>
    <w:rsid w:val="00B85352"/>
    <w:rsid w:val="00B87214"/>
    <w:rsid w:val="00B912D0"/>
    <w:rsid w:val="00B92FF5"/>
    <w:rsid w:val="00B959E6"/>
    <w:rsid w:val="00BA0A6A"/>
    <w:rsid w:val="00BA40BB"/>
    <w:rsid w:val="00BA4338"/>
    <w:rsid w:val="00BA604D"/>
    <w:rsid w:val="00BB6813"/>
    <w:rsid w:val="00BC4585"/>
    <w:rsid w:val="00BC50F1"/>
    <w:rsid w:val="00BC73E5"/>
    <w:rsid w:val="00BD7473"/>
    <w:rsid w:val="00BD7703"/>
    <w:rsid w:val="00BE12B4"/>
    <w:rsid w:val="00BE3D2D"/>
    <w:rsid w:val="00BE420D"/>
    <w:rsid w:val="00C11A5E"/>
    <w:rsid w:val="00C21520"/>
    <w:rsid w:val="00C222B2"/>
    <w:rsid w:val="00C225FB"/>
    <w:rsid w:val="00C41870"/>
    <w:rsid w:val="00C46B88"/>
    <w:rsid w:val="00C5218C"/>
    <w:rsid w:val="00C52191"/>
    <w:rsid w:val="00C5642F"/>
    <w:rsid w:val="00C57A3E"/>
    <w:rsid w:val="00C63554"/>
    <w:rsid w:val="00C71497"/>
    <w:rsid w:val="00C72F5B"/>
    <w:rsid w:val="00C73619"/>
    <w:rsid w:val="00C73BCD"/>
    <w:rsid w:val="00C77AEF"/>
    <w:rsid w:val="00C77E37"/>
    <w:rsid w:val="00C86EB7"/>
    <w:rsid w:val="00C87129"/>
    <w:rsid w:val="00C91E1B"/>
    <w:rsid w:val="00CA2BD3"/>
    <w:rsid w:val="00CA4677"/>
    <w:rsid w:val="00CA5FD5"/>
    <w:rsid w:val="00CA7703"/>
    <w:rsid w:val="00CB0F92"/>
    <w:rsid w:val="00CD4E6D"/>
    <w:rsid w:val="00CD5707"/>
    <w:rsid w:val="00CD7702"/>
    <w:rsid w:val="00CD7FC9"/>
    <w:rsid w:val="00CE0716"/>
    <w:rsid w:val="00CE075A"/>
    <w:rsid w:val="00CE29EA"/>
    <w:rsid w:val="00CF47EB"/>
    <w:rsid w:val="00CF6572"/>
    <w:rsid w:val="00CF7885"/>
    <w:rsid w:val="00D02347"/>
    <w:rsid w:val="00D04755"/>
    <w:rsid w:val="00D13737"/>
    <w:rsid w:val="00D15D27"/>
    <w:rsid w:val="00D1638E"/>
    <w:rsid w:val="00D21D10"/>
    <w:rsid w:val="00D21FFF"/>
    <w:rsid w:val="00D272A5"/>
    <w:rsid w:val="00D43AFB"/>
    <w:rsid w:val="00D5071D"/>
    <w:rsid w:val="00D564C7"/>
    <w:rsid w:val="00D57B7C"/>
    <w:rsid w:val="00D62BEE"/>
    <w:rsid w:val="00D65B44"/>
    <w:rsid w:val="00D8099B"/>
    <w:rsid w:val="00D866A8"/>
    <w:rsid w:val="00D87469"/>
    <w:rsid w:val="00D90B03"/>
    <w:rsid w:val="00D92F47"/>
    <w:rsid w:val="00D94B8D"/>
    <w:rsid w:val="00D96C8D"/>
    <w:rsid w:val="00DA2876"/>
    <w:rsid w:val="00DA718D"/>
    <w:rsid w:val="00DB0A8D"/>
    <w:rsid w:val="00DB348F"/>
    <w:rsid w:val="00DC0B51"/>
    <w:rsid w:val="00DD03DC"/>
    <w:rsid w:val="00DD5919"/>
    <w:rsid w:val="00DE27F7"/>
    <w:rsid w:val="00E06069"/>
    <w:rsid w:val="00E115C0"/>
    <w:rsid w:val="00E44E18"/>
    <w:rsid w:val="00E54301"/>
    <w:rsid w:val="00E5483F"/>
    <w:rsid w:val="00E55ABD"/>
    <w:rsid w:val="00E60817"/>
    <w:rsid w:val="00E6412C"/>
    <w:rsid w:val="00E645C0"/>
    <w:rsid w:val="00E8246B"/>
    <w:rsid w:val="00E90C35"/>
    <w:rsid w:val="00EA70F1"/>
    <w:rsid w:val="00EB2516"/>
    <w:rsid w:val="00EB2C07"/>
    <w:rsid w:val="00EB374A"/>
    <w:rsid w:val="00EB3CE7"/>
    <w:rsid w:val="00EB572F"/>
    <w:rsid w:val="00EC1B4D"/>
    <w:rsid w:val="00ED040B"/>
    <w:rsid w:val="00ED62BE"/>
    <w:rsid w:val="00EF17AB"/>
    <w:rsid w:val="00EF56B5"/>
    <w:rsid w:val="00EF6FA5"/>
    <w:rsid w:val="00F078B5"/>
    <w:rsid w:val="00F11104"/>
    <w:rsid w:val="00F126C4"/>
    <w:rsid w:val="00F13122"/>
    <w:rsid w:val="00F16E3F"/>
    <w:rsid w:val="00F171C5"/>
    <w:rsid w:val="00F22499"/>
    <w:rsid w:val="00F22B0F"/>
    <w:rsid w:val="00F234A0"/>
    <w:rsid w:val="00F24B42"/>
    <w:rsid w:val="00F24F73"/>
    <w:rsid w:val="00F27299"/>
    <w:rsid w:val="00F31F6E"/>
    <w:rsid w:val="00F3389C"/>
    <w:rsid w:val="00F375F2"/>
    <w:rsid w:val="00F40868"/>
    <w:rsid w:val="00F54EAE"/>
    <w:rsid w:val="00F66A51"/>
    <w:rsid w:val="00F71057"/>
    <w:rsid w:val="00F71A4B"/>
    <w:rsid w:val="00F728CF"/>
    <w:rsid w:val="00F743D4"/>
    <w:rsid w:val="00F83B17"/>
    <w:rsid w:val="00F87EDA"/>
    <w:rsid w:val="00F932F8"/>
    <w:rsid w:val="00F970EE"/>
    <w:rsid w:val="00FB0BC9"/>
    <w:rsid w:val="00FB0F9B"/>
    <w:rsid w:val="00FB41D3"/>
    <w:rsid w:val="00FB4F70"/>
    <w:rsid w:val="00FB5EFC"/>
    <w:rsid w:val="00FB77BB"/>
    <w:rsid w:val="00FC15AA"/>
    <w:rsid w:val="00FD1375"/>
    <w:rsid w:val="00FD359E"/>
    <w:rsid w:val="00FD5F37"/>
    <w:rsid w:val="00FE0A17"/>
    <w:rsid w:val="00FE179F"/>
    <w:rsid w:val="00FF213A"/>
    <w:rsid w:val="00FF3C2E"/>
    <w:rsid w:val="00FF6E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4097"/>
    <o:shapelayout v:ext="edit">
      <o:idmap v:ext="edit" data="1"/>
    </o:shapelayout>
  </w:shapeDefaults>
  <w:decimalSymbol w:val="."/>
  <w:listSeparator w:val=","/>
  <w15:docId w15:val="{D4DB4A09-ABA9-4DFA-A379-75FDB176D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1AC"/>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4061AC"/>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4061AC"/>
    <w:pPr>
      <w:keepNext/>
      <w:keepLines/>
      <w:spacing w:before="260" w:after="260" w:line="360" w:lineRule="auto"/>
      <w:outlineLvl w:val="1"/>
    </w:pPr>
    <w:rPr>
      <w:rFonts w:ascii="Arial" w:hAnsi="Arial"/>
      <w:b/>
      <w:bCs/>
      <w:kern w:val="0"/>
      <w:sz w:val="24"/>
      <w:szCs w:val="24"/>
    </w:rPr>
  </w:style>
  <w:style w:type="paragraph" w:styleId="3">
    <w:name w:val="heading 3"/>
    <w:basedOn w:val="a"/>
    <w:next w:val="a"/>
    <w:link w:val="3Char"/>
    <w:uiPriority w:val="99"/>
    <w:qFormat/>
    <w:rsid w:val="004061AC"/>
    <w:pPr>
      <w:keepNext/>
      <w:keepLines/>
      <w:spacing w:before="260" w:after="260" w:line="416" w:lineRule="auto"/>
      <w:outlineLvl w:val="2"/>
    </w:pPr>
    <w:rPr>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4061AC"/>
    <w:rPr>
      <w:rFonts w:ascii="Times New Roman" w:eastAsia="宋体" w:hAnsi="Times New Roman" w:cs="Times New Roman"/>
      <w:b/>
      <w:bCs/>
      <w:kern w:val="44"/>
      <w:sz w:val="44"/>
      <w:szCs w:val="44"/>
    </w:rPr>
  </w:style>
  <w:style w:type="character" w:customStyle="1" w:styleId="2Char">
    <w:name w:val="标题 2 Char"/>
    <w:link w:val="2"/>
    <w:uiPriority w:val="99"/>
    <w:locked/>
    <w:rsid w:val="004061AC"/>
    <w:rPr>
      <w:rFonts w:ascii="Arial" w:eastAsia="宋体" w:hAnsi="Arial" w:cs="Arial"/>
      <w:b/>
      <w:bCs/>
      <w:sz w:val="24"/>
      <w:szCs w:val="24"/>
    </w:rPr>
  </w:style>
  <w:style w:type="character" w:customStyle="1" w:styleId="3Char">
    <w:name w:val="标题 3 Char"/>
    <w:link w:val="3"/>
    <w:uiPriority w:val="99"/>
    <w:locked/>
    <w:rsid w:val="004061AC"/>
    <w:rPr>
      <w:rFonts w:ascii="Times New Roman" w:eastAsia="宋体" w:hAnsi="Times New Roman" w:cs="Times New Roman"/>
      <w:b/>
      <w:bCs/>
      <w:sz w:val="32"/>
      <w:szCs w:val="32"/>
    </w:rPr>
  </w:style>
  <w:style w:type="paragraph" w:styleId="a0">
    <w:name w:val="Normal Indent"/>
    <w:basedOn w:val="a"/>
    <w:uiPriority w:val="99"/>
    <w:rsid w:val="004061AC"/>
    <w:pPr>
      <w:ind w:firstLineChars="200" w:firstLine="420"/>
    </w:pPr>
  </w:style>
  <w:style w:type="paragraph" w:styleId="a4">
    <w:name w:val="Body Text Indent"/>
    <w:basedOn w:val="a"/>
    <w:link w:val="Char"/>
    <w:uiPriority w:val="99"/>
    <w:rsid w:val="004061AC"/>
    <w:pPr>
      <w:widowControl/>
      <w:spacing w:before="100" w:beforeAutospacing="1" w:after="100" w:afterAutospacing="1"/>
      <w:jc w:val="left"/>
    </w:pPr>
    <w:rPr>
      <w:rFonts w:ascii="Arial Unicode MS" w:eastAsia="Arial Unicode MS" w:hAnsi="Arial Unicode MS"/>
      <w:kern w:val="0"/>
      <w:sz w:val="24"/>
      <w:szCs w:val="24"/>
    </w:rPr>
  </w:style>
  <w:style w:type="character" w:customStyle="1" w:styleId="Char">
    <w:name w:val="正文文本缩进 Char"/>
    <w:link w:val="a4"/>
    <w:uiPriority w:val="99"/>
    <w:locked/>
    <w:rsid w:val="004061AC"/>
    <w:rPr>
      <w:rFonts w:ascii="Arial Unicode MS" w:eastAsia="Arial Unicode MS" w:hAnsi="Arial Unicode MS" w:cs="Arial Unicode MS"/>
      <w:kern w:val="0"/>
      <w:sz w:val="24"/>
      <w:szCs w:val="24"/>
    </w:rPr>
  </w:style>
  <w:style w:type="paragraph" w:styleId="a5">
    <w:name w:val="Plain Text"/>
    <w:basedOn w:val="a"/>
    <w:link w:val="Char0"/>
    <w:uiPriority w:val="99"/>
    <w:rsid w:val="004061AC"/>
    <w:rPr>
      <w:rFonts w:ascii="宋体" w:hAnsi="Courier New"/>
      <w:kern w:val="0"/>
    </w:rPr>
  </w:style>
  <w:style w:type="character" w:customStyle="1" w:styleId="Char0">
    <w:name w:val="纯文本 Char"/>
    <w:link w:val="a5"/>
    <w:uiPriority w:val="99"/>
    <w:locked/>
    <w:rsid w:val="004061AC"/>
    <w:rPr>
      <w:rFonts w:ascii="宋体" w:eastAsia="宋体" w:hAnsi="Courier New" w:cs="宋体"/>
      <w:sz w:val="21"/>
      <w:szCs w:val="21"/>
    </w:rPr>
  </w:style>
  <w:style w:type="paragraph" w:styleId="20">
    <w:name w:val="Body Text Indent 2"/>
    <w:basedOn w:val="a"/>
    <w:link w:val="2Char0"/>
    <w:uiPriority w:val="99"/>
    <w:rsid w:val="004061AC"/>
    <w:pPr>
      <w:spacing w:line="560" w:lineRule="exact"/>
      <w:ind w:firstLineChars="200" w:firstLine="480"/>
    </w:pPr>
    <w:rPr>
      <w:rFonts w:ascii="宋体" w:hAnsi="宋体"/>
      <w:color w:val="FF0000"/>
      <w:kern w:val="0"/>
      <w:sz w:val="24"/>
      <w:szCs w:val="24"/>
    </w:rPr>
  </w:style>
  <w:style w:type="character" w:customStyle="1" w:styleId="2Char0">
    <w:name w:val="正文文本缩进 2 Char"/>
    <w:link w:val="20"/>
    <w:uiPriority w:val="99"/>
    <w:locked/>
    <w:rsid w:val="004061AC"/>
    <w:rPr>
      <w:rFonts w:ascii="宋体" w:eastAsia="宋体" w:hAnsi="宋体" w:cs="宋体"/>
      <w:color w:val="FF0000"/>
      <w:sz w:val="24"/>
      <w:szCs w:val="24"/>
    </w:rPr>
  </w:style>
  <w:style w:type="paragraph" w:styleId="a6">
    <w:name w:val="footer"/>
    <w:basedOn w:val="a"/>
    <w:link w:val="Char1"/>
    <w:uiPriority w:val="99"/>
    <w:rsid w:val="004061AC"/>
    <w:pPr>
      <w:tabs>
        <w:tab w:val="center" w:pos="4153"/>
        <w:tab w:val="right" w:pos="8306"/>
      </w:tabs>
      <w:snapToGrid w:val="0"/>
      <w:jc w:val="left"/>
    </w:pPr>
    <w:rPr>
      <w:kern w:val="0"/>
      <w:sz w:val="18"/>
      <w:szCs w:val="18"/>
    </w:rPr>
  </w:style>
  <w:style w:type="character" w:customStyle="1" w:styleId="Char1">
    <w:name w:val="页脚 Char"/>
    <w:link w:val="a6"/>
    <w:uiPriority w:val="99"/>
    <w:locked/>
    <w:rsid w:val="004061AC"/>
    <w:rPr>
      <w:rFonts w:ascii="Times New Roman" w:eastAsia="宋体" w:hAnsi="Times New Roman" w:cs="Times New Roman"/>
      <w:sz w:val="18"/>
      <w:szCs w:val="18"/>
    </w:rPr>
  </w:style>
  <w:style w:type="character" w:styleId="a7">
    <w:name w:val="page number"/>
    <w:uiPriority w:val="99"/>
    <w:rsid w:val="004061AC"/>
    <w:rPr>
      <w:rFonts w:cs="Times New Roman"/>
    </w:rPr>
  </w:style>
  <w:style w:type="character" w:styleId="a8">
    <w:name w:val="Hyperlink"/>
    <w:uiPriority w:val="99"/>
    <w:rsid w:val="004061AC"/>
    <w:rPr>
      <w:rFonts w:cs="Times New Roman"/>
      <w:color w:val="0000FF"/>
      <w:u w:val="single"/>
    </w:rPr>
  </w:style>
  <w:style w:type="paragraph" w:styleId="30">
    <w:name w:val="Body Text Indent 3"/>
    <w:basedOn w:val="a"/>
    <w:link w:val="3Char0"/>
    <w:uiPriority w:val="99"/>
    <w:rsid w:val="004061AC"/>
    <w:pPr>
      <w:spacing w:line="560" w:lineRule="exact"/>
      <w:ind w:firstLineChars="200" w:firstLine="420"/>
    </w:pPr>
    <w:rPr>
      <w:rFonts w:ascii="Arial" w:hAnsi="Arial"/>
      <w:color w:val="FF0000"/>
      <w:kern w:val="0"/>
    </w:rPr>
  </w:style>
  <w:style w:type="character" w:customStyle="1" w:styleId="3Char0">
    <w:name w:val="正文文本缩进 3 Char"/>
    <w:link w:val="30"/>
    <w:uiPriority w:val="99"/>
    <w:locked/>
    <w:rsid w:val="004061AC"/>
    <w:rPr>
      <w:rFonts w:ascii="Arial" w:eastAsia="宋体" w:hAnsi="Arial" w:cs="Arial"/>
      <w:color w:val="FF0000"/>
      <w:sz w:val="21"/>
      <w:szCs w:val="21"/>
    </w:rPr>
  </w:style>
  <w:style w:type="paragraph" w:styleId="a9">
    <w:name w:val="header"/>
    <w:basedOn w:val="a"/>
    <w:link w:val="Char2"/>
    <w:uiPriority w:val="99"/>
    <w:rsid w:val="004061AC"/>
    <w:pPr>
      <w:pBdr>
        <w:bottom w:val="single" w:sz="6" w:space="1" w:color="auto"/>
      </w:pBdr>
      <w:tabs>
        <w:tab w:val="center" w:pos="4153"/>
        <w:tab w:val="right" w:pos="8306"/>
      </w:tabs>
      <w:snapToGrid w:val="0"/>
      <w:jc w:val="center"/>
    </w:pPr>
    <w:rPr>
      <w:kern w:val="0"/>
      <w:sz w:val="18"/>
      <w:szCs w:val="18"/>
    </w:rPr>
  </w:style>
  <w:style w:type="character" w:customStyle="1" w:styleId="Char2">
    <w:name w:val="页眉 Char"/>
    <w:link w:val="a9"/>
    <w:uiPriority w:val="99"/>
    <w:locked/>
    <w:rsid w:val="004061AC"/>
    <w:rPr>
      <w:rFonts w:ascii="Times New Roman" w:eastAsia="宋体" w:hAnsi="Times New Roman" w:cs="Times New Roman"/>
      <w:sz w:val="18"/>
      <w:szCs w:val="18"/>
    </w:rPr>
  </w:style>
  <w:style w:type="character" w:styleId="aa">
    <w:name w:val="FollowedHyperlink"/>
    <w:uiPriority w:val="99"/>
    <w:rsid w:val="004061AC"/>
    <w:rPr>
      <w:rFonts w:cs="Times New Roman"/>
      <w:color w:val="800080"/>
      <w:u w:val="single"/>
    </w:rPr>
  </w:style>
  <w:style w:type="paragraph" w:styleId="ab">
    <w:name w:val="List"/>
    <w:basedOn w:val="ac"/>
    <w:uiPriority w:val="99"/>
    <w:rsid w:val="004061AC"/>
    <w:pPr>
      <w:spacing w:after="220" w:line="220" w:lineRule="atLeast"/>
      <w:ind w:left="1440" w:hanging="360"/>
    </w:pPr>
  </w:style>
  <w:style w:type="paragraph" w:styleId="ac">
    <w:name w:val="Body Text"/>
    <w:basedOn w:val="a"/>
    <w:link w:val="Char3"/>
    <w:uiPriority w:val="99"/>
    <w:rsid w:val="004061AC"/>
    <w:pPr>
      <w:spacing w:after="120"/>
    </w:pPr>
    <w:rPr>
      <w:kern w:val="0"/>
    </w:rPr>
  </w:style>
  <w:style w:type="character" w:customStyle="1" w:styleId="Char3">
    <w:name w:val="正文文本 Char"/>
    <w:link w:val="ac"/>
    <w:uiPriority w:val="99"/>
    <w:locked/>
    <w:rsid w:val="004061AC"/>
    <w:rPr>
      <w:rFonts w:ascii="Times New Roman" w:eastAsia="宋体" w:hAnsi="Times New Roman" w:cs="Times New Roman"/>
      <w:sz w:val="21"/>
      <w:szCs w:val="21"/>
    </w:rPr>
  </w:style>
  <w:style w:type="paragraph" w:styleId="ad">
    <w:name w:val="Date"/>
    <w:basedOn w:val="a"/>
    <w:next w:val="a"/>
    <w:link w:val="Char4"/>
    <w:uiPriority w:val="99"/>
    <w:rsid w:val="004061AC"/>
    <w:rPr>
      <w:kern w:val="0"/>
      <w:sz w:val="24"/>
      <w:szCs w:val="24"/>
    </w:rPr>
  </w:style>
  <w:style w:type="character" w:customStyle="1" w:styleId="Char4">
    <w:name w:val="日期 Char"/>
    <w:link w:val="ad"/>
    <w:uiPriority w:val="99"/>
    <w:locked/>
    <w:rsid w:val="004061AC"/>
    <w:rPr>
      <w:rFonts w:ascii="Times New Roman" w:eastAsia="宋体" w:hAnsi="Times New Roman" w:cs="Times New Roman"/>
      <w:sz w:val="24"/>
      <w:szCs w:val="24"/>
    </w:rPr>
  </w:style>
  <w:style w:type="character" w:customStyle="1" w:styleId="c1">
    <w:name w:val="c1"/>
    <w:uiPriority w:val="99"/>
    <w:rsid w:val="004061AC"/>
    <w:rPr>
      <w:rFonts w:cs="Times New Roman"/>
      <w:color w:val="000000"/>
      <w:sz w:val="18"/>
      <w:szCs w:val="18"/>
    </w:rPr>
  </w:style>
  <w:style w:type="paragraph" w:styleId="10">
    <w:name w:val="index 1"/>
    <w:basedOn w:val="a"/>
    <w:next w:val="a"/>
    <w:autoRedefine/>
    <w:uiPriority w:val="99"/>
    <w:semiHidden/>
    <w:rsid w:val="004061AC"/>
    <w:pPr>
      <w:jc w:val="right"/>
    </w:pPr>
    <w:rPr>
      <w:color w:val="008000"/>
    </w:rPr>
  </w:style>
  <w:style w:type="paragraph" w:customStyle="1" w:styleId="font5">
    <w:name w:val="font5"/>
    <w:basedOn w:val="a"/>
    <w:uiPriority w:val="99"/>
    <w:rsid w:val="004061AC"/>
    <w:pPr>
      <w:widowControl/>
      <w:spacing w:before="100" w:beforeAutospacing="1" w:after="100" w:afterAutospacing="1"/>
      <w:jc w:val="left"/>
    </w:pPr>
    <w:rPr>
      <w:rFonts w:ascii="宋体" w:hAnsi="宋体" w:cs="宋体"/>
      <w:kern w:val="0"/>
      <w:sz w:val="18"/>
      <w:szCs w:val="18"/>
    </w:rPr>
  </w:style>
  <w:style w:type="paragraph" w:customStyle="1" w:styleId="xl24">
    <w:name w:val="xl24"/>
    <w:basedOn w:val="a"/>
    <w:uiPriority w:val="99"/>
    <w:rsid w:val="004061AC"/>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szCs w:val="24"/>
    </w:rPr>
  </w:style>
  <w:style w:type="paragraph" w:customStyle="1" w:styleId="xl26">
    <w:name w:val="xl2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7">
    <w:name w:val="xl2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9">
    <w:name w:val="xl29"/>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0">
    <w:name w:val="xl30"/>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1">
    <w:name w:val="xl31"/>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link w:val="Char5"/>
    <w:uiPriority w:val="99"/>
    <w:semiHidden/>
    <w:rsid w:val="004061AC"/>
    <w:rPr>
      <w:kern w:val="0"/>
      <w:sz w:val="18"/>
      <w:szCs w:val="18"/>
    </w:rPr>
  </w:style>
  <w:style w:type="character" w:customStyle="1" w:styleId="Char5">
    <w:name w:val="批注框文本 Char"/>
    <w:link w:val="ae"/>
    <w:uiPriority w:val="99"/>
    <w:semiHidden/>
    <w:locked/>
    <w:rsid w:val="004061AC"/>
    <w:rPr>
      <w:rFonts w:ascii="Times New Roman" w:eastAsia="宋体" w:hAnsi="Times New Roman" w:cs="Times New Roman"/>
      <w:sz w:val="18"/>
      <w:szCs w:val="18"/>
    </w:rPr>
  </w:style>
  <w:style w:type="character" w:styleId="af">
    <w:name w:val="annotation reference"/>
    <w:uiPriority w:val="99"/>
    <w:semiHidden/>
    <w:rsid w:val="004061AC"/>
    <w:rPr>
      <w:rFonts w:cs="Times New Roman"/>
      <w:sz w:val="21"/>
      <w:szCs w:val="21"/>
    </w:rPr>
  </w:style>
  <w:style w:type="paragraph" w:styleId="af0">
    <w:name w:val="annotation text"/>
    <w:basedOn w:val="a"/>
    <w:link w:val="Char6"/>
    <w:uiPriority w:val="99"/>
    <w:semiHidden/>
    <w:rsid w:val="004061AC"/>
    <w:pPr>
      <w:jc w:val="left"/>
    </w:pPr>
    <w:rPr>
      <w:kern w:val="0"/>
    </w:rPr>
  </w:style>
  <w:style w:type="character" w:customStyle="1" w:styleId="Char6">
    <w:name w:val="批注文字 Char"/>
    <w:link w:val="af0"/>
    <w:uiPriority w:val="99"/>
    <w:semiHidden/>
    <w:locked/>
    <w:rsid w:val="004061AC"/>
    <w:rPr>
      <w:rFonts w:ascii="Times New Roman" w:eastAsia="宋体" w:hAnsi="Times New Roman" w:cs="Times New Roman"/>
      <w:sz w:val="21"/>
      <w:szCs w:val="21"/>
    </w:rPr>
  </w:style>
  <w:style w:type="paragraph" w:styleId="af1">
    <w:name w:val="annotation subject"/>
    <w:basedOn w:val="af0"/>
    <w:next w:val="af0"/>
    <w:link w:val="Char7"/>
    <w:uiPriority w:val="99"/>
    <w:semiHidden/>
    <w:rsid w:val="004061AC"/>
    <w:rPr>
      <w:b/>
      <w:bCs/>
    </w:rPr>
  </w:style>
  <w:style w:type="character" w:customStyle="1" w:styleId="Char7">
    <w:name w:val="批注主题 Char"/>
    <w:link w:val="af1"/>
    <w:uiPriority w:val="99"/>
    <w:semiHidden/>
    <w:locked/>
    <w:rsid w:val="004061AC"/>
    <w:rPr>
      <w:rFonts w:ascii="Times New Roman" w:eastAsia="宋体" w:hAnsi="Times New Roman" w:cs="Times New Roman"/>
      <w:b/>
      <w:bCs/>
      <w:sz w:val="21"/>
      <w:szCs w:val="21"/>
    </w:rPr>
  </w:style>
  <w:style w:type="paragraph" w:customStyle="1" w:styleId="Char8">
    <w:name w:val="Char"/>
    <w:basedOn w:val="a"/>
    <w:uiPriority w:val="99"/>
    <w:rsid w:val="004061AC"/>
  </w:style>
  <w:style w:type="paragraph" w:styleId="af2">
    <w:name w:val="Document Map"/>
    <w:basedOn w:val="a"/>
    <w:link w:val="Char9"/>
    <w:uiPriority w:val="99"/>
    <w:semiHidden/>
    <w:rsid w:val="004061AC"/>
    <w:pPr>
      <w:shd w:val="clear" w:color="auto" w:fill="000080"/>
    </w:pPr>
    <w:rPr>
      <w:kern w:val="0"/>
    </w:rPr>
  </w:style>
  <w:style w:type="character" w:customStyle="1" w:styleId="Char9">
    <w:name w:val="文档结构图 Char"/>
    <w:link w:val="af2"/>
    <w:uiPriority w:val="99"/>
    <w:semiHidden/>
    <w:locked/>
    <w:rsid w:val="004061AC"/>
    <w:rPr>
      <w:rFonts w:ascii="Times New Roman" w:eastAsia="宋体" w:hAnsi="Times New Roman" w:cs="Times New Roman"/>
      <w:sz w:val="21"/>
      <w:szCs w:val="21"/>
      <w:shd w:val="clear" w:color="auto" w:fill="000080"/>
    </w:rPr>
  </w:style>
  <w:style w:type="paragraph" w:customStyle="1" w:styleId="af3">
    <w:name w:val="正文 + (符号) 宋体"/>
    <w:aliases w:val="小四,紧缩量  0.2 磅"/>
    <w:basedOn w:val="a"/>
    <w:uiPriority w:val="99"/>
    <w:rsid w:val="004061AC"/>
    <w:pPr>
      <w:autoSpaceDE w:val="0"/>
      <w:autoSpaceDN w:val="0"/>
      <w:adjustRightInd w:val="0"/>
      <w:ind w:rightChars="671" w:right="1409" w:firstLineChars="512" w:firstLine="1229"/>
      <w:jc w:val="distribute"/>
    </w:pPr>
    <w:rPr>
      <w:sz w:val="24"/>
      <w:szCs w:val="24"/>
    </w:rPr>
  </w:style>
  <w:style w:type="paragraph" w:styleId="af4">
    <w:name w:val="footnote text"/>
    <w:basedOn w:val="a"/>
    <w:link w:val="Chara"/>
    <w:uiPriority w:val="99"/>
    <w:rsid w:val="004061AC"/>
    <w:pPr>
      <w:snapToGrid w:val="0"/>
      <w:jc w:val="left"/>
    </w:pPr>
    <w:rPr>
      <w:kern w:val="0"/>
      <w:sz w:val="18"/>
      <w:szCs w:val="18"/>
    </w:rPr>
  </w:style>
  <w:style w:type="character" w:customStyle="1" w:styleId="Chara">
    <w:name w:val="脚注文本 Char"/>
    <w:link w:val="af4"/>
    <w:uiPriority w:val="99"/>
    <w:locked/>
    <w:rsid w:val="004061AC"/>
    <w:rPr>
      <w:rFonts w:ascii="Times New Roman" w:eastAsia="宋体" w:hAnsi="Times New Roman" w:cs="Times New Roman"/>
      <w:sz w:val="18"/>
      <w:szCs w:val="18"/>
    </w:rPr>
  </w:style>
  <w:style w:type="character" w:styleId="af5">
    <w:name w:val="footnote reference"/>
    <w:uiPriority w:val="99"/>
    <w:rsid w:val="004061AC"/>
    <w:rPr>
      <w:rFonts w:cs="Times New Roman"/>
      <w:vertAlign w:val="superscript"/>
    </w:rPr>
  </w:style>
  <w:style w:type="paragraph" w:styleId="af6">
    <w:name w:val="Normal (Web)"/>
    <w:basedOn w:val="a"/>
    <w:uiPriority w:val="99"/>
    <w:rsid w:val="004061AC"/>
    <w:pPr>
      <w:widowControl/>
      <w:spacing w:before="100" w:beforeAutospacing="1" w:after="100" w:afterAutospacing="1"/>
      <w:jc w:val="left"/>
    </w:pPr>
    <w:rPr>
      <w:rFonts w:ascii="宋体" w:hAnsi="宋体" w:cs="宋体"/>
      <w:kern w:val="0"/>
      <w:sz w:val="24"/>
      <w:szCs w:val="24"/>
    </w:rPr>
  </w:style>
  <w:style w:type="table" w:styleId="af7">
    <w:name w:val="Table Grid"/>
    <w:basedOn w:val="a2"/>
    <w:qFormat/>
    <w:rsid w:val="004061AC"/>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4061AC"/>
  </w:style>
  <w:style w:type="paragraph" w:customStyle="1" w:styleId="CharCharCharCharCharChar1CharCharChar">
    <w:name w:val="Char Char Char Char Char Char1 Char Char Char"/>
    <w:basedOn w:val="a"/>
    <w:uiPriority w:val="99"/>
    <w:rsid w:val="004061AC"/>
    <w:pPr>
      <w:autoSpaceDE w:val="0"/>
      <w:autoSpaceDN w:val="0"/>
      <w:adjustRightInd w:val="0"/>
      <w:jc w:val="left"/>
      <w:textAlignment w:val="baseline"/>
    </w:pPr>
    <w:rPr>
      <w:rFonts w:ascii="宋体" w:cs="宋体"/>
      <w:kern w:val="0"/>
      <w:sz w:val="34"/>
      <w:szCs w:val="34"/>
    </w:rPr>
  </w:style>
  <w:style w:type="paragraph" w:customStyle="1" w:styleId="CharCharCharCharCharChar1CharCharChar2">
    <w:name w:val="Char Char Char Char Char Char1 Char Char Char2"/>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8">
    <w:name w:val="Title"/>
    <w:basedOn w:val="a"/>
    <w:next w:val="a"/>
    <w:link w:val="Charb"/>
    <w:uiPriority w:val="99"/>
    <w:qFormat/>
    <w:rsid w:val="004061AC"/>
    <w:pPr>
      <w:spacing w:before="240" w:after="60"/>
      <w:jc w:val="center"/>
      <w:outlineLvl w:val="0"/>
    </w:pPr>
    <w:rPr>
      <w:rFonts w:ascii="Cambria" w:hAnsi="Cambria"/>
      <w:b/>
      <w:bCs/>
      <w:kern w:val="0"/>
      <w:sz w:val="32"/>
      <w:szCs w:val="32"/>
    </w:rPr>
  </w:style>
  <w:style w:type="character" w:customStyle="1" w:styleId="Charb">
    <w:name w:val="标题 Char"/>
    <w:link w:val="af8"/>
    <w:uiPriority w:val="99"/>
    <w:locked/>
    <w:rsid w:val="004061AC"/>
    <w:rPr>
      <w:rFonts w:ascii="Cambria" w:eastAsia="宋体" w:hAnsi="Cambria" w:cs="Cambria"/>
      <w:b/>
      <w:bCs/>
      <w:sz w:val="32"/>
      <w:szCs w:val="32"/>
    </w:rPr>
  </w:style>
  <w:style w:type="paragraph" w:customStyle="1" w:styleId="CharCharCharCharCharChar1CharCharChar1">
    <w:name w:val="Char Char Char Char Char Char1 Char Char Char1"/>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9">
    <w:name w:val="No Spacing"/>
    <w:link w:val="Charc"/>
    <w:uiPriority w:val="99"/>
    <w:qFormat/>
    <w:rsid w:val="004061AC"/>
    <w:rPr>
      <w:rFonts w:cs="Calibri"/>
      <w:sz w:val="22"/>
      <w:szCs w:val="22"/>
    </w:rPr>
  </w:style>
  <w:style w:type="character" w:customStyle="1" w:styleId="Charc">
    <w:name w:val="无间隔 Char"/>
    <w:link w:val="af9"/>
    <w:uiPriority w:val="99"/>
    <w:locked/>
    <w:rsid w:val="004061AC"/>
    <w:rPr>
      <w:rFonts w:cs="Calibri"/>
      <w:sz w:val="22"/>
      <w:szCs w:val="22"/>
      <w:lang w:val="en-US" w:eastAsia="zh-CN" w:bidi="ar-SA"/>
    </w:rPr>
  </w:style>
  <w:style w:type="character" w:customStyle="1" w:styleId="t1">
    <w:name w:val="t1"/>
    <w:uiPriority w:val="99"/>
    <w:rsid w:val="004061AC"/>
    <w:rPr>
      <w:rFonts w:cs="Times New Roman"/>
      <w:color w:val="auto"/>
    </w:rPr>
  </w:style>
  <w:style w:type="paragraph" w:styleId="afa">
    <w:name w:val="List Paragraph"/>
    <w:basedOn w:val="a"/>
    <w:uiPriority w:val="99"/>
    <w:qFormat/>
    <w:rsid w:val="00154BE1"/>
    <w:pPr>
      <w:ind w:firstLineChars="200" w:firstLine="420"/>
    </w:pPr>
  </w:style>
  <w:style w:type="paragraph" w:customStyle="1" w:styleId="Default">
    <w:name w:val="Default"/>
    <w:uiPriority w:val="99"/>
    <w:rsid w:val="00275745"/>
    <w:pPr>
      <w:widowControl w:val="0"/>
      <w:autoSpaceDE w:val="0"/>
      <w:autoSpaceDN w:val="0"/>
      <w:adjustRightInd w:val="0"/>
    </w:pPr>
    <w:rPr>
      <w:rFonts w:ascii="FangSong" w:hAnsi="FangSong" w:cs="FangSong"/>
      <w:color w:val="000000"/>
      <w:sz w:val="24"/>
      <w:szCs w:val="24"/>
    </w:rPr>
  </w:style>
  <w:style w:type="character" w:styleId="afb">
    <w:name w:val="Strong"/>
    <w:uiPriority w:val="22"/>
    <w:qFormat/>
    <w:locked/>
    <w:rsid w:val="00D874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98932">
      <w:bodyDiv w:val="1"/>
      <w:marLeft w:val="0"/>
      <w:marRight w:val="0"/>
      <w:marTop w:val="0"/>
      <w:marBottom w:val="0"/>
      <w:divBdr>
        <w:top w:val="none" w:sz="0" w:space="0" w:color="auto"/>
        <w:left w:val="none" w:sz="0" w:space="0" w:color="auto"/>
        <w:bottom w:val="none" w:sz="0" w:space="0" w:color="auto"/>
        <w:right w:val="none" w:sz="0" w:space="0" w:color="auto"/>
      </w:divBdr>
    </w:div>
    <w:div w:id="105783393">
      <w:bodyDiv w:val="1"/>
      <w:marLeft w:val="0"/>
      <w:marRight w:val="0"/>
      <w:marTop w:val="0"/>
      <w:marBottom w:val="0"/>
      <w:divBdr>
        <w:top w:val="none" w:sz="0" w:space="0" w:color="auto"/>
        <w:left w:val="none" w:sz="0" w:space="0" w:color="auto"/>
        <w:bottom w:val="none" w:sz="0" w:space="0" w:color="auto"/>
        <w:right w:val="none" w:sz="0" w:space="0" w:color="auto"/>
      </w:divBdr>
    </w:div>
    <w:div w:id="1494878767">
      <w:marLeft w:val="0"/>
      <w:marRight w:val="0"/>
      <w:marTop w:val="0"/>
      <w:marBottom w:val="0"/>
      <w:divBdr>
        <w:top w:val="none" w:sz="0" w:space="0" w:color="auto"/>
        <w:left w:val="none" w:sz="0" w:space="0" w:color="auto"/>
        <w:bottom w:val="none" w:sz="0" w:space="0" w:color="auto"/>
        <w:right w:val="none" w:sz="0" w:space="0" w:color="auto"/>
      </w:divBdr>
    </w:div>
    <w:div w:id="1494878768">
      <w:marLeft w:val="0"/>
      <w:marRight w:val="0"/>
      <w:marTop w:val="0"/>
      <w:marBottom w:val="0"/>
      <w:divBdr>
        <w:top w:val="none" w:sz="0" w:space="0" w:color="auto"/>
        <w:left w:val="none" w:sz="0" w:space="0" w:color="auto"/>
        <w:bottom w:val="none" w:sz="0" w:space="0" w:color="auto"/>
        <w:right w:val="none" w:sz="0" w:space="0" w:color="auto"/>
      </w:divBdr>
    </w:div>
    <w:div w:id="1830948889">
      <w:bodyDiv w:val="1"/>
      <w:marLeft w:val="0"/>
      <w:marRight w:val="0"/>
      <w:marTop w:val="0"/>
      <w:marBottom w:val="0"/>
      <w:divBdr>
        <w:top w:val="none" w:sz="0" w:space="0" w:color="auto"/>
        <w:left w:val="none" w:sz="0" w:space="0" w:color="auto"/>
        <w:bottom w:val="none" w:sz="0" w:space="0" w:color="auto"/>
        <w:right w:val="none" w:sz="0" w:space="0" w:color="auto"/>
      </w:divBdr>
    </w:div>
    <w:div w:id="2017924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7CCF18-50E0-41D6-AC6A-AF24C1BBC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1783</TotalTime>
  <Pages>3</Pages>
  <Words>1055</Words>
  <Characters>6018</Characters>
  <Application>Microsoft Office Word</Application>
  <DocSecurity>0</DocSecurity>
  <Lines>50</Lines>
  <Paragraphs>14</Paragraphs>
  <ScaleCrop>false</ScaleCrop>
  <Company/>
  <LinksUpToDate>false</LinksUpToDate>
  <CharactersWithSpaces>7059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李维</cp:lastModifiedBy>
  <cp:revision>339</cp:revision>
  <cp:lastPrinted>2019-10-16T13:55:00Z</cp:lastPrinted>
  <dcterms:created xsi:type="dcterms:W3CDTF">2012-10-16T06:07:00Z</dcterms:created>
  <dcterms:modified xsi:type="dcterms:W3CDTF">2019-10-16T13:55:00Z</dcterms:modified>
</cp:coreProperties>
</file>