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易方达港股通红利灵活配置混合型证券投资基金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7C7E65" w:rsidRDefault="00E20E02">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7C7E65" w:rsidRDefault="00E20E02">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7C7E65" w:rsidRDefault="00E20E02">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7C7E65" w:rsidRDefault="00E20E02">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7C7E65" w:rsidRDefault="00E20E02">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易方达港股通红利混合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005583</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005583</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3</w:t>
            </w:r>
            <w:r w:rsidRPr="00232B03">
              <w:rPr>
                <w:color w:val="000000"/>
                <w:kern w:val="0"/>
                <w:sz w:val="24"/>
                <w:szCs w:val="24"/>
              </w:rPr>
              <w:t>月</w:t>
            </w:r>
            <w:r w:rsidRPr="00232B03">
              <w:rPr>
                <w:color w:val="000000"/>
                <w:kern w:val="0"/>
                <w:sz w:val="24"/>
                <w:szCs w:val="24"/>
              </w:rPr>
              <w:t>7</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1,904,492,776.33</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本基金在严格控制风险的前提下，追求超越业绩比较基准的投资回报。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等资产类别的配置比例。在红利股初选的基础上，本基金将采取定量分析与定性分析相结合的分析方式，以选择具有持续竞争优势的上市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恒生中国企业指数（使用估值汇率折算）收益率</w:t>
            </w:r>
            <w:r w:rsidRPr="00232B03">
              <w:rPr>
                <w:color w:val="000000"/>
                <w:kern w:val="0"/>
                <w:sz w:val="24"/>
                <w:szCs w:val="24"/>
              </w:rPr>
              <w:t>×70%+</w:t>
            </w:r>
            <w:r w:rsidRPr="00232B03">
              <w:rPr>
                <w:color w:val="000000"/>
                <w:kern w:val="0"/>
                <w:sz w:val="24"/>
                <w:szCs w:val="24"/>
              </w:rPr>
              <w:t>人民币活期存款利率（税后）</w:t>
            </w:r>
            <w:r w:rsidRPr="00232B03">
              <w:rPr>
                <w:color w:val="000000"/>
                <w:kern w:val="0"/>
                <w:sz w:val="24"/>
                <w:szCs w:val="24"/>
              </w:rPr>
              <w:t>×30%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本基金为混合基金，理论上其预期风险与预期收益水平低于股票基金，高于债券基金和货币市场基金。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-37,591,769.93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23,312,012.85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0.0111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1,547,613,784.04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0.8126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7C7E65" w:rsidRDefault="00E20E02">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7C7E65">
        <w:tc>
          <w:tcPr>
            <w:tcW w:w="1395" w:type="dxa"/>
            <w:vAlign w:val="center"/>
          </w:tcPr>
          <w:p w:rsidR="007C7E65" w:rsidRDefault="00E20E02">
            <w:pPr>
              <w:jc w:val="left"/>
            </w:pPr>
            <w:r>
              <w:rPr>
                <w:color w:val="000000"/>
                <w:kern w:val="0"/>
                <w:sz w:val="24"/>
                <w:szCs w:val="24"/>
              </w:rPr>
              <w:t>过去三个月</w:t>
            </w:r>
          </w:p>
        </w:tc>
        <w:tc>
          <w:tcPr>
            <w:tcW w:w="1092" w:type="dxa"/>
            <w:vAlign w:val="center"/>
          </w:tcPr>
          <w:p w:rsidR="007C7E65" w:rsidRDefault="00E20E02">
            <w:pPr>
              <w:jc w:val="center"/>
            </w:pPr>
            <w:r>
              <w:rPr>
                <w:color w:val="000000"/>
                <w:kern w:val="0"/>
                <w:sz w:val="24"/>
                <w:szCs w:val="24"/>
              </w:rPr>
              <w:t>1.33%</w:t>
            </w:r>
          </w:p>
        </w:tc>
        <w:tc>
          <w:tcPr>
            <w:tcW w:w="1161" w:type="dxa"/>
            <w:vAlign w:val="center"/>
          </w:tcPr>
          <w:p w:rsidR="007C7E65" w:rsidRDefault="00E20E02">
            <w:pPr>
              <w:jc w:val="center"/>
            </w:pPr>
            <w:r>
              <w:rPr>
                <w:color w:val="000000"/>
                <w:kern w:val="0"/>
                <w:sz w:val="24"/>
                <w:szCs w:val="24"/>
              </w:rPr>
              <w:t>1.06%</w:t>
            </w:r>
          </w:p>
        </w:tc>
        <w:tc>
          <w:tcPr>
            <w:tcW w:w="1181" w:type="dxa"/>
            <w:vAlign w:val="center"/>
          </w:tcPr>
          <w:p w:rsidR="007C7E65" w:rsidRDefault="00E20E02">
            <w:pPr>
              <w:jc w:val="center"/>
            </w:pPr>
            <w:r>
              <w:rPr>
                <w:color w:val="000000"/>
                <w:kern w:val="0"/>
                <w:sz w:val="24"/>
                <w:szCs w:val="24"/>
              </w:rPr>
              <w:t>-2.65%</w:t>
            </w:r>
          </w:p>
        </w:tc>
        <w:tc>
          <w:tcPr>
            <w:tcW w:w="1188" w:type="dxa"/>
            <w:vAlign w:val="center"/>
          </w:tcPr>
          <w:p w:rsidR="007C7E65" w:rsidRDefault="00E20E02">
            <w:pPr>
              <w:jc w:val="center"/>
            </w:pPr>
            <w:r>
              <w:rPr>
                <w:color w:val="000000"/>
                <w:kern w:val="0"/>
                <w:sz w:val="24"/>
                <w:szCs w:val="24"/>
              </w:rPr>
              <w:t>0.60%</w:t>
            </w:r>
          </w:p>
        </w:tc>
        <w:tc>
          <w:tcPr>
            <w:tcW w:w="1199" w:type="dxa"/>
            <w:vAlign w:val="center"/>
          </w:tcPr>
          <w:p w:rsidR="007C7E65" w:rsidRDefault="00E20E02">
            <w:pPr>
              <w:jc w:val="center"/>
            </w:pPr>
            <w:r>
              <w:rPr>
                <w:color w:val="000000"/>
                <w:kern w:val="0"/>
                <w:sz w:val="24"/>
                <w:szCs w:val="24"/>
              </w:rPr>
              <w:t>3.98%</w:t>
            </w:r>
          </w:p>
        </w:tc>
        <w:tc>
          <w:tcPr>
            <w:tcW w:w="1204" w:type="dxa"/>
            <w:vAlign w:val="center"/>
          </w:tcPr>
          <w:p w:rsidR="007C7E65" w:rsidRDefault="00E20E02">
            <w:pPr>
              <w:jc w:val="center"/>
            </w:pPr>
            <w:r>
              <w:rPr>
                <w:color w:val="000000"/>
                <w:kern w:val="0"/>
                <w:sz w:val="24"/>
                <w:szCs w:val="24"/>
              </w:rPr>
              <w:t>0.46%</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易方达港股通红利灵活配置混合型证券投资基金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3</w:t>
      </w:r>
      <w:r w:rsidRPr="0074694E">
        <w:rPr>
          <w:rFonts w:ascii="Times New Roman" w:hAnsi="Times New Roman"/>
          <w:sz w:val="24"/>
          <w:szCs w:val="24"/>
        </w:rPr>
        <w:t>月</w:t>
      </w:r>
      <w:r w:rsidRPr="0074694E">
        <w:rPr>
          <w:rFonts w:ascii="Times New Roman" w:hAnsi="Times New Roman"/>
          <w:sz w:val="24"/>
          <w:szCs w:val="24"/>
        </w:rPr>
        <w:t>7</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E20E02"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C7E65" w:rsidRDefault="00E20E02">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本基金的业绩比较基准已经转换为以人民币计价。</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自基金合同生效至报告期末，基金份额净值增长率为</w:t>
      </w:r>
      <w:r w:rsidRPr="006C56AA">
        <w:rPr>
          <w:color w:val="000000"/>
          <w:sz w:val="24"/>
          <w:szCs w:val="24"/>
        </w:rPr>
        <w:t>-18.74%</w:t>
      </w:r>
      <w:r w:rsidRPr="006C56AA">
        <w:rPr>
          <w:color w:val="000000"/>
          <w:sz w:val="24"/>
          <w:szCs w:val="24"/>
        </w:rPr>
        <w:t>，同期业绩比较基准收益率为</w:t>
      </w:r>
      <w:r w:rsidRPr="006C56AA">
        <w:rPr>
          <w:color w:val="000000"/>
          <w:sz w:val="24"/>
          <w:szCs w:val="24"/>
        </w:rPr>
        <w:t>-4.75%</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7C7E65">
        <w:tc>
          <w:tcPr>
            <w:tcW w:w="567" w:type="dxa"/>
            <w:vAlign w:val="center"/>
          </w:tcPr>
          <w:p w:rsidR="007C7E65" w:rsidRDefault="00E20E02">
            <w:pPr>
              <w:jc w:val="center"/>
            </w:pPr>
            <w:r>
              <w:rPr>
                <w:color w:val="000000"/>
                <w:sz w:val="24"/>
              </w:rPr>
              <w:t>毕仲圆</w:t>
            </w:r>
          </w:p>
        </w:tc>
        <w:tc>
          <w:tcPr>
            <w:tcW w:w="2835" w:type="dxa"/>
            <w:vAlign w:val="center"/>
          </w:tcPr>
          <w:p w:rsidR="007C7E65" w:rsidRDefault="00E20E02">
            <w:pPr>
              <w:jc w:val="center"/>
            </w:pPr>
            <w:r>
              <w:rPr>
                <w:color w:val="000000"/>
                <w:sz w:val="24"/>
              </w:rPr>
              <w:t>本基金的基金经理、易方达资产管理（香港）有限公司国际投资部投资经理助理兼港股策略师</w:t>
            </w:r>
          </w:p>
        </w:tc>
        <w:tc>
          <w:tcPr>
            <w:tcW w:w="851" w:type="dxa"/>
            <w:vAlign w:val="center"/>
          </w:tcPr>
          <w:p w:rsidR="007C7E65" w:rsidRDefault="00E20E02">
            <w:pPr>
              <w:jc w:val="center"/>
            </w:pPr>
            <w:r>
              <w:rPr>
                <w:color w:val="000000"/>
                <w:sz w:val="24"/>
              </w:rPr>
              <w:t>2019-04-30</w:t>
            </w:r>
          </w:p>
        </w:tc>
        <w:tc>
          <w:tcPr>
            <w:tcW w:w="850" w:type="dxa"/>
            <w:vAlign w:val="center"/>
          </w:tcPr>
          <w:p w:rsidR="007C7E65" w:rsidRDefault="00E20E02">
            <w:pPr>
              <w:jc w:val="center"/>
            </w:pPr>
            <w:r>
              <w:rPr>
                <w:color w:val="000000"/>
                <w:sz w:val="24"/>
              </w:rPr>
              <w:t>-</w:t>
            </w:r>
          </w:p>
        </w:tc>
        <w:tc>
          <w:tcPr>
            <w:tcW w:w="851" w:type="dxa"/>
            <w:vAlign w:val="center"/>
          </w:tcPr>
          <w:p w:rsidR="007C7E65" w:rsidRDefault="00E20E02">
            <w:pPr>
              <w:jc w:val="center"/>
            </w:pPr>
            <w:r>
              <w:rPr>
                <w:color w:val="000000"/>
                <w:sz w:val="24"/>
              </w:rPr>
              <w:t>4</w:t>
            </w:r>
            <w:r>
              <w:rPr>
                <w:color w:val="000000"/>
                <w:sz w:val="24"/>
              </w:rPr>
              <w:t>年</w:t>
            </w:r>
          </w:p>
        </w:tc>
        <w:tc>
          <w:tcPr>
            <w:tcW w:w="2977" w:type="dxa"/>
            <w:vAlign w:val="center"/>
          </w:tcPr>
          <w:p w:rsidR="007C7E65" w:rsidRDefault="00E20E02">
            <w:r>
              <w:rPr>
                <w:color w:val="000000"/>
                <w:sz w:val="24"/>
              </w:rPr>
              <w:t>硕士研究生，曾任盛博香港有限公司研究员，易方达资产管理（香港）有限公司国际投资部研究员，易方达基金管理有限公司国际投资部投资经理。</w:t>
            </w:r>
          </w:p>
        </w:tc>
      </w:tr>
      <w:tr w:rsidR="007C7E65">
        <w:tc>
          <w:tcPr>
            <w:tcW w:w="567" w:type="dxa"/>
            <w:vAlign w:val="center"/>
          </w:tcPr>
          <w:p w:rsidR="007C7E65" w:rsidRDefault="00E20E02">
            <w:pPr>
              <w:jc w:val="center"/>
            </w:pPr>
            <w:r>
              <w:rPr>
                <w:color w:val="000000"/>
                <w:sz w:val="24"/>
              </w:rPr>
              <w:t>陈宏初</w:t>
            </w:r>
          </w:p>
        </w:tc>
        <w:tc>
          <w:tcPr>
            <w:tcW w:w="2835" w:type="dxa"/>
            <w:vAlign w:val="center"/>
          </w:tcPr>
          <w:p w:rsidR="007C7E65" w:rsidRDefault="00E20E02">
            <w:pPr>
              <w:jc w:val="center"/>
            </w:pPr>
            <w:r>
              <w:rPr>
                <w:color w:val="000000"/>
                <w:sz w:val="24"/>
              </w:rPr>
              <w:t>本基金的基金经理、国际投资部总经理、易方达资产管理（香港）有限公司首席投资官、就证券提供意见负责人员（</w:t>
            </w:r>
            <w:r>
              <w:rPr>
                <w:color w:val="000000"/>
                <w:sz w:val="24"/>
              </w:rPr>
              <w:t>RO</w:t>
            </w:r>
            <w:r>
              <w:rPr>
                <w:color w:val="000000"/>
                <w:sz w:val="24"/>
              </w:rPr>
              <w:t>）、提供资产管理负责人员（</w:t>
            </w:r>
            <w:r>
              <w:rPr>
                <w:color w:val="000000"/>
                <w:sz w:val="24"/>
              </w:rPr>
              <w:t>RO</w:t>
            </w:r>
            <w:r>
              <w:rPr>
                <w:color w:val="000000"/>
                <w:sz w:val="24"/>
              </w:rPr>
              <w:t>）、证券交易负责人员（</w:t>
            </w:r>
            <w:r>
              <w:rPr>
                <w:color w:val="000000"/>
                <w:sz w:val="24"/>
              </w:rPr>
              <w:t>RO</w:t>
            </w:r>
            <w:r>
              <w:rPr>
                <w:color w:val="000000"/>
                <w:sz w:val="24"/>
              </w:rPr>
              <w:t>）、权益及资产配置投资决策委员会委员、固定收益投资决策委员会委员</w:t>
            </w:r>
          </w:p>
        </w:tc>
        <w:tc>
          <w:tcPr>
            <w:tcW w:w="851" w:type="dxa"/>
            <w:vAlign w:val="center"/>
          </w:tcPr>
          <w:p w:rsidR="007C7E65" w:rsidRDefault="00E20E02">
            <w:pPr>
              <w:jc w:val="center"/>
            </w:pPr>
            <w:r>
              <w:rPr>
                <w:color w:val="000000"/>
                <w:sz w:val="24"/>
              </w:rPr>
              <w:t>2019-04-30</w:t>
            </w:r>
          </w:p>
        </w:tc>
        <w:tc>
          <w:tcPr>
            <w:tcW w:w="850" w:type="dxa"/>
            <w:vAlign w:val="center"/>
          </w:tcPr>
          <w:p w:rsidR="007C7E65" w:rsidRDefault="00E20E02">
            <w:pPr>
              <w:jc w:val="center"/>
            </w:pPr>
            <w:r>
              <w:rPr>
                <w:color w:val="000000"/>
                <w:sz w:val="24"/>
              </w:rPr>
              <w:t>-</w:t>
            </w:r>
          </w:p>
        </w:tc>
        <w:tc>
          <w:tcPr>
            <w:tcW w:w="851" w:type="dxa"/>
            <w:vAlign w:val="center"/>
          </w:tcPr>
          <w:p w:rsidR="007C7E65" w:rsidRDefault="00E20E02">
            <w:pPr>
              <w:jc w:val="center"/>
            </w:pPr>
            <w:r>
              <w:rPr>
                <w:color w:val="000000"/>
                <w:sz w:val="24"/>
              </w:rPr>
              <w:t>25</w:t>
            </w:r>
            <w:r>
              <w:rPr>
                <w:color w:val="000000"/>
                <w:sz w:val="24"/>
              </w:rPr>
              <w:t>年</w:t>
            </w:r>
          </w:p>
        </w:tc>
        <w:tc>
          <w:tcPr>
            <w:tcW w:w="2977" w:type="dxa"/>
            <w:vAlign w:val="center"/>
          </w:tcPr>
          <w:p w:rsidR="007C7E65" w:rsidRDefault="00E20E02">
            <w:r>
              <w:rPr>
                <w:color w:val="000000"/>
                <w:sz w:val="24"/>
              </w:rPr>
              <w:t>加拿大籍，硕士研究生，曾任</w:t>
            </w:r>
            <w:r>
              <w:rPr>
                <w:color w:val="000000"/>
                <w:sz w:val="24"/>
              </w:rPr>
              <w:t>Patinni Investment Limited</w:t>
            </w:r>
            <w:r>
              <w:rPr>
                <w:color w:val="000000"/>
                <w:sz w:val="24"/>
              </w:rPr>
              <w:t>金融分析师，上海实业（集团）有限公司投资经理，</w:t>
            </w:r>
            <w:r>
              <w:rPr>
                <w:color w:val="000000"/>
                <w:sz w:val="24"/>
              </w:rPr>
              <w:t xml:space="preserve"> Salomon-Shanghai Industrial Greater China Asset Management Co.</w:t>
            </w:r>
            <w:r>
              <w:rPr>
                <w:color w:val="000000"/>
                <w:sz w:val="24"/>
              </w:rPr>
              <w:t>基金经理，</w:t>
            </w:r>
            <w:r>
              <w:rPr>
                <w:color w:val="000000"/>
                <w:sz w:val="24"/>
              </w:rPr>
              <w:t>SEB Investment Management</w:t>
            </w:r>
            <w:r>
              <w:rPr>
                <w:color w:val="000000"/>
                <w:sz w:val="24"/>
              </w:rPr>
              <w:t>基金经理，</w:t>
            </w:r>
            <w:r>
              <w:rPr>
                <w:color w:val="000000"/>
                <w:sz w:val="24"/>
              </w:rPr>
              <w:t>Crown Asset Management Limited</w:t>
            </w:r>
            <w:r>
              <w:rPr>
                <w:color w:val="000000"/>
                <w:sz w:val="24"/>
              </w:rPr>
              <w:t>总经理，中金香港资产管理公司香港股票主管，德意志资产管理（香港）有限公司投资部副总裁、基金经理，嘉</w:t>
            </w:r>
            <w:r>
              <w:rPr>
                <w:color w:val="000000"/>
                <w:sz w:val="24"/>
              </w:rPr>
              <w:t>实国际资产管理有限公司国际投资部基金经理，华安资产管理（香港）有限公司董事总经理、首席投资官，泰康资产管理（香港）有限公司董事总经理、首席投资官，易方达基金管理有限公司国际投资部投资经理，易方达资产管理（香港）有限公司国际投资部基金经理。</w:t>
            </w:r>
          </w:p>
        </w:tc>
      </w:tr>
    </w:tbl>
    <w:p w:rsidR="007C7E65" w:rsidRDefault="00E20E02">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7C7E65" w:rsidRDefault="00E20E02">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7C7E65" w:rsidRDefault="00E20E02">
      <w:pPr>
        <w:spacing w:line="360" w:lineRule="auto"/>
        <w:ind w:firstLineChars="200" w:firstLine="480"/>
        <w:rPr>
          <w:color w:val="000000"/>
          <w:sz w:val="24"/>
          <w:szCs w:val="24"/>
        </w:rPr>
      </w:pPr>
      <w:r>
        <w:rPr>
          <w:color w:val="000000"/>
          <w:sz w:val="24"/>
          <w:szCs w:val="24"/>
        </w:rPr>
        <w:t>贸易战的来回拉锯，香港违法暴力运动的愈演愈烈，全球经济难见起色，均导致了三季度市场在震荡中下行。</w:t>
      </w:r>
      <w:r>
        <w:rPr>
          <w:color w:val="000000"/>
          <w:sz w:val="24"/>
          <w:szCs w:val="24"/>
        </w:rPr>
        <w:t>7</w:t>
      </w:r>
      <w:r>
        <w:rPr>
          <w:color w:val="000000"/>
          <w:sz w:val="24"/>
          <w:szCs w:val="24"/>
        </w:rPr>
        <w:t>月初</w:t>
      </w:r>
      <w:r>
        <w:rPr>
          <w:color w:val="000000"/>
          <w:sz w:val="24"/>
          <w:szCs w:val="24"/>
        </w:rPr>
        <w:t>G20</w:t>
      </w:r>
      <w:r>
        <w:rPr>
          <w:color w:val="000000"/>
          <w:sz w:val="24"/>
          <w:szCs w:val="24"/>
        </w:rPr>
        <w:t>会议中美元首会晤达成一致，同意继续开启贸易谈判，可特朗普在随后的谈判以后再次违反协议，突然宣布自</w:t>
      </w:r>
      <w:r>
        <w:rPr>
          <w:color w:val="000000"/>
          <w:sz w:val="24"/>
          <w:szCs w:val="24"/>
        </w:rPr>
        <w:t>9</w:t>
      </w:r>
      <w:r>
        <w:rPr>
          <w:color w:val="000000"/>
          <w:sz w:val="24"/>
          <w:szCs w:val="24"/>
        </w:rPr>
        <w:t>月</w:t>
      </w:r>
      <w:r>
        <w:rPr>
          <w:color w:val="000000"/>
          <w:sz w:val="24"/>
          <w:szCs w:val="24"/>
        </w:rPr>
        <w:t>1</w:t>
      </w:r>
      <w:r>
        <w:rPr>
          <w:color w:val="000000"/>
          <w:sz w:val="24"/>
          <w:szCs w:val="24"/>
        </w:rPr>
        <w:t>日起对中国额外的</w:t>
      </w:r>
      <w:r>
        <w:rPr>
          <w:color w:val="000000"/>
          <w:sz w:val="24"/>
          <w:szCs w:val="24"/>
        </w:rPr>
        <w:t>3000</w:t>
      </w:r>
      <w:r>
        <w:rPr>
          <w:color w:val="000000"/>
          <w:sz w:val="24"/>
          <w:szCs w:val="24"/>
        </w:rPr>
        <w:t>亿商品加征关税，受此影响，人民币汇率突破</w:t>
      </w:r>
      <w:r>
        <w:rPr>
          <w:color w:val="000000"/>
          <w:sz w:val="24"/>
          <w:szCs w:val="24"/>
        </w:rPr>
        <w:t>“7”</w:t>
      </w:r>
      <w:r>
        <w:rPr>
          <w:color w:val="000000"/>
          <w:sz w:val="24"/>
          <w:szCs w:val="24"/>
        </w:rPr>
        <w:t>的关键点位。</w:t>
      </w:r>
      <w:r>
        <w:rPr>
          <w:color w:val="000000"/>
          <w:sz w:val="24"/>
          <w:szCs w:val="24"/>
        </w:rPr>
        <w:t>8</w:t>
      </w:r>
      <w:r>
        <w:rPr>
          <w:color w:val="000000"/>
          <w:sz w:val="24"/>
          <w:szCs w:val="24"/>
        </w:rPr>
        <w:t>月中国予以反制后，美方也再次对来自中国的商品加征关税，可进入</w:t>
      </w:r>
      <w:r>
        <w:rPr>
          <w:color w:val="000000"/>
          <w:sz w:val="24"/>
          <w:szCs w:val="24"/>
        </w:rPr>
        <w:t>9</w:t>
      </w:r>
      <w:r>
        <w:rPr>
          <w:color w:val="000000"/>
          <w:sz w:val="24"/>
          <w:szCs w:val="24"/>
        </w:rPr>
        <w:t>月后，贸易战又现渐趋缓和的迹象，中美双方同意于</w:t>
      </w:r>
      <w:r>
        <w:rPr>
          <w:color w:val="000000"/>
          <w:sz w:val="24"/>
          <w:szCs w:val="24"/>
        </w:rPr>
        <w:t>10</w:t>
      </w:r>
      <w:r>
        <w:rPr>
          <w:color w:val="000000"/>
          <w:sz w:val="24"/>
          <w:szCs w:val="24"/>
        </w:rPr>
        <w:t>月再次进行贸易磋商，并提出</w:t>
      </w:r>
      <w:r>
        <w:rPr>
          <w:color w:val="000000"/>
          <w:sz w:val="24"/>
          <w:szCs w:val="24"/>
        </w:rPr>
        <w:t>“</w:t>
      </w:r>
      <w:r>
        <w:rPr>
          <w:color w:val="000000"/>
          <w:sz w:val="24"/>
          <w:szCs w:val="24"/>
        </w:rPr>
        <w:t>争取取得实质性进展</w:t>
      </w:r>
      <w:r>
        <w:rPr>
          <w:color w:val="000000"/>
          <w:sz w:val="24"/>
          <w:szCs w:val="24"/>
        </w:rPr>
        <w:t>”</w:t>
      </w:r>
      <w:r>
        <w:rPr>
          <w:color w:val="000000"/>
          <w:sz w:val="24"/>
          <w:szCs w:val="24"/>
        </w:rPr>
        <w:t>。而另一方面，中国政府也在继续深化金融改革和提出相关的经济</w:t>
      </w:r>
      <w:r>
        <w:rPr>
          <w:color w:val="000000"/>
          <w:sz w:val="24"/>
          <w:szCs w:val="24"/>
        </w:rPr>
        <w:t>刺激政策，</w:t>
      </w:r>
      <w:r>
        <w:rPr>
          <w:color w:val="000000"/>
          <w:sz w:val="24"/>
          <w:szCs w:val="24"/>
        </w:rPr>
        <w:t>8</w:t>
      </w:r>
      <w:r>
        <w:rPr>
          <w:color w:val="000000"/>
          <w:sz w:val="24"/>
          <w:szCs w:val="24"/>
        </w:rPr>
        <w:t>月份央行提出改革完善</w:t>
      </w:r>
      <w:r>
        <w:rPr>
          <w:color w:val="000000"/>
          <w:sz w:val="24"/>
          <w:szCs w:val="24"/>
        </w:rPr>
        <w:t>LPR</w:t>
      </w:r>
      <w:r>
        <w:rPr>
          <w:color w:val="000000"/>
          <w:sz w:val="24"/>
          <w:szCs w:val="24"/>
        </w:rPr>
        <w:t>形成机制，同时中央提出支持深圳建设中国特色社会主义先行示范区，</w:t>
      </w:r>
      <w:r>
        <w:rPr>
          <w:color w:val="000000"/>
          <w:sz w:val="24"/>
          <w:szCs w:val="24"/>
        </w:rPr>
        <w:t>9</w:t>
      </w:r>
      <w:r>
        <w:rPr>
          <w:color w:val="000000"/>
          <w:sz w:val="24"/>
          <w:szCs w:val="24"/>
        </w:rPr>
        <w:t>月份央行宣布降准，并且提出加大货币财政逆周期调节力度。</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本基金在三季度的股票仓位变化不大，但是结构上有一定变化。医药生物</w:t>
      </w:r>
      <w:r w:rsidRPr="006C56AA">
        <w:rPr>
          <w:color w:val="000000"/>
          <w:sz w:val="24"/>
          <w:szCs w:val="24"/>
        </w:rPr>
        <w:t>,</w:t>
      </w:r>
      <w:r w:rsidRPr="006C56AA">
        <w:rPr>
          <w:color w:val="000000"/>
          <w:sz w:val="24"/>
          <w:szCs w:val="24"/>
        </w:rPr>
        <w:t>电气设备等行业配置比例有所上升</w:t>
      </w:r>
      <w:r w:rsidRPr="006C56AA">
        <w:rPr>
          <w:color w:val="000000"/>
          <w:sz w:val="24"/>
          <w:szCs w:val="24"/>
        </w:rPr>
        <w:t>,</w:t>
      </w:r>
      <w:r w:rsidRPr="006C56AA">
        <w:rPr>
          <w:color w:val="000000"/>
          <w:sz w:val="24"/>
          <w:szCs w:val="24"/>
        </w:rPr>
        <w:t>卖出了通信行业和有色金属行业的部分股票。行业方面，目前持仓前三大行业为金融，可选消费以及必选消费。个股方面，以行业壁垒高，业绩弹性大，驱动因素不受外部环境影响的个股为主。</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0.8126</w:t>
      </w:r>
      <w:r w:rsidRPr="006C56AA">
        <w:rPr>
          <w:color w:val="000000"/>
          <w:sz w:val="24"/>
          <w:szCs w:val="24"/>
        </w:rPr>
        <w:t>元，本报告期份额净值增长率为</w:t>
      </w:r>
      <w:r w:rsidRPr="006C56AA">
        <w:rPr>
          <w:color w:val="000000"/>
          <w:sz w:val="24"/>
          <w:szCs w:val="24"/>
        </w:rPr>
        <w:t>1.33%</w:t>
      </w:r>
      <w:r w:rsidRPr="006C56AA">
        <w:rPr>
          <w:color w:val="000000"/>
          <w:sz w:val="24"/>
          <w:szCs w:val="24"/>
        </w:rPr>
        <w:t>，同期业绩比较基准收益率为</w:t>
      </w:r>
      <w:r w:rsidRPr="006C56AA">
        <w:rPr>
          <w:color w:val="000000"/>
          <w:sz w:val="24"/>
          <w:szCs w:val="24"/>
        </w:rPr>
        <w:t>-2.65%</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1,433,347,853.79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92.05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1,433,347,853.79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92.05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120,363,720.31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7.73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3,421,517.45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0.22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1,557,133,091.55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注：本基金本报告期末通过港股通交易机制投资的港股市值为</w:t>
      </w:r>
      <w:r w:rsidRPr="006C56AA">
        <w:rPr>
          <w:color w:val="000000"/>
          <w:sz w:val="24"/>
          <w:szCs w:val="24"/>
        </w:rPr>
        <w:t>1,257,970,830.65</w:t>
      </w:r>
      <w:r w:rsidRPr="006C56AA">
        <w:rPr>
          <w:color w:val="000000"/>
          <w:sz w:val="24"/>
          <w:szCs w:val="24"/>
        </w:rPr>
        <w:t>元，占净值比例</w:t>
      </w:r>
      <w:r w:rsidRPr="006C56AA">
        <w:rPr>
          <w:color w:val="000000"/>
          <w:sz w:val="24"/>
          <w:szCs w:val="24"/>
        </w:rPr>
        <w:t>81.28%</w:t>
      </w:r>
      <w:r w:rsidRPr="006C56AA">
        <w:rPr>
          <w:color w:val="000000"/>
          <w:sz w:val="24"/>
          <w:szCs w:val="24"/>
        </w:rPr>
        <w:t>。</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175,377,023.14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11.33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175,377,023.14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11.33</w:t>
            </w:r>
          </w:p>
        </w:tc>
      </w:tr>
    </w:tbl>
    <w:p w:rsidR="008C2A4F" w:rsidRPr="008C2A4F" w:rsidRDefault="008C2A4F" w:rsidP="008C2A4F">
      <w:pPr>
        <w:jc w:val="left"/>
        <w:rPr>
          <w:rFonts w:eastAsiaTheme="minorEastAsia"/>
          <w:b/>
          <w:bCs/>
          <w:color w:val="000000" w:themeColor="text1"/>
          <w:kern w:val="0"/>
          <w:sz w:val="24"/>
          <w:szCs w:val="24"/>
        </w:rPr>
      </w:pPr>
      <w:r w:rsidRPr="008C2A4F">
        <w:rPr>
          <w:rFonts w:eastAsiaTheme="minorEastAsia"/>
          <w:b/>
          <w:bCs/>
          <w:color w:val="000000" w:themeColor="text1"/>
          <w:kern w:val="0"/>
          <w:sz w:val="24"/>
          <w:szCs w:val="24"/>
        </w:rPr>
        <w:t xml:space="preserve"> 5.2.2</w:t>
      </w:r>
      <w:r w:rsidR="00B912D0">
        <w:rPr>
          <w:rFonts w:eastAsiaTheme="minorEastAsia"/>
          <w:b/>
          <w:bCs/>
          <w:color w:val="000000" w:themeColor="text1"/>
          <w:kern w:val="0"/>
          <w:sz w:val="24"/>
          <w:szCs w:val="24"/>
        </w:rPr>
        <w:t>报告期末按行业分类的</w:t>
      </w:r>
      <w:r w:rsidR="00B912D0">
        <w:rPr>
          <w:rFonts w:eastAsiaTheme="minorEastAsia" w:hint="eastAsia"/>
          <w:b/>
          <w:bCs/>
          <w:color w:val="000000" w:themeColor="text1"/>
          <w:kern w:val="0"/>
          <w:sz w:val="24"/>
          <w:szCs w:val="24"/>
        </w:rPr>
        <w:t>港股通</w:t>
      </w:r>
      <w:r w:rsidRPr="008C2A4F">
        <w:rPr>
          <w:rFonts w:eastAsiaTheme="minorEastAsia"/>
          <w:b/>
          <w:bCs/>
          <w:color w:val="000000" w:themeColor="text1"/>
          <w:kern w:val="0"/>
          <w:sz w:val="24"/>
          <w:szCs w:val="24"/>
        </w:rPr>
        <w:t>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3119"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公允价值（人民币）</w:t>
            </w:r>
          </w:p>
        </w:tc>
        <w:tc>
          <w:tcPr>
            <w:tcW w:w="3118"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r w:rsidRPr="008C2A4F">
              <w:rPr>
                <w:rFonts w:eastAsiaTheme="minorEastAsia"/>
                <w:color w:val="000000" w:themeColor="text1"/>
                <w:kern w:val="0"/>
                <w:sz w:val="24"/>
                <w:szCs w:val="24"/>
              </w:rPr>
              <w:t>%</w:t>
            </w:r>
            <w:r w:rsidRPr="008C2A4F">
              <w:rPr>
                <w:rFonts w:eastAsiaTheme="minorEastAsia"/>
                <w:color w:val="000000" w:themeColor="text1"/>
                <w:kern w:val="0"/>
                <w:sz w:val="24"/>
                <w:szCs w:val="24"/>
              </w:rPr>
              <w:t>）</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能源</w:t>
            </w:r>
          </w:p>
        </w:tc>
        <w:tc>
          <w:tcPr>
            <w:tcW w:w="3119" w:type="dxa"/>
            <w:vAlign w:val="center"/>
          </w:tcPr>
          <w:p w:rsidR="007C7E65" w:rsidRDefault="00E20E02">
            <w:pPr>
              <w:jc w:val="center"/>
            </w:pPr>
            <w:r>
              <w:rPr>
                <w:rFonts w:eastAsiaTheme="minorEastAsia"/>
                <w:color w:val="000000" w:themeColor="text1"/>
                <w:kern w:val="0"/>
                <w:sz w:val="24"/>
                <w:szCs w:val="24"/>
              </w:rPr>
              <w:t>-</w:t>
            </w:r>
          </w:p>
        </w:tc>
        <w:tc>
          <w:tcPr>
            <w:tcW w:w="3118" w:type="dxa"/>
            <w:vAlign w:val="center"/>
          </w:tcPr>
          <w:p w:rsidR="007C7E65" w:rsidRDefault="00E20E02">
            <w:pPr>
              <w:jc w:val="center"/>
            </w:pPr>
            <w:r>
              <w:rPr>
                <w:rFonts w:eastAsiaTheme="minorEastAsia"/>
                <w:color w:val="000000" w:themeColor="text1"/>
                <w:kern w:val="0"/>
                <w:sz w:val="24"/>
                <w:szCs w:val="24"/>
              </w:rPr>
              <w:t>-</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材料</w:t>
            </w:r>
          </w:p>
        </w:tc>
        <w:tc>
          <w:tcPr>
            <w:tcW w:w="3119" w:type="dxa"/>
            <w:vAlign w:val="center"/>
          </w:tcPr>
          <w:p w:rsidR="007C7E65" w:rsidRDefault="00E20E02">
            <w:pPr>
              <w:jc w:val="center"/>
            </w:pPr>
            <w:r>
              <w:rPr>
                <w:rFonts w:eastAsiaTheme="minorEastAsia"/>
                <w:color w:val="000000" w:themeColor="text1"/>
                <w:kern w:val="0"/>
                <w:sz w:val="24"/>
                <w:szCs w:val="24"/>
              </w:rPr>
              <w:t>78,855,991.78</w:t>
            </w:r>
          </w:p>
        </w:tc>
        <w:tc>
          <w:tcPr>
            <w:tcW w:w="3118" w:type="dxa"/>
            <w:vAlign w:val="center"/>
          </w:tcPr>
          <w:p w:rsidR="007C7E65" w:rsidRDefault="00E20E02">
            <w:pPr>
              <w:jc w:val="center"/>
            </w:pPr>
            <w:r>
              <w:rPr>
                <w:rFonts w:eastAsiaTheme="minorEastAsia"/>
                <w:color w:val="000000" w:themeColor="text1"/>
                <w:kern w:val="0"/>
                <w:sz w:val="24"/>
                <w:szCs w:val="24"/>
              </w:rPr>
              <w:t>5.10</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工业</w:t>
            </w:r>
          </w:p>
        </w:tc>
        <w:tc>
          <w:tcPr>
            <w:tcW w:w="3119" w:type="dxa"/>
            <w:vAlign w:val="center"/>
          </w:tcPr>
          <w:p w:rsidR="007C7E65" w:rsidRDefault="00E20E02">
            <w:pPr>
              <w:jc w:val="center"/>
            </w:pPr>
            <w:r>
              <w:rPr>
                <w:rFonts w:eastAsiaTheme="minorEastAsia"/>
                <w:color w:val="000000" w:themeColor="text1"/>
                <w:kern w:val="0"/>
                <w:sz w:val="24"/>
                <w:szCs w:val="24"/>
              </w:rPr>
              <w:t>130,228,373.87</w:t>
            </w:r>
          </w:p>
        </w:tc>
        <w:tc>
          <w:tcPr>
            <w:tcW w:w="3118" w:type="dxa"/>
            <w:vAlign w:val="center"/>
          </w:tcPr>
          <w:p w:rsidR="007C7E65" w:rsidRDefault="00E20E02">
            <w:pPr>
              <w:jc w:val="center"/>
            </w:pPr>
            <w:r>
              <w:rPr>
                <w:rFonts w:eastAsiaTheme="minorEastAsia"/>
                <w:color w:val="000000" w:themeColor="text1"/>
                <w:kern w:val="0"/>
                <w:sz w:val="24"/>
                <w:szCs w:val="24"/>
              </w:rPr>
              <w:t>8.41</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非必需消费品</w:t>
            </w:r>
          </w:p>
        </w:tc>
        <w:tc>
          <w:tcPr>
            <w:tcW w:w="3119" w:type="dxa"/>
            <w:vAlign w:val="center"/>
          </w:tcPr>
          <w:p w:rsidR="007C7E65" w:rsidRDefault="00E20E02">
            <w:pPr>
              <w:jc w:val="center"/>
            </w:pPr>
            <w:r>
              <w:rPr>
                <w:rFonts w:eastAsiaTheme="minorEastAsia"/>
                <w:color w:val="000000" w:themeColor="text1"/>
                <w:kern w:val="0"/>
                <w:sz w:val="24"/>
                <w:szCs w:val="24"/>
              </w:rPr>
              <w:t>186,958,845.99</w:t>
            </w:r>
          </w:p>
        </w:tc>
        <w:tc>
          <w:tcPr>
            <w:tcW w:w="3118" w:type="dxa"/>
            <w:vAlign w:val="center"/>
          </w:tcPr>
          <w:p w:rsidR="007C7E65" w:rsidRDefault="00E20E02">
            <w:pPr>
              <w:jc w:val="center"/>
            </w:pPr>
            <w:r>
              <w:rPr>
                <w:rFonts w:eastAsiaTheme="minorEastAsia"/>
                <w:color w:val="000000" w:themeColor="text1"/>
                <w:kern w:val="0"/>
                <w:sz w:val="24"/>
                <w:szCs w:val="24"/>
              </w:rPr>
              <w:t>12.08</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必需消费品</w:t>
            </w:r>
          </w:p>
        </w:tc>
        <w:tc>
          <w:tcPr>
            <w:tcW w:w="3119" w:type="dxa"/>
            <w:vAlign w:val="center"/>
          </w:tcPr>
          <w:p w:rsidR="007C7E65" w:rsidRDefault="00E20E02">
            <w:pPr>
              <w:jc w:val="center"/>
            </w:pPr>
            <w:r>
              <w:rPr>
                <w:rFonts w:eastAsiaTheme="minorEastAsia"/>
                <w:color w:val="000000" w:themeColor="text1"/>
                <w:kern w:val="0"/>
                <w:sz w:val="24"/>
                <w:szCs w:val="24"/>
              </w:rPr>
              <w:t>174,186,402.42</w:t>
            </w:r>
          </w:p>
        </w:tc>
        <w:tc>
          <w:tcPr>
            <w:tcW w:w="3118" w:type="dxa"/>
            <w:vAlign w:val="center"/>
          </w:tcPr>
          <w:p w:rsidR="007C7E65" w:rsidRDefault="00E20E02">
            <w:pPr>
              <w:jc w:val="center"/>
            </w:pPr>
            <w:r>
              <w:rPr>
                <w:rFonts w:eastAsiaTheme="minorEastAsia"/>
                <w:color w:val="000000" w:themeColor="text1"/>
                <w:kern w:val="0"/>
                <w:sz w:val="24"/>
                <w:szCs w:val="24"/>
              </w:rPr>
              <w:t>11.26</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保健</w:t>
            </w:r>
          </w:p>
        </w:tc>
        <w:tc>
          <w:tcPr>
            <w:tcW w:w="3119" w:type="dxa"/>
            <w:vAlign w:val="center"/>
          </w:tcPr>
          <w:p w:rsidR="007C7E65" w:rsidRDefault="00E20E02">
            <w:pPr>
              <w:jc w:val="center"/>
            </w:pPr>
            <w:r>
              <w:rPr>
                <w:rFonts w:eastAsiaTheme="minorEastAsia"/>
                <w:color w:val="000000" w:themeColor="text1"/>
                <w:kern w:val="0"/>
                <w:sz w:val="24"/>
                <w:szCs w:val="24"/>
              </w:rPr>
              <w:t>122,968,172.96</w:t>
            </w:r>
          </w:p>
        </w:tc>
        <w:tc>
          <w:tcPr>
            <w:tcW w:w="3118" w:type="dxa"/>
            <w:vAlign w:val="center"/>
          </w:tcPr>
          <w:p w:rsidR="007C7E65" w:rsidRDefault="00E20E02">
            <w:pPr>
              <w:jc w:val="center"/>
            </w:pPr>
            <w:r>
              <w:rPr>
                <w:rFonts w:eastAsiaTheme="minorEastAsia"/>
                <w:color w:val="000000" w:themeColor="text1"/>
                <w:kern w:val="0"/>
                <w:sz w:val="24"/>
                <w:szCs w:val="24"/>
              </w:rPr>
              <w:t>7.95</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金融</w:t>
            </w:r>
          </w:p>
        </w:tc>
        <w:tc>
          <w:tcPr>
            <w:tcW w:w="3119" w:type="dxa"/>
            <w:vAlign w:val="center"/>
          </w:tcPr>
          <w:p w:rsidR="007C7E65" w:rsidRDefault="00E20E02">
            <w:pPr>
              <w:jc w:val="center"/>
            </w:pPr>
            <w:r>
              <w:rPr>
                <w:rFonts w:eastAsiaTheme="minorEastAsia"/>
                <w:color w:val="000000" w:themeColor="text1"/>
                <w:kern w:val="0"/>
                <w:sz w:val="24"/>
                <w:szCs w:val="24"/>
              </w:rPr>
              <w:t>276,446,822.56</w:t>
            </w:r>
          </w:p>
        </w:tc>
        <w:tc>
          <w:tcPr>
            <w:tcW w:w="3118" w:type="dxa"/>
            <w:vAlign w:val="center"/>
          </w:tcPr>
          <w:p w:rsidR="007C7E65" w:rsidRDefault="00E20E02">
            <w:pPr>
              <w:jc w:val="center"/>
            </w:pPr>
            <w:r>
              <w:rPr>
                <w:rFonts w:eastAsiaTheme="minorEastAsia"/>
                <w:color w:val="000000" w:themeColor="text1"/>
                <w:kern w:val="0"/>
                <w:sz w:val="24"/>
                <w:szCs w:val="24"/>
              </w:rPr>
              <w:t>17.86</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信息技术</w:t>
            </w:r>
          </w:p>
        </w:tc>
        <w:tc>
          <w:tcPr>
            <w:tcW w:w="3119" w:type="dxa"/>
            <w:vAlign w:val="center"/>
          </w:tcPr>
          <w:p w:rsidR="007C7E65" w:rsidRDefault="00E20E02">
            <w:pPr>
              <w:jc w:val="center"/>
            </w:pPr>
            <w:r>
              <w:rPr>
                <w:rFonts w:eastAsiaTheme="minorEastAsia"/>
                <w:color w:val="000000" w:themeColor="text1"/>
                <w:kern w:val="0"/>
                <w:sz w:val="24"/>
                <w:szCs w:val="24"/>
              </w:rPr>
              <w:t>167,650,654.46</w:t>
            </w:r>
          </w:p>
        </w:tc>
        <w:tc>
          <w:tcPr>
            <w:tcW w:w="3118" w:type="dxa"/>
            <w:vAlign w:val="center"/>
          </w:tcPr>
          <w:p w:rsidR="007C7E65" w:rsidRDefault="00E20E02">
            <w:pPr>
              <w:jc w:val="center"/>
            </w:pPr>
            <w:r>
              <w:rPr>
                <w:rFonts w:eastAsiaTheme="minorEastAsia"/>
                <w:color w:val="000000" w:themeColor="text1"/>
                <w:kern w:val="0"/>
                <w:sz w:val="24"/>
                <w:szCs w:val="24"/>
              </w:rPr>
              <w:t>10.83</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电信服务</w:t>
            </w:r>
          </w:p>
        </w:tc>
        <w:tc>
          <w:tcPr>
            <w:tcW w:w="3119" w:type="dxa"/>
            <w:vAlign w:val="center"/>
          </w:tcPr>
          <w:p w:rsidR="007C7E65" w:rsidRDefault="00E20E02">
            <w:pPr>
              <w:jc w:val="center"/>
            </w:pPr>
            <w:r>
              <w:rPr>
                <w:rFonts w:eastAsiaTheme="minorEastAsia"/>
                <w:color w:val="000000" w:themeColor="text1"/>
                <w:kern w:val="0"/>
                <w:sz w:val="24"/>
                <w:szCs w:val="24"/>
              </w:rPr>
              <w:t>26,397,887.31</w:t>
            </w:r>
          </w:p>
        </w:tc>
        <w:tc>
          <w:tcPr>
            <w:tcW w:w="3118" w:type="dxa"/>
            <w:vAlign w:val="center"/>
          </w:tcPr>
          <w:p w:rsidR="007C7E65" w:rsidRDefault="00E20E02">
            <w:pPr>
              <w:jc w:val="center"/>
            </w:pPr>
            <w:r>
              <w:rPr>
                <w:rFonts w:eastAsiaTheme="minorEastAsia"/>
                <w:color w:val="000000" w:themeColor="text1"/>
                <w:kern w:val="0"/>
                <w:sz w:val="24"/>
                <w:szCs w:val="24"/>
              </w:rPr>
              <w:t>1.71</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公用事业</w:t>
            </w:r>
          </w:p>
        </w:tc>
        <w:tc>
          <w:tcPr>
            <w:tcW w:w="3119" w:type="dxa"/>
            <w:vAlign w:val="center"/>
          </w:tcPr>
          <w:p w:rsidR="007C7E65" w:rsidRDefault="00E20E02">
            <w:pPr>
              <w:jc w:val="center"/>
            </w:pPr>
            <w:r>
              <w:rPr>
                <w:rFonts w:eastAsiaTheme="minorEastAsia"/>
                <w:color w:val="000000" w:themeColor="text1"/>
                <w:kern w:val="0"/>
                <w:sz w:val="24"/>
                <w:szCs w:val="24"/>
              </w:rPr>
              <w:t>-</w:t>
            </w:r>
          </w:p>
        </w:tc>
        <w:tc>
          <w:tcPr>
            <w:tcW w:w="3118" w:type="dxa"/>
            <w:vAlign w:val="center"/>
          </w:tcPr>
          <w:p w:rsidR="007C7E65" w:rsidRDefault="00E20E02">
            <w:pPr>
              <w:jc w:val="center"/>
            </w:pPr>
            <w:r>
              <w:rPr>
                <w:rFonts w:eastAsiaTheme="minorEastAsia"/>
                <w:color w:val="000000" w:themeColor="text1"/>
                <w:kern w:val="0"/>
                <w:sz w:val="24"/>
                <w:szCs w:val="24"/>
              </w:rPr>
              <w:t>-</w:t>
            </w:r>
          </w:p>
        </w:tc>
      </w:tr>
      <w:tr w:rsidR="007C7E65">
        <w:trPr>
          <w:jc w:val="center"/>
        </w:trPr>
        <w:tc>
          <w:tcPr>
            <w:tcW w:w="2397" w:type="dxa"/>
            <w:vAlign w:val="center"/>
          </w:tcPr>
          <w:p w:rsidR="007C7E65" w:rsidRDefault="00E20E02">
            <w:pPr>
              <w:jc w:val="center"/>
            </w:pPr>
            <w:r>
              <w:rPr>
                <w:rFonts w:eastAsiaTheme="minorEastAsia"/>
                <w:color w:val="000000" w:themeColor="text1"/>
                <w:kern w:val="0"/>
                <w:sz w:val="24"/>
                <w:szCs w:val="24"/>
              </w:rPr>
              <w:t>房地产</w:t>
            </w:r>
          </w:p>
        </w:tc>
        <w:tc>
          <w:tcPr>
            <w:tcW w:w="3119" w:type="dxa"/>
            <w:vAlign w:val="center"/>
          </w:tcPr>
          <w:p w:rsidR="007C7E65" w:rsidRDefault="00E20E02">
            <w:pPr>
              <w:jc w:val="center"/>
            </w:pPr>
            <w:r>
              <w:rPr>
                <w:rFonts w:eastAsiaTheme="minorEastAsia"/>
                <w:color w:val="000000" w:themeColor="text1"/>
                <w:kern w:val="0"/>
                <w:sz w:val="24"/>
                <w:szCs w:val="24"/>
              </w:rPr>
              <w:t>94,277,679.30</w:t>
            </w:r>
          </w:p>
        </w:tc>
        <w:tc>
          <w:tcPr>
            <w:tcW w:w="3118" w:type="dxa"/>
            <w:vAlign w:val="center"/>
          </w:tcPr>
          <w:p w:rsidR="007C7E65" w:rsidRDefault="00E20E02">
            <w:pPr>
              <w:jc w:val="center"/>
            </w:pPr>
            <w:r>
              <w:rPr>
                <w:rFonts w:eastAsiaTheme="minorEastAsia"/>
                <w:color w:val="000000" w:themeColor="text1"/>
                <w:kern w:val="0"/>
                <w:sz w:val="24"/>
                <w:szCs w:val="24"/>
              </w:rPr>
              <w:t>6.09</w:t>
            </w:r>
          </w:p>
        </w:tc>
      </w:tr>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3119"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1,257,970,830.65</w:t>
            </w:r>
          </w:p>
        </w:tc>
        <w:tc>
          <w:tcPr>
            <w:tcW w:w="3118"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81.28</w:t>
            </w:r>
          </w:p>
        </w:tc>
      </w:tr>
    </w:tbl>
    <w:p w:rsidR="00750D48" w:rsidRPr="008C2A4F" w:rsidRDefault="008C2A4F" w:rsidP="008C2A4F">
      <w:pPr>
        <w:spacing w:line="360" w:lineRule="auto"/>
        <w:ind w:firstLineChars="200" w:firstLine="480"/>
        <w:rPr>
          <w:color w:val="000000"/>
          <w:sz w:val="24"/>
          <w:szCs w:val="24"/>
        </w:rPr>
      </w:pPr>
      <w:r w:rsidRPr="00403A06">
        <w:rPr>
          <w:color w:val="000000"/>
          <w:sz w:val="24"/>
          <w:szCs w:val="24"/>
        </w:rPr>
        <w:t>注：以上分类采用全球行业分类标准（</w:t>
      </w:r>
      <w:r w:rsidRPr="00403A06">
        <w:rPr>
          <w:color w:val="000000"/>
          <w:sz w:val="24"/>
          <w:szCs w:val="24"/>
        </w:rPr>
        <w:t>GICS</w:t>
      </w:r>
      <w:r w:rsidRPr="00403A06">
        <w:rPr>
          <w:color w:val="000000"/>
          <w:sz w:val="24"/>
          <w:szCs w:val="24"/>
        </w:rPr>
        <w:t>）。</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7C7E65">
        <w:tc>
          <w:tcPr>
            <w:tcW w:w="851" w:type="dxa"/>
            <w:vAlign w:val="center"/>
          </w:tcPr>
          <w:p w:rsidR="007C7E65" w:rsidRDefault="00E20E02">
            <w:pPr>
              <w:jc w:val="center"/>
            </w:pPr>
            <w:r>
              <w:rPr>
                <w:color w:val="000000"/>
                <w:kern w:val="0"/>
                <w:sz w:val="24"/>
                <w:szCs w:val="24"/>
              </w:rPr>
              <w:t>1</w:t>
            </w:r>
          </w:p>
        </w:tc>
        <w:tc>
          <w:tcPr>
            <w:tcW w:w="1276" w:type="dxa"/>
            <w:vAlign w:val="center"/>
          </w:tcPr>
          <w:p w:rsidR="007C7E65" w:rsidRDefault="00E20E02">
            <w:pPr>
              <w:jc w:val="center"/>
            </w:pPr>
            <w:r>
              <w:rPr>
                <w:color w:val="000000"/>
                <w:kern w:val="0"/>
                <w:sz w:val="24"/>
                <w:szCs w:val="24"/>
              </w:rPr>
              <w:t>02382</w:t>
            </w:r>
          </w:p>
        </w:tc>
        <w:tc>
          <w:tcPr>
            <w:tcW w:w="1418" w:type="dxa"/>
            <w:vAlign w:val="center"/>
          </w:tcPr>
          <w:p w:rsidR="007C7E65" w:rsidRDefault="00E20E02">
            <w:pPr>
              <w:jc w:val="center"/>
            </w:pPr>
            <w:r>
              <w:rPr>
                <w:color w:val="000000"/>
                <w:kern w:val="0"/>
                <w:sz w:val="24"/>
                <w:szCs w:val="24"/>
              </w:rPr>
              <w:t>舜宇光学科技</w:t>
            </w:r>
          </w:p>
        </w:tc>
        <w:tc>
          <w:tcPr>
            <w:tcW w:w="1701" w:type="dxa"/>
            <w:vAlign w:val="center"/>
          </w:tcPr>
          <w:p w:rsidR="007C7E65" w:rsidRDefault="00E20E02">
            <w:pPr>
              <w:jc w:val="right"/>
            </w:pPr>
            <w:r>
              <w:rPr>
                <w:color w:val="000000"/>
                <w:kern w:val="0"/>
                <w:sz w:val="24"/>
                <w:szCs w:val="24"/>
              </w:rPr>
              <w:t>863,000</w:t>
            </w:r>
          </w:p>
        </w:tc>
        <w:tc>
          <w:tcPr>
            <w:tcW w:w="1984" w:type="dxa"/>
            <w:vAlign w:val="center"/>
          </w:tcPr>
          <w:p w:rsidR="007C7E65" w:rsidRDefault="00E20E02">
            <w:pPr>
              <w:jc w:val="right"/>
            </w:pPr>
            <w:r>
              <w:rPr>
                <w:color w:val="000000"/>
                <w:kern w:val="0"/>
                <w:sz w:val="24"/>
                <w:szCs w:val="24"/>
              </w:rPr>
              <w:t>89,675,669.38</w:t>
            </w:r>
          </w:p>
        </w:tc>
        <w:tc>
          <w:tcPr>
            <w:tcW w:w="1559" w:type="dxa"/>
            <w:vAlign w:val="center"/>
          </w:tcPr>
          <w:p w:rsidR="007C7E65" w:rsidRDefault="00E20E02">
            <w:pPr>
              <w:jc w:val="right"/>
            </w:pPr>
            <w:r>
              <w:rPr>
                <w:color w:val="000000"/>
                <w:kern w:val="0"/>
                <w:sz w:val="24"/>
                <w:szCs w:val="24"/>
              </w:rPr>
              <w:t>5.79</w:t>
            </w:r>
          </w:p>
        </w:tc>
      </w:tr>
      <w:tr w:rsidR="007C7E65">
        <w:tc>
          <w:tcPr>
            <w:tcW w:w="851" w:type="dxa"/>
            <w:vAlign w:val="center"/>
          </w:tcPr>
          <w:p w:rsidR="007C7E65" w:rsidRDefault="00E20E02">
            <w:pPr>
              <w:jc w:val="center"/>
            </w:pPr>
            <w:r>
              <w:rPr>
                <w:color w:val="000000"/>
                <w:kern w:val="0"/>
                <w:sz w:val="24"/>
                <w:szCs w:val="24"/>
              </w:rPr>
              <w:t>2</w:t>
            </w:r>
          </w:p>
        </w:tc>
        <w:tc>
          <w:tcPr>
            <w:tcW w:w="1276" w:type="dxa"/>
            <w:vAlign w:val="center"/>
          </w:tcPr>
          <w:p w:rsidR="007C7E65" w:rsidRDefault="00E20E02">
            <w:pPr>
              <w:jc w:val="center"/>
            </w:pPr>
            <w:r>
              <w:rPr>
                <w:color w:val="000000"/>
                <w:kern w:val="0"/>
                <w:sz w:val="24"/>
                <w:szCs w:val="24"/>
              </w:rPr>
              <w:t>02020</w:t>
            </w:r>
          </w:p>
        </w:tc>
        <w:tc>
          <w:tcPr>
            <w:tcW w:w="1418" w:type="dxa"/>
            <w:vAlign w:val="center"/>
          </w:tcPr>
          <w:p w:rsidR="007C7E65" w:rsidRDefault="00E20E02">
            <w:pPr>
              <w:jc w:val="center"/>
            </w:pPr>
            <w:r>
              <w:rPr>
                <w:color w:val="000000"/>
                <w:kern w:val="0"/>
                <w:sz w:val="24"/>
                <w:szCs w:val="24"/>
              </w:rPr>
              <w:t>安踏体育</w:t>
            </w:r>
          </w:p>
        </w:tc>
        <w:tc>
          <w:tcPr>
            <w:tcW w:w="1701" w:type="dxa"/>
            <w:vAlign w:val="center"/>
          </w:tcPr>
          <w:p w:rsidR="007C7E65" w:rsidRDefault="00E20E02">
            <w:pPr>
              <w:jc w:val="right"/>
            </w:pPr>
            <w:r>
              <w:rPr>
                <w:color w:val="000000"/>
                <w:kern w:val="0"/>
                <w:sz w:val="24"/>
                <w:szCs w:val="24"/>
              </w:rPr>
              <w:t>1,415,000</w:t>
            </w:r>
          </w:p>
        </w:tc>
        <w:tc>
          <w:tcPr>
            <w:tcW w:w="1984" w:type="dxa"/>
            <w:vAlign w:val="center"/>
          </w:tcPr>
          <w:p w:rsidR="007C7E65" w:rsidRDefault="00E20E02">
            <w:pPr>
              <w:jc w:val="right"/>
            </w:pPr>
            <w:r>
              <w:rPr>
                <w:color w:val="000000"/>
                <w:kern w:val="0"/>
                <w:sz w:val="24"/>
                <w:szCs w:val="24"/>
              </w:rPr>
              <w:t>82,770,918.13</w:t>
            </w:r>
          </w:p>
        </w:tc>
        <w:tc>
          <w:tcPr>
            <w:tcW w:w="1559" w:type="dxa"/>
            <w:vAlign w:val="center"/>
          </w:tcPr>
          <w:p w:rsidR="007C7E65" w:rsidRDefault="00E20E02">
            <w:pPr>
              <w:jc w:val="right"/>
            </w:pPr>
            <w:r>
              <w:rPr>
                <w:color w:val="000000"/>
                <w:kern w:val="0"/>
                <w:sz w:val="24"/>
                <w:szCs w:val="24"/>
              </w:rPr>
              <w:t>5.35</w:t>
            </w:r>
          </w:p>
        </w:tc>
      </w:tr>
      <w:tr w:rsidR="007C7E65">
        <w:tc>
          <w:tcPr>
            <w:tcW w:w="851" w:type="dxa"/>
            <w:vAlign w:val="center"/>
          </w:tcPr>
          <w:p w:rsidR="007C7E65" w:rsidRDefault="00E20E02">
            <w:pPr>
              <w:jc w:val="center"/>
            </w:pPr>
            <w:r>
              <w:rPr>
                <w:color w:val="000000"/>
                <w:kern w:val="0"/>
                <w:sz w:val="24"/>
                <w:szCs w:val="24"/>
              </w:rPr>
              <w:t>3</w:t>
            </w:r>
          </w:p>
        </w:tc>
        <w:tc>
          <w:tcPr>
            <w:tcW w:w="1276" w:type="dxa"/>
            <w:vAlign w:val="center"/>
          </w:tcPr>
          <w:p w:rsidR="007C7E65" w:rsidRDefault="00E20E02">
            <w:pPr>
              <w:jc w:val="center"/>
            </w:pPr>
            <w:r>
              <w:rPr>
                <w:color w:val="000000"/>
                <w:kern w:val="0"/>
                <w:sz w:val="24"/>
                <w:szCs w:val="24"/>
              </w:rPr>
              <w:t>02318</w:t>
            </w:r>
          </w:p>
        </w:tc>
        <w:tc>
          <w:tcPr>
            <w:tcW w:w="1418" w:type="dxa"/>
            <w:vAlign w:val="center"/>
          </w:tcPr>
          <w:p w:rsidR="007C7E65" w:rsidRDefault="00E20E02">
            <w:pPr>
              <w:jc w:val="center"/>
            </w:pPr>
            <w:r>
              <w:rPr>
                <w:color w:val="000000"/>
                <w:kern w:val="0"/>
                <w:sz w:val="24"/>
                <w:szCs w:val="24"/>
              </w:rPr>
              <w:t>中国平安</w:t>
            </w:r>
          </w:p>
        </w:tc>
        <w:tc>
          <w:tcPr>
            <w:tcW w:w="1701" w:type="dxa"/>
            <w:vAlign w:val="center"/>
          </w:tcPr>
          <w:p w:rsidR="007C7E65" w:rsidRDefault="00E20E02">
            <w:pPr>
              <w:jc w:val="right"/>
            </w:pPr>
            <w:r>
              <w:rPr>
                <w:color w:val="000000"/>
                <w:kern w:val="0"/>
                <w:sz w:val="24"/>
                <w:szCs w:val="24"/>
              </w:rPr>
              <w:t>994,143</w:t>
            </w:r>
          </w:p>
        </w:tc>
        <w:tc>
          <w:tcPr>
            <w:tcW w:w="1984" w:type="dxa"/>
            <w:vAlign w:val="center"/>
          </w:tcPr>
          <w:p w:rsidR="007C7E65" w:rsidRDefault="00E20E02">
            <w:pPr>
              <w:jc w:val="right"/>
            </w:pPr>
            <w:r>
              <w:rPr>
                <w:color w:val="000000"/>
                <w:kern w:val="0"/>
                <w:sz w:val="24"/>
                <w:szCs w:val="24"/>
              </w:rPr>
              <w:t>80,750,259.82</w:t>
            </w:r>
          </w:p>
        </w:tc>
        <w:tc>
          <w:tcPr>
            <w:tcW w:w="1559" w:type="dxa"/>
            <w:vAlign w:val="center"/>
          </w:tcPr>
          <w:p w:rsidR="007C7E65" w:rsidRDefault="00E20E02">
            <w:pPr>
              <w:jc w:val="right"/>
            </w:pPr>
            <w:r>
              <w:rPr>
                <w:color w:val="000000"/>
                <w:kern w:val="0"/>
                <w:sz w:val="24"/>
                <w:szCs w:val="24"/>
              </w:rPr>
              <w:t>5.22</w:t>
            </w:r>
          </w:p>
        </w:tc>
      </w:tr>
      <w:tr w:rsidR="007C7E65">
        <w:tc>
          <w:tcPr>
            <w:tcW w:w="851" w:type="dxa"/>
            <w:vAlign w:val="center"/>
          </w:tcPr>
          <w:p w:rsidR="007C7E65" w:rsidRDefault="00E20E02">
            <w:pPr>
              <w:jc w:val="center"/>
            </w:pPr>
            <w:r>
              <w:rPr>
                <w:color w:val="000000"/>
                <w:kern w:val="0"/>
                <w:sz w:val="24"/>
                <w:szCs w:val="24"/>
              </w:rPr>
              <w:t>4</w:t>
            </w:r>
          </w:p>
        </w:tc>
        <w:tc>
          <w:tcPr>
            <w:tcW w:w="1276" w:type="dxa"/>
            <w:vAlign w:val="center"/>
          </w:tcPr>
          <w:p w:rsidR="007C7E65" w:rsidRDefault="00E20E02">
            <w:pPr>
              <w:jc w:val="center"/>
            </w:pPr>
            <w:r>
              <w:rPr>
                <w:color w:val="000000"/>
                <w:kern w:val="0"/>
                <w:sz w:val="24"/>
                <w:szCs w:val="24"/>
              </w:rPr>
              <w:t>00522</w:t>
            </w:r>
          </w:p>
        </w:tc>
        <w:tc>
          <w:tcPr>
            <w:tcW w:w="1418" w:type="dxa"/>
            <w:vAlign w:val="center"/>
          </w:tcPr>
          <w:p w:rsidR="007C7E65" w:rsidRDefault="00E20E02">
            <w:pPr>
              <w:jc w:val="center"/>
            </w:pPr>
            <w:r>
              <w:rPr>
                <w:color w:val="000000"/>
                <w:kern w:val="0"/>
                <w:sz w:val="24"/>
                <w:szCs w:val="24"/>
              </w:rPr>
              <w:t>ASM PACIFIC TECHNOLOGY</w:t>
            </w:r>
          </w:p>
        </w:tc>
        <w:tc>
          <w:tcPr>
            <w:tcW w:w="1701" w:type="dxa"/>
            <w:vAlign w:val="center"/>
          </w:tcPr>
          <w:p w:rsidR="007C7E65" w:rsidRDefault="00E20E02">
            <w:pPr>
              <w:jc w:val="right"/>
            </w:pPr>
            <w:r>
              <w:rPr>
                <w:color w:val="000000"/>
                <w:kern w:val="0"/>
                <w:sz w:val="24"/>
                <w:szCs w:val="24"/>
              </w:rPr>
              <w:t>903,300</w:t>
            </w:r>
          </w:p>
        </w:tc>
        <w:tc>
          <w:tcPr>
            <w:tcW w:w="1984" w:type="dxa"/>
            <w:vAlign w:val="center"/>
          </w:tcPr>
          <w:p w:rsidR="007C7E65" w:rsidRDefault="00E20E02">
            <w:pPr>
              <w:jc w:val="right"/>
            </w:pPr>
            <w:r>
              <w:rPr>
                <w:color w:val="000000"/>
                <w:kern w:val="0"/>
                <w:sz w:val="24"/>
                <w:szCs w:val="24"/>
              </w:rPr>
              <w:t>77,974,985.08</w:t>
            </w:r>
          </w:p>
        </w:tc>
        <w:tc>
          <w:tcPr>
            <w:tcW w:w="1559" w:type="dxa"/>
            <w:vAlign w:val="center"/>
          </w:tcPr>
          <w:p w:rsidR="007C7E65" w:rsidRDefault="00E20E02">
            <w:pPr>
              <w:jc w:val="right"/>
            </w:pPr>
            <w:r>
              <w:rPr>
                <w:color w:val="000000"/>
                <w:kern w:val="0"/>
                <w:sz w:val="24"/>
                <w:szCs w:val="24"/>
              </w:rPr>
              <w:t>5.04</w:t>
            </w:r>
          </w:p>
        </w:tc>
      </w:tr>
      <w:tr w:rsidR="007C7E65">
        <w:tc>
          <w:tcPr>
            <w:tcW w:w="851" w:type="dxa"/>
            <w:vAlign w:val="center"/>
          </w:tcPr>
          <w:p w:rsidR="007C7E65" w:rsidRDefault="00E20E02">
            <w:pPr>
              <w:jc w:val="center"/>
            </w:pPr>
            <w:r>
              <w:rPr>
                <w:color w:val="000000"/>
                <w:kern w:val="0"/>
                <w:sz w:val="24"/>
                <w:szCs w:val="24"/>
              </w:rPr>
              <w:t>5</w:t>
            </w:r>
          </w:p>
        </w:tc>
        <w:tc>
          <w:tcPr>
            <w:tcW w:w="1276" w:type="dxa"/>
            <w:vAlign w:val="center"/>
          </w:tcPr>
          <w:p w:rsidR="007C7E65" w:rsidRDefault="00E20E02">
            <w:pPr>
              <w:jc w:val="center"/>
            </w:pPr>
            <w:r>
              <w:rPr>
                <w:color w:val="000000"/>
                <w:kern w:val="0"/>
                <w:sz w:val="24"/>
                <w:szCs w:val="24"/>
              </w:rPr>
              <w:t>600309</w:t>
            </w:r>
          </w:p>
        </w:tc>
        <w:tc>
          <w:tcPr>
            <w:tcW w:w="1418" w:type="dxa"/>
            <w:vAlign w:val="center"/>
          </w:tcPr>
          <w:p w:rsidR="007C7E65" w:rsidRDefault="00E20E02">
            <w:pPr>
              <w:jc w:val="center"/>
            </w:pPr>
            <w:r>
              <w:rPr>
                <w:color w:val="000000"/>
                <w:kern w:val="0"/>
                <w:sz w:val="24"/>
                <w:szCs w:val="24"/>
              </w:rPr>
              <w:t>万华化学</w:t>
            </w:r>
          </w:p>
        </w:tc>
        <w:tc>
          <w:tcPr>
            <w:tcW w:w="1701" w:type="dxa"/>
            <w:vAlign w:val="center"/>
          </w:tcPr>
          <w:p w:rsidR="007C7E65" w:rsidRDefault="00E20E02">
            <w:pPr>
              <w:jc w:val="right"/>
            </w:pPr>
            <w:r>
              <w:rPr>
                <w:color w:val="000000"/>
                <w:kern w:val="0"/>
                <w:sz w:val="24"/>
                <w:szCs w:val="24"/>
              </w:rPr>
              <w:t>1,736,700</w:t>
            </w:r>
          </w:p>
        </w:tc>
        <w:tc>
          <w:tcPr>
            <w:tcW w:w="1984" w:type="dxa"/>
            <w:vAlign w:val="center"/>
          </w:tcPr>
          <w:p w:rsidR="007C7E65" w:rsidRDefault="00E20E02">
            <w:pPr>
              <w:jc w:val="right"/>
            </w:pPr>
            <w:r>
              <w:rPr>
                <w:color w:val="000000"/>
                <w:kern w:val="0"/>
                <w:sz w:val="24"/>
                <w:szCs w:val="24"/>
              </w:rPr>
              <w:t>76,675,305.00</w:t>
            </w:r>
          </w:p>
        </w:tc>
        <w:tc>
          <w:tcPr>
            <w:tcW w:w="1559" w:type="dxa"/>
            <w:vAlign w:val="center"/>
          </w:tcPr>
          <w:p w:rsidR="007C7E65" w:rsidRDefault="00E20E02">
            <w:pPr>
              <w:jc w:val="right"/>
            </w:pPr>
            <w:r>
              <w:rPr>
                <w:color w:val="000000"/>
                <w:kern w:val="0"/>
                <w:sz w:val="24"/>
                <w:szCs w:val="24"/>
              </w:rPr>
              <w:t>4.95</w:t>
            </w:r>
          </w:p>
        </w:tc>
      </w:tr>
      <w:tr w:rsidR="007C7E65">
        <w:tc>
          <w:tcPr>
            <w:tcW w:w="851" w:type="dxa"/>
            <w:vAlign w:val="center"/>
          </w:tcPr>
          <w:p w:rsidR="007C7E65" w:rsidRDefault="00E20E02">
            <w:pPr>
              <w:jc w:val="center"/>
            </w:pPr>
            <w:r>
              <w:rPr>
                <w:color w:val="000000"/>
                <w:kern w:val="0"/>
                <w:sz w:val="24"/>
                <w:szCs w:val="24"/>
              </w:rPr>
              <w:t>6</w:t>
            </w:r>
          </w:p>
        </w:tc>
        <w:tc>
          <w:tcPr>
            <w:tcW w:w="1276" w:type="dxa"/>
            <w:vAlign w:val="center"/>
          </w:tcPr>
          <w:p w:rsidR="007C7E65" w:rsidRDefault="00E20E02">
            <w:pPr>
              <w:jc w:val="center"/>
            </w:pPr>
            <w:r>
              <w:rPr>
                <w:color w:val="000000"/>
                <w:kern w:val="0"/>
                <w:sz w:val="24"/>
                <w:szCs w:val="24"/>
              </w:rPr>
              <w:t>600031</w:t>
            </w:r>
          </w:p>
        </w:tc>
        <w:tc>
          <w:tcPr>
            <w:tcW w:w="1418" w:type="dxa"/>
            <w:vAlign w:val="center"/>
          </w:tcPr>
          <w:p w:rsidR="007C7E65" w:rsidRDefault="00E20E02">
            <w:pPr>
              <w:jc w:val="center"/>
            </w:pPr>
            <w:r>
              <w:rPr>
                <w:color w:val="000000"/>
                <w:kern w:val="0"/>
                <w:sz w:val="24"/>
                <w:szCs w:val="24"/>
              </w:rPr>
              <w:t>三一重工</w:t>
            </w:r>
          </w:p>
        </w:tc>
        <w:tc>
          <w:tcPr>
            <w:tcW w:w="1701" w:type="dxa"/>
            <w:vAlign w:val="center"/>
          </w:tcPr>
          <w:p w:rsidR="007C7E65" w:rsidRDefault="00E20E02">
            <w:pPr>
              <w:jc w:val="right"/>
            </w:pPr>
            <w:r>
              <w:rPr>
                <w:color w:val="000000"/>
                <w:kern w:val="0"/>
                <w:sz w:val="24"/>
                <w:szCs w:val="24"/>
              </w:rPr>
              <w:t>4,960,513</w:t>
            </w:r>
          </w:p>
        </w:tc>
        <w:tc>
          <w:tcPr>
            <w:tcW w:w="1984" w:type="dxa"/>
            <w:vAlign w:val="center"/>
          </w:tcPr>
          <w:p w:rsidR="007C7E65" w:rsidRDefault="00E20E02">
            <w:pPr>
              <w:jc w:val="right"/>
            </w:pPr>
            <w:r>
              <w:rPr>
                <w:color w:val="000000"/>
                <w:kern w:val="0"/>
                <w:sz w:val="24"/>
                <w:szCs w:val="24"/>
              </w:rPr>
              <w:t>70,836,125.64</w:t>
            </w:r>
          </w:p>
        </w:tc>
        <w:tc>
          <w:tcPr>
            <w:tcW w:w="1559" w:type="dxa"/>
            <w:vAlign w:val="center"/>
          </w:tcPr>
          <w:p w:rsidR="007C7E65" w:rsidRDefault="00E20E02">
            <w:pPr>
              <w:jc w:val="right"/>
            </w:pPr>
            <w:r>
              <w:rPr>
                <w:color w:val="000000"/>
                <w:kern w:val="0"/>
                <w:sz w:val="24"/>
                <w:szCs w:val="24"/>
              </w:rPr>
              <w:t>4.58</w:t>
            </w:r>
          </w:p>
        </w:tc>
      </w:tr>
      <w:tr w:rsidR="007C7E65">
        <w:tc>
          <w:tcPr>
            <w:tcW w:w="851" w:type="dxa"/>
            <w:vAlign w:val="center"/>
          </w:tcPr>
          <w:p w:rsidR="007C7E65" w:rsidRDefault="00E20E02">
            <w:pPr>
              <w:jc w:val="center"/>
            </w:pPr>
            <w:r>
              <w:rPr>
                <w:color w:val="000000"/>
                <w:kern w:val="0"/>
                <w:sz w:val="24"/>
                <w:szCs w:val="24"/>
              </w:rPr>
              <w:t>7</w:t>
            </w:r>
          </w:p>
        </w:tc>
        <w:tc>
          <w:tcPr>
            <w:tcW w:w="1276" w:type="dxa"/>
            <w:vAlign w:val="center"/>
          </w:tcPr>
          <w:p w:rsidR="007C7E65" w:rsidRDefault="00E20E02">
            <w:pPr>
              <w:jc w:val="center"/>
            </w:pPr>
            <w:r>
              <w:rPr>
                <w:color w:val="000000"/>
                <w:kern w:val="0"/>
                <w:sz w:val="24"/>
                <w:szCs w:val="24"/>
              </w:rPr>
              <w:t>00291</w:t>
            </w:r>
          </w:p>
        </w:tc>
        <w:tc>
          <w:tcPr>
            <w:tcW w:w="1418" w:type="dxa"/>
            <w:vAlign w:val="center"/>
          </w:tcPr>
          <w:p w:rsidR="007C7E65" w:rsidRDefault="00E20E02">
            <w:pPr>
              <w:jc w:val="center"/>
            </w:pPr>
            <w:r>
              <w:rPr>
                <w:color w:val="000000"/>
                <w:kern w:val="0"/>
                <w:sz w:val="24"/>
                <w:szCs w:val="24"/>
              </w:rPr>
              <w:t>华润啤酒</w:t>
            </w:r>
          </w:p>
        </w:tc>
        <w:tc>
          <w:tcPr>
            <w:tcW w:w="1701" w:type="dxa"/>
            <w:vAlign w:val="center"/>
          </w:tcPr>
          <w:p w:rsidR="007C7E65" w:rsidRDefault="00E20E02">
            <w:pPr>
              <w:jc w:val="right"/>
            </w:pPr>
            <w:r>
              <w:rPr>
                <w:color w:val="000000"/>
                <w:kern w:val="0"/>
                <w:sz w:val="24"/>
                <w:szCs w:val="24"/>
              </w:rPr>
              <w:t>1,566,000</w:t>
            </w:r>
          </w:p>
        </w:tc>
        <w:tc>
          <w:tcPr>
            <w:tcW w:w="1984" w:type="dxa"/>
            <w:vAlign w:val="center"/>
          </w:tcPr>
          <w:p w:rsidR="007C7E65" w:rsidRDefault="00E20E02">
            <w:pPr>
              <w:jc w:val="right"/>
            </w:pPr>
            <w:r>
              <w:rPr>
                <w:color w:val="000000"/>
                <w:kern w:val="0"/>
                <w:sz w:val="24"/>
                <w:szCs w:val="24"/>
              </w:rPr>
              <w:t>58,691,355.27</w:t>
            </w:r>
          </w:p>
        </w:tc>
        <w:tc>
          <w:tcPr>
            <w:tcW w:w="1559" w:type="dxa"/>
            <w:vAlign w:val="center"/>
          </w:tcPr>
          <w:p w:rsidR="007C7E65" w:rsidRDefault="00E20E02">
            <w:pPr>
              <w:jc w:val="right"/>
            </w:pPr>
            <w:r>
              <w:rPr>
                <w:color w:val="000000"/>
                <w:kern w:val="0"/>
                <w:sz w:val="24"/>
                <w:szCs w:val="24"/>
              </w:rPr>
              <w:t>3.79</w:t>
            </w:r>
          </w:p>
        </w:tc>
      </w:tr>
      <w:tr w:rsidR="007C7E65">
        <w:tc>
          <w:tcPr>
            <w:tcW w:w="851" w:type="dxa"/>
            <w:vAlign w:val="center"/>
          </w:tcPr>
          <w:p w:rsidR="007C7E65" w:rsidRDefault="00E20E02">
            <w:pPr>
              <w:jc w:val="center"/>
            </w:pPr>
            <w:r>
              <w:rPr>
                <w:color w:val="000000"/>
                <w:kern w:val="0"/>
                <w:sz w:val="24"/>
                <w:szCs w:val="24"/>
              </w:rPr>
              <w:t>8</w:t>
            </w:r>
          </w:p>
        </w:tc>
        <w:tc>
          <w:tcPr>
            <w:tcW w:w="1276" w:type="dxa"/>
            <w:vAlign w:val="center"/>
          </w:tcPr>
          <w:p w:rsidR="007C7E65" w:rsidRDefault="00E20E02">
            <w:pPr>
              <w:jc w:val="center"/>
            </w:pPr>
            <w:r>
              <w:rPr>
                <w:color w:val="000000"/>
                <w:kern w:val="0"/>
                <w:sz w:val="24"/>
                <w:szCs w:val="24"/>
              </w:rPr>
              <w:t>01579</w:t>
            </w:r>
          </w:p>
        </w:tc>
        <w:tc>
          <w:tcPr>
            <w:tcW w:w="1418" w:type="dxa"/>
            <w:vAlign w:val="center"/>
          </w:tcPr>
          <w:p w:rsidR="007C7E65" w:rsidRDefault="00E20E02">
            <w:pPr>
              <w:jc w:val="center"/>
            </w:pPr>
            <w:r>
              <w:rPr>
                <w:color w:val="000000"/>
                <w:kern w:val="0"/>
                <w:sz w:val="24"/>
                <w:szCs w:val="24"/>
              </w:rPr>
              <w:t>颐海国际</w:t>
            </w:r>
          </w:p>
        </w:tc>
        <w:tc>
          <w:tcPr>
            <w:tcW w:w="1701" w:type="dxa"/>
            <w:vAlign w:val="center"/>
          </w:tcPr>
          <w:p w:rsidR="007C7E65" w:rsidRDefault="00E20E02">
            <w:pPr>
              <w:jc w:val="right"/>
            </w:pPr>
            <w:r>
              <w:rPr>
                <w:color w:val="000000"/>
                <w:kern w:val="0"/>
                <w:sz w:val="24"/>
                <w:szCs w:val="24"/>
              </w:rPr>
              <w:t>1,364,000</w:t>
            </w:r>
          </w:p>
        </w:tc>
        <w:tc>
          <w:tcPr>
            <w:tcW w:w="1984" w:type="dxa"/>
            <w:vAlign w:val="center"/>
          </w:tcPr>
          <w:p w:rsidR="007C7E65" w:rsidRDefault="00E20E02">
            <w:pPr>
              <w:jc w:val="right"/>
            </w:pPr>
            <w:r>
              <w:rPr>
                <w:color w:val="000000"/>
                <w:kern w:val="0"/>
                <w:sz w:val="24"/>
                <w:szCs w:val="24"/>
              </w:rPr>
              <w:t>57,333,920.42</w:t>
            </w:r>
          </w:p>
        </w:tc>
        <w:tc>
          <w:tcPr>
            <w:tcW w:w="1559" w:type="dxa"/>
            <w:vAlign w:val="center"/>
          </w:tcPr>
          <w:p w:rsidR="007C7E65" w:rsidRDefault="00E20E02">
            <w:pPr>
              <w:jc w:val="right"/>
            </w:pPr>
            <w:r>
              <w:rPr>
                <w:color w:val="000000"/>
                <w:kern w:val="0"/>
                <w:sz w:val="24"/>
                <w:szCs w:val="24"/>
              </w:rPr>
              <w:t>3.70</w:t>
            </w:r>
          </w:p>
        </w:tc>
      </w:tr>
      <w:tr w:rsidR="007C7E65">
        <w:tc>
          <w:tcPr>
            <w:tcW w:w="851" w:type="dxa"/>
            <w:vAlign w:val="center"/>
          </w:tcPr>
          <w:p w:rsidR="007C7E65" w:rsidRDefault="00E20E02">
            <w:pPr>
              <w:jc w:val="center"/>
            </w:pPr>
            <w:r>
              <w:rPr>
                <w:color w:val="000000"/>
                <w:kern w:val="0"/>
                <w:sz w:val="24"/>
                <w:szCs w:val="24"/>
              </w:rPr>
              <w:t>9</w:t>
            </w:r>
          </w:p>
        </w:tc>
        <w:tc>
          <w:tcPr>
            <w:tcW w:w="1276" w:type="dxa"/>
            <w:vAlign w:val="center"/>
          </w:tcPr>
          <w:p w:rsidR="007C7E65" w:rsidRDefault="00E20E02">
            <w:pPr>
              <w:jc w:val="center"/>
            </w:pPr>
            <w:r>
              <w:rPr>
                <w:color w:val="000000"/>
                <w:kern w:val="0"/>
                <w:sz w:val="24"/>
                <w:szCs w:val="24"/>
              </w:rPr>
              <w:t>00200</w:t>
            </w:r>
          </w:p>
        </w:tc>
        <w:tc>
          <w:tcPr>
            <w:tcW w:w="1418" w:type="dxa"/>
            <w:vAlign w:val="center"/>
          </w:tcPr>
          <w:p w:rsidR="007C7E65" w:rsidRDefault="00E20E02">
            <w:pPr>
              <w:jc w:val="center"/>
            </w:pPr>
            <w:r>
              <w:rPr>
                <w:color w:val="000000"/>
                <w:kern w:val="0"/>
                <w:sz w:val="24"/>
                <w:szCs w:val="24"/>
              </w:rPr>
              <w:t>新濠国际发展</w:t>
            </w:r>
          </w:p>
        </w:tc>
        <w:tc>
          <w:tcPr>
            <w:tcW w:w="1701" w:type="dxa"/>
            <w:vAlign w:val="center"/>
          </w:tcPr>
          <w:p w:rsidR="007C7E65" w:rsidRDefault="00E20E02">
            <w:pPr>
              <w:jc w:val="right"/>
            </w:pPr>
            <w:r>
              <w:rPr>
                <w:color w:val="000000"/>
                <w:kern w:val="0"/>
                <w:sz w:val="24"/>
                <w:szCs w:val="24"/>
              </w:rPr>
              <w:t>3,386,000</w:t>
            </w:r>
          </w:p>
        </w:tc>
        <w:tc>
          <w:tcPr>
            <w:tcW w:w="1984" w:type="dxa"/>
            <w:vAlign w:val="center"/>
          </w:tcPr>
          <w:p w:rsidR="007C7E65" w:rsidRDefault="00E20E02">
            <w:pPr>
              <w:jc w:val="right"/>
            </w:pPr>
            <w:r>
              <w:rPr>
                <w:color w:val="000000"/>
                <w:kern w:val="0"/>
                <w:sz w:val="24"/>
                <w:szCs w:val="24"/>
              </w:rPr>
              <w:t>56,930,397.23</w:t>
            </w:r>
          </w:p>
        </w:tc>
        <w:tc>
          <w:tcPr>
            <w:tcW w:w="1559" w:type="dxa"/>
            <w:vAlign w:val="center"/>
          </w:tcPr>
          <w:p w:rsidR="007C7E65" w:rsidRDefault="00E20E02">
            <w:pPr>
              <w:jc w:val="right"/>
            </w:pPr>
            <w:r>
              <w:rPr>
                <w:color w:val="000000"/>
                <w:kern w:val="0"/>
                <w:sz w:val="24"/>
                <w:szCs w:val="24"/>
              </w:rPr>
              <w:t>3.68</w:t>
            </w:r>
          </w:p>
        </w:tc>
      </w:tr>
      <w:tr w:rsidR="007C7E65">
        <w:tc>
          <w:tcPr>
            <w:tcW w:w="851" w:type="dxa"/>
            <w:vAlign w:val="center"/>
          </w:tcPr>
          <w:p w:rsidR="007C7E65" w:rsidRDefault="00E20E02">
            <w:pPr>
              <w:jc w:val="center"/>
            </w:pPr>
            <w:r>
              <w:rPr>
                <w:color w:val="000000"/>
                <w:kern w:val="0"/>
                <w:sz w:val="24"/>
                <w:szCs w:val="24"/>
              </w:rPr>
              <w:t>10</w:t>
            </w:r>
          </w:p>
        </w:tc>
        <w:tc>
          <w:tcPr>
            <w:tcW w:w="1276" w:type="dxa"/>
            <w:vAlign w:val="center"/>
          </w:tcPr>
          <w:p w:rsidR="007C7E65" w:rsidRDefault="00E20E02">
            <w:pPr>
              <w:jc w:val="center"/>
            </w:pPr>
            <w:r>
              <w:rPr>
                <w:color w:val="000000"/>
                <w:kern w:val="0"/>
                <w:sz w:val="24"/>
                <w:szCs w:val="24"/>
              </w:rPr>
              <w:t>03968</w:t>
            </w:r>
          </w:p>
        </w:tc>
        <w:tc>
          <w:tcPr>
            <w:tcW w:w="1418" w:type="dxa"/>
            <w:vAlign w:val="center"/>
          </w:tcPr>
          <w:p w:rsidR="007C7E65" w:rsidRDefault="00E20E02">
            <w:pPr>
              <w:jc w:val="center"/>
            </w:pPr>
            <w:r>
              <w:rPr>
                <w:color w:val="000000"/>
                <w:kern w:val="0"/>
                <w:sz w:val="24"/>
                <w:szCs w:val="24"/>
              </w:rPr>
              <w:t>招商银行</w:t>
            </w:r>
          </w:p>
        </w:tc>
        <w:tc>
          <w:tcPr>
            <w:tcW w:w="1701" w:type="dxa"/>
            <w:vAlign w:val="center"/>
          </w:tcPr>
          <w:p w:rsidR="007C7E65" w:rsidRDefault="00E20E02">
            <w:pPr>
              <w:jc w:val="right"/>
            </w:pPr>
            <w:r>
              <w:rPr>
                <w:color w:val="000000"/>
                <w:kern w:val="0"/>
                <w:sz w:val="24"/>
                <w:szCs w:val="24"/>
              </w:rPr>
              <w:t>1,667,000</w:t>
            </w:r>
          </w:p>
        </w:tc>
        <w:tc>
          <w:tcPr>
            <w:tcW w:w="1984" w:type="dxa"/>
            <w:vAlign w:val="center"/>
          </w:tcPr>
          <w:p w:rsidR="007C7E65" w:rsidRDefault="00E20E02">
            <w:pPr>
              <w:jc w:val="right"/>
            </w:pPr>
            <w:r>
              <w:rPr>
                <w:color w:val="000000"/>
                <w:kern w:val="0"/>
                <w:sz w:val="24"/>
                <w:szCs w:val="24"/>
              </w:rPr>
              <w:t>56,086,169.99</w:t>
            </w:r>
          </w:p>
        </w:tc>
        <w:tc>
          <w:tcPr>
            <w:tcW w:w="1559" w:type="dxa"/>
            <w:vAlign w:val="center"/>
          </w:tcPr>
          <w:p w:rsidR="007C7E65" w:rsidRDefault="00E20E02">
            <w:pPr>
              <w:jc w:val="right"/>
            </w:pPr>
            <w:r>
              <w:rPr>
                <w:color w:val="000000"/>
                <w:kern w:val="0"/>
                <w:sz w:val="24"/>
                <w:szCs w:val="24"/>
              </w:rPr>
              <w:t>3.62</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5.11.1招商银行(3968HK)是易方达港股通红利灵活配置混合型证券投资基金的前十大重仓证券之一。2019 年7 月8 日，中国银行保险监督管理委员会上海监管局对招商银行股份有限公司信用卡中心2016 年9 月至2018 年6 月在为部分客户办理信用卡业务时，未遵守总授信额度管理制度的违法违规事实，责令改正，并处罚款20 万元。</w:t>
      </w:r>
    </w:p>
    <w:p w:rsidR="007C7E65" w:rsidRDefault="007C7E65">
      <w:pPr>
        <w:spacing w:line="360" w:lineRule="auto"/>
        <w:rPr>
          <w:rFonts w:ascii="宋体" w:hAnsi="宋体"/>
          <w:color w:val="000000"/>
          <w:sz w:val="24"/>
          <w:szCs w:val="24"/>
        </w:rPr>
      </w:pPr>
    </w:p>
    <w:p w:rsidR="007C7E65" w:rsidRDefault="00E20E02">
      <w:pPr>
        <w:spacing w:line="360" w:lineRule="auto"/>
        <w:rPr>
          <w:rFonts w:ascii="宋体" w:hAnsi="宋体"/>
          <w:color w:val="000000"/>
          <w:sz w:val="24"/>
          <w:szCs w:val="24"/>
        </w:rPr>
      </w:pPr>
      <w:r>
        <w:rPr>
          <w:rFonts w:ascii="宋体" w:hAnsi="宋体"/>
          <w:color w:val="000000"/>
          <w:sz w:val="24"/>
          <w:szCs w:val="24"/>
        </w:rPr>
        <w:t>本基金投资招商银行</w:t>
      </w:r>
      <w:r>
        <w:rPr>
          <w:rFonts w:ascii="宋体" w:hAnsi="宋体"/>
          <w:color w:val="000000"/>
          <w:sz w:val="24"/>
          <w:szCs w:val="24"/>
        </w:rPr>
        <w:t>(3968HK)</w:t>
      </w:r>
      <w:r>
        <w:rPr>
          <w:rFonts w:ascii="宋体" w:hAnsi="宋体"/>
          <w:color w:val="000000"/>
          <w:sz w:val="24"/>
          <w:szCs w:val="24"/>
        </w:rPr>
        <w:t>的投资决策程序符合公司投资制度的规定。除招商银行</w:t>
      </w:r>
      <w:r>
        <w:rPr>
          <w:rFonts w:ascii="宋体" w:hAnsi="宋体"/>
          <w:color w:val="000000"/>
          <w:sz w:val="24"/>
          <w:szCs w:val="24"/>
        </w:rPr>
        <w:t>(3968HK)</w:t>
      </w:r>
      <w:r>
        <w:rPr>
          <w:rFonts w:ascii="宋体" w:hAnsi="宋体"/>
          <w:color w:val="000000"/>
          <w:sz w:val="24"/>
          <w:szCs w:val="24"/>
        </w:rPr>
        <w:t>外，本基金投资</w:t>
      </w:r>
      <w:r>
        <w:rPr>
          <w:rFonts w:ascii="宋体" w:hAnsi="宋体"/>
          <w:color w:val="000000"/>
          <w:sz w:val="24"/>
          <w:szCs w:val="24"/>
        </w:rPr>
        <w:t>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517,971.89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2,749,458.94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21,067.66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133,018.96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3,421,517.45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2,279,461,954.12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42,571,025.72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417,540,203.51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1,904,492,776.33</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0.53</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7C7E65" w:rsidRDefault="00E20E02">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中国证监会准予易方达港股通红利灵活配置混合型证券投资基金注册的文件；</w:t>
      </w:r>
    </w:p>
    <w:p w:rsidR="007C7E65" w:rsidRDefault="00E20E02">
      <w:pPr>
        <w:spacing w:line="360" w:lineRule="auto"/>
        <w:ind w:firstLineChars="200" w:firstLine="480"/>
        <w:rPr>
          <w:color w:val="000000"/>
          <w:sz w:val="24"/>
          <w:szCs w:val="24"/>
        </w:rPr>
      </w:pPr>
      <w:r>
        <w:rPr>
          <w:color w:val="000000"/>
          <w:sz w:val="24"/>
          <w:szCs w:val="24"/>
        </w:rPr>
        <w:t>2.</w:t>
      </w:r>
      <w:r>
        <w:rPr>
          <w:color w:val="000000"/>
          <w:sz w:val="24"/>
          <w:szCs w:val="24"/>
        </w:rPr>
        <w:t>《易方达港股通红利灵活配置混合型证券投资基金基金合同》；</w:t>
      </w:r>
    </w:p>
    <w:p w:rsidR="007C7E65" w:rsidRDefault="00E20E02">
      <w:pPr>
        <w:spacing w:line="360" w:lineRule="auto"/>
        <w:ind w:firstLineChars="200" w:firstLine="480"/>
        <w:rPr>
          <w:color w:val="000000"/>
          <w:sz w:val="24"/>
          <w:szCs w:val="24"/>
        </w:rPr>
      </w:pPr>
      <w:r>
        <w:rPr>
          <w:color w:val="000000"/>
          <w:sz w:val="24"/>
          <w:szCs w:val="24"/>
        </w:rPr>
        <w:t>3.</w:t>
      </w:r>
      <w:r>
        <w:rPr>
          <w:color w:val="000000"/>
          <w:sz w:val="24"/>
          <w:szCs w:val="24"/>
        </w:rPr>
        <w:t>《易方达港股通红利灵活配置混合型证券投资基金托管协议》；</w:t>
      </w:r>
    </w:p>
    <w:p w:rsidR="007C7E65" w:rsidRDefault="00E20E02">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E20E02">
      <w:rPr>
        <w:rStyle w:val="a7"/>
        <w:noProof/>
      </w:rPr>
      <w:t>1</w:t>
    </w:r>
    <w:r>
      <w:rPr>
        <w:rStyle w:val="a7"/>
      </w:rPr>
      <w:fldChar w:fldCharType="end"/>
    </w:r>
    <w:r>
      <w:rPr>
        <w:rStyle w:val="a7"/>
        <w:rFonts w:hint="eastAsia"/>
      </w:rPr>
      <w:t>页共</w:t>
    </w:r>
    <w:r w:rsidR="00E20E02">
      <w:fldChar w:fldCharType="begin"/>
    </w:r>
    <w:r w:rsidR="00E20E02">
      <w:instrText xml:space="preserve"> NUMPAGES  \* Arabic  \* MERGEFORMAT </w:instrText>
    </w:r>
    <w:r w:rsidR="00E20E02">
      <w:fldChar w:fldCharType="separate"/>
    </w:r>
    <w:r w:rsidR="00E20E02" w:rsidRPr="00E20E02">
      <w:rPr>
        <w:rStyle w:val="a7"/>
        <w:noProof/>
      </w:rPr>
      <w:t>3</w:t>
    </w:r>
    <w:r w:rsidR="00E20E02">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E20E02">
      <w:rPr>
        <w:rStyle w:val="a7"/>
        <w:noProof/>
      </w:rPr>
      <w:t>12</w:t>
    </w:r>
    <w:r>
      <w:rPr>
        <w:rStyle w:val="a7"/>
      </w:rPr>
      <w:fldChar w:fldCharType="end"/>
    </w:r>
    <w:r>
      <w:rPr>
        <w:rStyle w:val="a7"/>
        <w:rFonts w:hint="eastAsia"/>
      </w:rPr>
      <w:t>页共</w:t>
    </w:r>
    <w:fldSimple w:instr=" NUMPAGES  \* Arabic  \* MERGEFORMAT ">
      <w:r w:rsidR="00E20E02" w:rsidRPr="00E20E02">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易方达港股通红利灵活配置混合型证券投资基金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C7E65"/>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20E02"/>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9FA6F-999F-4F0B-A982-F591155B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1784</TotalTime>
  <Pages>3</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2019-10-17T02:00:00Z</cp:lastPrinted>
  <dcterms:created xsi:type="dcterms:W3CDTF">2012-10-16T06:07:00Z</dcterms:created>
  <dcterms:modified xsi:type="dcterms:W3CDTF">2019-10-17T02:01:00Z</dcterms:modified>
</cp:coreProperties>
</file>