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易方达恒安定期开放债券型发起式证券投资基金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平安银行股份有限公司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625A6A" w:rsidRDefault="0065797A">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625A6A" w:rsidRDefault="0065797A">
      <w:pPr>
        <w:spacing w:line="360" w:lineRule="auto"/>
        <w:ind w:firstLineChars="200" w:firstLine="480"/>
        <w:rPr>
          <w:color w:val="000000"/>
          <w:sz w:val="24"/>
          <w:szCs w:val="24"/>
        </w:rPr>
      </w:pPr>
      <w:r>
        <w:rPr>
          <w:color w:val="000000"/>
          <w:sz w:val="24"/>
          <w:szCs w:val="24"/>
        </w:rPr>
        <w:t>基金托管人平安银行股份有限公司根据本基金合同规定，于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625A6A" w:rsidRDefault="0065797A">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625A6A" w:rsidRDefault="0065797A">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625A6A" w:rsidRDefault="0065797A">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易方达恒安定开债券发起式</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005439</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005439</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5</w:t>
            </w:r>
            <w:r w:rsidRPr="00232B03">
              <w:rPr>
                <w:color w:val="000000"/>
                <w:kern w:val="0"/>
                <w:sz w:val="24"/>
                <w:szCs w:val="24"/>
              </w:rPr>
              <w:t>月</w:t>
            </w:r>
            <w:r w:rsidRPr="00232B03">
              <w:rPr>
                <w:color w:val="000000"/>
                <w:kern w:val="0"/>
                <w:sz w:val="24"/>
                <w:szCs w:val="24"/>
              </w:rPr>
              <w:t>15</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1,010,000,000.00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基金管理人主要通过分析影响债券市场的各类要素，对债券组合的平均久期、期限结构、类属品种进行有效配置，力争为投资人提供长期稳定的投资回报。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本基金在封闭运作期与开放运作期采取不同的投资策略。封闭期内，本基金将采取积极管理的投资策略，在分析和判断宏观经济运行状况和金融市场</w:t>
            </w:r>
            <w:r w:rsidRPr="00232B03">
              <w:rPr>
                <w:color w:val="000000"/>
                <w:kern w:val="0"/>
                <w:sz w:val="24"/>
                <w:szCs w:val="24"/>
              </w:rPr>
              <w:lastRenderedPageBreak/>
              <w:t>运行趋势的基础上，自上而下地决定债券组合久期及类属配置；同时在严谨深入的信用分析的基础上，自下而上地精选个券，力争获得超越业绩比较基准的投资回报。开放运作期内，本基金为保持较高的组合流动性，方便投资人安排投资，在遵守本基金有关投资限制与投资比例的前提下，将主要投资于高流动性的投资品种，减小基金净值的波动。</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中债新综合指数（全价）收益率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平安银行股份有限公司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13,918,255.04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11,583,854.51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0.0115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1,030,704,487.92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1.0205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625A6A" w:rsidRDefault="0065797A">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625A6A">
        <w:tc>
          <w:tcPr>
            <w:tcW w:w="1395" w:type="dxa"/>
            <w:vAlign w:val="center"/>
          </w:tcPr>
          <w:p w:rsidR="00625A6A" w:rsidRDefault="0065797A">
            <w:pPr>
              <w:jc w:val="left"/>
            </w:pPr>
            <w:r>
              <w:rPr>
                <w:color w:val="000000"/>
                <w:kern w:val="0"/>
                <w:sz w:val="24"/>
                <w:szCs w:val="24"/>
              </w:rPr>
              <w:t>过去三个月</w:t>
            </w:r>
          </w:p>
        </w:tc>
        <w:tc>
          <w:tcPr>
            <w:tcW w:w="1092" w:type="dxa"/>
            <w:vAlign w:val="center"/>
          </w:tcPr>
          <w:p w:rsidR="00625A6A" w:rsidRDefault="0065797A">
            <w:pPr>
              <w:jc w:val="center"/>
            </w:pPr>
            <w:r>
              <w:rPr>
                <w:color w:val="000000"/>
                <w:kern w:val="0"/>
                <w:sz w:val="24"/>
                <w:szCs w:val="24"/>
              </w:rPr>
              <w:t>1.11%</w:t>
            </w:r>
          </w:p>
        </w:tc>
        <w:tc>
          <w:tcPr>
            <w:tcW w:w="1161" w:type="dxa"/>
            <w:vAlign w:val="center"/>
          </w:tcPr>
          <w:p w:rsidR="00625A6A" w:rsidRDefault="0065797A">
            <w:pPr>
              <w:jc w:val="center"/>
            </w:pPr>
            <w:r>
              <w:rPr>
                <w:color w:val="000000"/>
                <w:kern w:val="0"/>
                <w:sz w:val="24"/>
                <w:szCs w:val="24"/>
              </w:rPr>
              <w:t>0.03%</w:t>
            </w:r>
          </w:p>
        </w:tc>
        <w:tc>
          <w:tcPr>
            <w:tcW w:w="1181" w:type="dxa"/>
            <w:vAlign w:val="center"/>
          </w:tcPr>
          <w:p w:rsidR="00625A6A" w:rsidRDefault="0065797A">
            <w:pPr>
              <w:jc w:val="center"/>
            </w:pPr>
            <w:r>
              <w:rPr>
                <w:color w:val="000000"/>
                <w:kern w:val="0"/>
                <w:sz w:val="24"/>
                <w:szCs w:val="24"/>
              </w:rPr>
              <w:t>0.46%</w:t>
            </w:r>
          </w:p>
        </w:tc>
        <w:tc>
          <w:tcPr>
            <w:tcW w:w="1188" w:type="dxa"/>
            <w:vAlign w:val="center"/>
          </w:tcPr>
          <w:p w:rsidR="00625A6A" w:rsidRDefault="0065797A">
            <w:pPr>
              <w:jc w:val="center"/>
            </w:pPr>
            <w:r>
              <w:rPr>
                <w:color w:val="000000"/>
                <w:kern w:val="0"/>
                <w:sz w:val="24"/>
                <w:szCs w:val="24"/>
              </w:rPr>
              <w:t>0.04%</w:t>
            </w:r>
          </w:p>
        </w:tc>
        <w:tc>
          <w:tcPr>
            <w:tcW w:w="1199" w:type="dxa"/>
            <w:vAlign w:val="center"/>
          </w:tcPr>
          <w:p w:rsidR="00625A6A" w:rsidRDefault="0065797A">
            <w:pPr>
              <w:jc w:val="center"/>
            </w:pPr>
            <w:r>
              <w:rPr>
                <w:color w:val="000000"/>
                <w:kern w:val="0"/>
                <w:sz w:val="24"/>
                <w:szCs w:val="24"/>
              </w:rPr>
              <w:t>0.65%</w:t>
            </w:r>
          </w:p>
        </w:tc>
        <w:tc>
          <w:tcPr>
            <w:tcW w:w="1204" w:type="dxa"/>
            <w:vAlign w:val="center"/>
          </w:tcPr>
          <w:p w:rsidR="00625A6A" w:rsidRDefault="0065797A">
            <w:pPr>
              <w:jc w:val="center"/>
            </w:pPr>
            <w:r>
              <w:rPr>
                <w:color w:val="000000"/>
                <w:kern w:val="0"/>
                <w:sz w:val="24"/>
                <w:szCs w:val="24"/>
              </w:rPr>
              <w:t>-0.01%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易方达恒安定期开放债券型发起式证券投资基金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5</w:t>
      </w:r>
      <w:r w:rsidRPr="0074694E">
        <w:rPr>
          <w:rFonts w:ascii="Times New Roman" w:hAnsi="Times New Roman"/>
          <w:sz w:val="24"/>
          <w:szCs w:val="24"/>
        </w:rPr>
        <w:t>月</w:t>
      </w:r>
      <w:r w:rsidRPr="0074694E">
        <w:rPr>
          <w:rFonts w:ascii="Times New Roman" w:hAnsi="Times New Roman"/>
          <w:sz w:val="24"/>
          <w:szCs w:val="24"/>
        </w:rPr>
        <w:t>15</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5797A"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625A6A" w:rsidRDefault="0065797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按基金合同和招募说明书的约定，本基金的建仓期为六个月，建仓期结束时各项资产配置比例符合基金合同（第十二部分二、投资范围，三、投资策略和四、投资限制）的有关约定。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8.12%</w:t>
      </w:r>
      <w:r w:rsidRPr="006C56AA">
        <w:rPr>
          <w:color w:val="000000"/>
          <w:sz w:val="24"/>
          <w:szCs w:val="24"/>
        </w:rPr>
        <w:t>，同期业绩比较基准收益率为</w:t>
      </w:r>
      <w:r w:rsidRPr="006C56AA">
        <w:rPr>
          <w:color w:val="000000"/>
          <w:sz w:val="24"/>
          <w:szCs w:val="24"/>
        </w:rPr>
        <w:t>3.71%</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625A6A">
        <w:tc>
          <w:tcPr>
            <w:tcW w:w="567" w:type="dxa"/>
            <w:vAlign w:val="center"/>
          </w:tcPr>
          <w:p w:rsidR="00625A6A" w:rsidRDefault="0065797A">
            <w:pPr>
              <w:jc w:val="center"/>
            </w:pPr>
            <w:r>
              <w:rPr>
                <w:color w:val="000000"/>
                <w:sz w:val="24"/>
              </w:rPr>
              <w:t>王晓晨</w:t>
            </w:r>
          </w:p>
        </w:tc>
        <w:tc>
          <w:tcPr>
            <w:tcW w:w="2835" w:type="dxa"/>
            <w:vAlign w:val="center"/>
          </w:tcPr>
          <w:p w:rsidR="00625A6A" w:rsidRDefault="0065797A">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w:t>
            </w:r>
            <w:r>
              <w:rPr>
                <w:color w:val="000000"/>
                <w:sz w:val="24"/>
              </w:rPr>
              <w:t>级信用债债券型证券投资基金的基金经理、易方达双债增强债券型证券投资基金的基金经理、易方达恒益定期开放债券型发起式证券投资基金的基金经理（自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w:t>
            </w:r>
            <w:r>
              <w:rPr>
                <w:color w:val="000000"/>
                <w:sz w:val="24"/>
              </w:rPr>
              <w:t>港）有限公司固定收益投资决策委员会委员</w:t>
            </w:r>
          </w:p>
        </w:tc>
        <w:tc>
          <w:tcPr>
            <w:tcW w:w="851" w:type="dxa"/>
            <w:vAlign w:val="center"/>
          </w:tcPr>
          <w:p w:rsidR="00625A6A" w:rsidRDefault="0065797A">
            <w:pPr>
              <w:jc w:val="center"/>
            </w:pPr>
            <w:r>
              <w:rPr>
                <w:color w:val="000000"/>
                <w:sz w:val="24"/>
              </w:rPr>
              <w:t>2018-05-15</w:t>
            </w:r>
          </w:p>
        </w:tc>
        <w:tc>
          <w:tcPr>
            <w:tcW w:w="850" w:type="dxa"/>
            <w:vAlign w:val="center"/>
          </w:tcPr>
          <w:p w:rsidR="00625A6A" w:rsidRDefault="0065797A">
            <w:pPr>
              <w:jc w:val="center"/>
            </w:pPr>
            <w:r>
              <w:rPr>
                <w:color w:val="000000"/>
                <w:sz w:val="24"/>
              </w:rPr>
              <w:t>-</w:t>
            </w:r>
          </w:p>
        </w:tc>
        <w:tc>
          <w:tcPr>
            <w:tcW w:w="851" w:type="dxa"/>
            <w:vAlign w:val="center"/>
          </w:tcPr>
          <w:p w:rsidR="00625A6A" w:rsidRDefault="0065797A">
            <w:pPr>
              <w:jc w:val="center"/>
            </w:pPr>
            <w:r>
              <w:rPr>
                <w:color w:val="000000"/>
                <w:sz w:val="24"/>
              </w:rPr>
              <w:t>16</w:t>
            </w:r>
            <w:r>
              <w:rPr>
                <w:color w:val="000000"/>
                <w:sz w:val="24"/>
              </w:rPr>
              <w:t>年</w:t>
            </w:r>
          </w:p>
        </w:tc>
        <w:tc>
          <w:tcPr>
            <w:tcW w:w="2977" w:type="dxa"/>
            <w:vAlign w:val="center"/>
          </w:tcPr>
          <w:p w:rsidR="00625A6A" w:rsidRDefault="0065797A">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625A6A" w:rsidRDefault="0065797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625A6A" w:rsidRDefault="0065797A">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w:t>
      </w:r>
      <w:r>
        <w:rPr>
          <w:color w:val="000000"/>
          <w:sz w:val="24"/>
          <w:szCs w:val="24"/>
        </w:rPr>
        <w:t>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625A6A" w:rsidRDefault="0065797A">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年三季度宏观经济数据逐步走低，体现为工业增加值数据在</w:t>
      </w:r>
      <w:r>
        <w:rPr>
          <w:color w:val="000000"/>
          <w:sz w:val="24"/>
          <w:szCs w:val="24"/>
        </w:rPr>
        <w:t>7-8</w:t>
      </w:r>
      <w:r>
        <w:rPr>
          <w:color w:val="000000"/>
          <w:sz w:val="24"/>
          <w:szCs w:val="24"/>
        </w:rPr>
        <w:t>月有所走弱，</w:t>
      </w:r>
      <w:r>
        <w:rPr>
          <w:color w:val="000000"/>
          <w:sz w:val="24"/>
          <w:szCs w:val="24"/>
        </w:rPr>
        <w:t>7</w:t>
      </w:r>
      <w:r>
        <w:rPr>
          <w:color w:val="000000"/>
          <w:sz w:val="24"/>
          <w:szCs w:val="24"/>
        </w:rPr>
        <w:t>月工业增加值同比增长</w:t>
      </w:r>
      <w:r>
        <w:rPr>
          <w:color w:val="000000"/>
          <w:sz w:val="24"/>
          <w:szCs w:val="24"/>
        </w:rPr>
        <w:t>4.8%</w:t>
      </w:r>
      <w:r>
        <w:rPr>
          <w:color w:val="000000"/>
          <w:sz w:val="24"/>
          <w:szCs w:val="24"/>
        </w:rPr>
        <w:t>，</w:t>
      </w:r>
      <w:r>
        <w:rPr>
          <w:color w:val="000000"/>
          <w:sz w:val="24"/>
          <w:szCs w:val="24"/>
        </w:rPr>
        <w:t>8</w:t>
      </w:r>
      <w:r>
        <w:rPr>
          <w:color w:val="000000"/>
          <w:sz w:val="24"/>
          <w:szCs w:val="24"/>
        </w:rPr>
        <w:t>月工业增加值同比增长</w:t>
      </w:r>
      <w:r>
        <w:rPr>
          <w:color w:val="000000"/>
          <w:sz w:val="24"/>
          <w:szCs w:val="24"/>
        </w:rPr>
        <w:t>4.4%</w:t>
      </w:r>
      <w:r>
        <w:rPr>
          <w:color w:val="000000"/>
          <w:sz w:val="24"/>
          <w:szCs w:val="24"/>
        </w:rPr>
        <w:t>，均低于预期，显示经济增长动能较弱。投资方面，</w:t>
      </w:r>
      <w:r>
        <w:rPr>
          <w:color w:val="000000"/>
          <w:sz w:val="24"/>
          <w:szCs w:val="24"/>
        </w:rPr>
        <w:t>2019</w:t>
      </w:r>
      <w:r>
        <w:rPr>
          <w:color w:val="000000"/>
          <w:sz w:val="24"/>
          <w:szCs w:val="24"/>
        </w:rPr>
        <w:t>年</w:t>
      </w:r>
      <w:r>
        <w:rPr>
          <w:color w:val="000000"/>
          <w:sz w:val="24"/>
          <w:szCs w:val="24"/>
        </w:rPr>
        <w:t>1-8</w:t>
      </w:r>
      <w:r>
        <w:rPr>
          <w:color w:val="000000"/>
          <w:sz w:val="24"/>
          <w:szCs w:val="24"/>
        </w:rPr>
        <w:t>月份全国固定资产投资同比增长</w:t>
      </w:r>
      <w:r>
        <w:rPr>
          <w:color w:val="000000"/>
          <w:sz w:val="24"/>
          <w:szCs w:val="24"/>
        </w:rPr>
        <w:t>5.5%</w:t>
      </w:r>
      <w:r>
        <w:rPr>
          <w:color w:val="000000"/>
          <w:sz w:val="24"/>
          <w:szCs w:val="24"/>
        </w:rPr>
        <w:t>，增速比</w:t>
      </w:r>
      <w:r>
        <w:rPr>
          <w:color w:val="000000"/>
          <w:sz w:val="24"/>
          <w:szCs w:val="24"/>
        </w:rPr>
        <w:t>1-6</w:t>
      </w:r>
      <w:r>
        <w:rPr>
          <w:color w:val="000000"/>
          <w:sz w:val="24"/>
          <w:szCs w:val="24"/>
        </w:rPr>
        <w:t>月份回落</w:t>
      </w:r>
      <w:r>
        <w:rPr>
          <w:color w:val="000000"/>
          <w:sz w:val="24"/>
          <w:szCs w:val="24"/>
        </w:rPr>
        <w:t>0.3</w:t>
      </w:r>
      <w:r>
        <w:rPr>
          <w:color w:val="000000"/>
          <w:sz w:val="24"/>
          <w:szCs w:val="24"/>
        </w:rPr>
        <w:t>个百分点，投资在</w:t>
      </w:r>
      <w:r>
        <w:rPr>
          <w:color w:val="000000"/>
          <w:sz w:val="24"/>
          <w:szCs w:val="24"/>
        </w:rPr>
        <w:t>7-8</w:t>
      </w:r>
      <w:r>
        <w:rPr>
          <w:color w:val="000000"/>
          <w:sz w:val="24"/>
          <w:szCs w:val="24"/>
        </w:rPr>
        <w:t>月连续两个月下滑，结构上主要是民间投资连续两个月回落明显。消费方面，</w:t>
      </w:r>
      <w:r>
        <w:rPr>
          <w:color w:val="000000"/>
          <w:sz w:val="24"/>
          <w:szCs w:val="24"/>
        </w:rPr>
        <w:t>7</w:t>
      </w:r>
      <w:r>
        <w:rPr>
          <w:color w:val="000000"/>
          <w:sz w:val="24"/>
          <w:szCs w:val="24"/>
        </w:rPr>
        <w:t>月和</w:t>
      </w:r>
      <w:r>
        <w:rPr>
          <w:color w:val="000000"/>
          <w:sz w:val="24"/>
          <w:szCs w:val="24"/>
        </w:rPr>
        <w:t>8</w:t>
      </w:r>
      <w:r>
        <w:rPr>
          <w:color w:val="000000"/>
          <w:sz w:val="24"/>
          <w:szCs w:val="24"/>
        </w:rPr>
        <w:t>月社会消费品零售总额同比增长分别为</w:t>
      </w:r>
      <w:r>
        <w:rPr>
          <w:color w:val="000000"/>
          <w:sz w:val="24"/>
          <w:szCs w:val="24"/>
        </w:rPr>
        <w:t>7.6%</w:t>
      </w:r>
      <w:r>
        <w:rPr>
          <w:color w:val="000000"/>
          <w:sz w:val="24"/>
          <w:szCs w:val="24"/>
        </w:rPr>
        <w:t>和</w:t>
      </w:r>
      <w:r>
        <w:rPr>
          <w:color w:val="000000"/>
          <w:sz w:val="24"/>
          <w:szCs w:val="24"/>
        </w:rPr>
        <w:t>7.5%</w:t>
      </w:r>
      <w:r>
        <w:rPr>
          <w:color w:val="000000"/>
          <w:sz w:val="24"/>
          <w:szCs w:val="24"/>
        </w:rPr>
        <w:t>，与工业数据一致，呈现季末大幅上升、季初大幅回落的数据特征，总体来看较为平稳。通胀方面，</w:t>
      </w:r>
      <w:r>
        <w:rPr>
          <w:color w:val="000000"/>
          <w:sz w:val="24"/>
          <w:szCs w:val="24"/>
        </w:rPr>
        <w:t>7</w:t>
      </w:r>
      <w:r>
        <w:rPr>
          <w:color w:val="000000"/>
          <w:sz w:val="24"/>
          <w:szCs w:val="24"/>
        </w:rPr>
        <w:t>月和</w:t>
      </w:r>
      <w:r>
        <w:rPr>
          <w:color w:val="000000"/>
          <w:sz w:val="24"/>
          <w:szCs w:val="24"/>
        </w:rPr>
        <w:t>8</w:t>
      </w:r>
      <w:r>
        <w:rPr>
          <w:color w:val="000000"/>
          <w:sz w:val="24"/>
          <w:szCs w:val="24"/>
        </w:rPr>
        <w:t>月</w:t>
      </w:r>
      <w:r>
        <w:rPr>
          <w:color w:val="000000"/>
          <w:sz w:val="24"/>
          <w:szCs w:val="24"/>
        </w:rPr>
        <w:t>CPI</w:t>
      </w:r>
      <w:r>
        <w:rPr>
          <w:color w:val="000000"/>
          <w:sz w:val="24"/>
          <w:szCs w:val="24"/>
        </w:rPr>
        <w:t>同比都上涨</w:t>
      </w:r>
      <w:r>
        <w:rPr>
          <w:color w:val="000000"/>
          <w:sz w:val="24"/>
          <w:szCs w:val="24"/>
        </w:rPr>
        <w:t>2.8%</w:t>
      </w:r>
      <w:r>
        <w:rPr>
          <w:color w:val="000000"/>
          <w:sz w:val="24"/>
          <w:szCs w:val="24"/>
        </w:rPr>
        <w:t>，略超市场预期，结构上，主要是食品高于预期，非食品略低于预期，结构分化比较明显，非食品在形成通胀预期方面更为重要，从这个角度来看通胀压力可控。金融数据方面，</w:t>
      </w:r>
      <w:r>
        <w:rPr>
          <w:color w:val="000000"/>
          <w:sz w:val="24"/>
          <w:szCs w:val="24"/>
        </w:rPr>
        <w:t>7</w:t>
      </w:r>
      <w:r>
        <w:rPr>
          <w:color w:val="000000"/>
          <w:sz w:val="24"/>
          <w:szCs w:val="24"/>
        </w:rPr>
        <w:t>月新增社会融资规模数据较差，</w:t>
      </w:r>
      <w:r>
        <w:rPr>
          <w:color w:val="000000"/>
          <w:sz w:val="24"/>
          <w:szCs w:val="24"/>
        </w:rPr>
        <w:t>8</w:t>
      </w:r>
      <w:r>
        <w:rPr>
          <w:color w:val="000000"/>
          <w:sz w:val="24"/>
          <w:szCs w:val="24"/>
        </w:rPr>
        <w:t>月数据较好，是否具有持续性仍有待观察，结构上，表内实体贷款中居民中长期贷款持续表现较好。</w:t>
      </w:r>
    </w:p>
    <w:p w:rsidR="00625A6A" w:rsidRDefault="0065797A">
      <w:pPr>
        <w:spacing w:line="360" w:lineRule="auto"/>
        <w:ind w:firstLineChars="200" w:firstLine="480"/>
        <w:rPr>
          <w:color w:val="000000"/>
          <w:sz w:val="24"/>
          <w:szCs w:val="24"/>
        </w:rPr>
      </w:pPr>
      <w:r>
        <w:rPr>
          <w:color w:val="000000"/>
          <w:sz w:val="24"/>
          <w:szCs w:val="24"/>
        </w:rPr>
        <w:t>债券市场在三季度先涨后跌，呈现震荡走势。</w:t>
      </w:r>
      <w:r>
        <w:rPr>
          <w:color w:val="000000"/>
          <w:sz w:val="24"/>
          <w:szCs w:val="24"/>
        </w:rPr>
        <w:t>7-8</w:t>
      </w:r>
      <w:r>
        <w:rPr>
          <w:color w:val="000000"/>
          <w:sz w:val="24"/>
          <w:szCs w:val="24"/>
        </w:rPr>
        <w:t>月份，资金面在经过半年末后重回宽松，国内基本面数据不及预期，美联储降息预期增强并落实、中美贸易摩擦加剧，在多重利好因素影响下，债券市场持续上涨，</w:t>
      </w:r>
      <w:r>
        <w:rPr>
          <w:color w:val="000000"/>
          <w:sz w:val="24"/>
          <w:szCs w:val="24"/>
        </w:rPr>
        <w:t>10</w:t>
      </w:r>
      <w:r>
        <w:rPr>
          <w:color w:val="000000"/>
          <w:sz w:val="24"/>
          <w:szCs w:val="24"/>
        </w:rPr>
        <w:t>年以上的超长国</w:t>
      </w:r>
      <w:r>
        <w:rPr>
          <w:color w:val="000000"/>
          <w:sz w:val="24"/>
          <w:szCs w:val="24"/>
        </w:rPr>
        <w:t>债表现最佳。</w:t>
      </w:r>
      <w:r>
        <w:rPr>
          <w:color w:val="000000"/>
          <w:sz w:val="24"/>
          <w:szCs w:val="24"/>
        </w:rPr>
        <w:t>9</w:t>
      </w:r>
      <w:r>
        <w:rPr>
          <w:color w:val="000000"/>
          <w:sz w:val="24"/>
          <w:szCs w:val="24"/>
        </w:rPr>
        <w:t>月，中美贸易战呈现缓和迹象，猪价持续上涨推升通胀，债券市场的供给有所增加，从公开市场操作和央行官员的讲话中，均可读出央行对货币政策保持稳健和定力的决心，债券市场短期利好出尽、震荡下跌，结构上中长期债券调整较多，短期债券价格相对稳定。</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本基金在三季度灵活调整组合杠杆和久期，整体保持了中性的杠杆水平和久期，主要配置中短久期高等级信用债，少量参与利率债波段，信用债为本基金贡献最大收益。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1.0205</w:t>
      </w:r>
      <w:r w:rsidRPr="006C56AA">
        <w:rPr>
          <w:color w:val="000000"/>
          <w:sz w:val="24"/>
          <w:szCs w:val="24"/>
        </w:rPr>
        <w:t>元，本报告期份额净值增长率为</w:t>
      </w:r>
      <w:r w:rsidRPr="006C56AA">
        <w:rPr>
          <w:color w:val="000000"/>
          <w:sz w:val="24"/>
          <w:szCs w:val="24"/>
        </w:rPr>
        <w:t>1.11%</w:t>
      </w:r>
      <w:r w:rsidRPr="006C56AA">
        <w:rPr>
          <w:color w:val="000000"/>
          <w:sz w:val="24"/>
          <w:szCs w:val="24"/>
        </w:rPr>
        <w:t>，同期业绩比较基准收益率为</w:t>
      </w:r>
      <w:r w:rsidRPr="006C56AA">
        <w:rPr>
          <w:color w:val="000000"/>
          <w:sz w:val="24"/>
          <w:szCs w:val="24"/>
        </w:rPr>
        <w:t>0.46%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1,352,663,400.00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1,352,663,400.00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20,841,290.81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17,985,094.26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1,391,489,785.07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305,545,000.00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29.64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50,615,000.00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536,287,400.00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52.03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365,286,000.00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35.44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145,545,000.00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14.12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1,352,663,400.00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131.24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625A6A">
        <w:tc>
          <w:tcPr>
            <w:tcW w:w="959" w:type="dxa"/>
            <w:vAlign w:val="center"/>
          </w:tcPr>
          <w:p w:rsidR="00625A6A" w:rsidRDefault="0065797A">
            <w:pPr>
              <w:jc w:val="center"/>
            </w:pPr>
            <w:r>
              <w:rPr>
                <w:color w:val="000000"/>
                <w:kern w:val="0"/>
                <w:sz w:val="24"/>
                <w:szCs w:val="24"/>
              </w:rPr>
              <w:t>1</w:t>
            </w:r>
          </w:p>
        </w:tc>
        <w:tc>
          <w:tcPr>
            <w:tcW w:w="1276" w:type="dxa"/>
            <w:vAlign w:val="center"/>
          </w:tcPr>
          <w:p w:rsidR="00625A6A" w:rsidRDefault="0065797A">
            <w:pPr>
              <w:jc w:val="center"/>
            </w:pPr>
            <w:r>
              <w:rPr>
                <w:color w:val="000000"/>
                <w:kern w:val="0"/>
                <w:sz w:val="24"/>
                <w:szCs w:val="24"/>
              </w:rPr>
              <w:t>1822022</w:t>
            </w:r>
          </w:p>
        </w:tc>
        <w:tc>
          <w:tcPr>
            <w:tcW w:w="1275" w:type="dxa"/>
            <w:vAlign w:val="center"/>
          </w:tcPr>
          <w:p w:rsidR="00625A6A" w:rsidRDefault="0065797A">
            <w:pPr>
              <w:jc w:val="center"/>
            </w:pPr>
            <w:r>
              <w:rPr>
                <w:color w:val="000000"/>
                <w:kern w:val="0"/>
                <w:sz w:val="24"/>
                <w:szCs w:val="24"/>
              </w:rPr>
              <w:t>18</w:t>
            </w:r>
            <w:r>
              <w:rPr>
                <w:color w:val="000000"/>
                <w:kern w:val="0"/>
                <w:sz w:val="24"/>
                <w:szCs w:val="24"/>
              </w:rPr>
              <w:t>浦银租赁债</w:t>
            </w:r>
          </w:p>
        </w:tc>
        <w:tc>
          <w:tcPr>
            <w:tcW w:w="1560" w:type="dxa"/>
            <w:vAlign w:val="center"/>
          </w:tcPr>
          <w:p w:rsidR="00625A6A" w:rsidRDefault="0065797A">
            <w:pPr>
              <w:jc w:val="right"/>
            </w:pPr>
            <w:r>
              <w:rPr>
                <w:color w:val="000000"/>
                <w:kern w:val="0"/>
                <w:sz w:val="24"/>
                <w:szCs w:val="24"/>
              </w:rPr>
              <w:t>1,000,000</w:t>
            </w:r>
          </w:p>
        </w:tc>
        <w:tc>
          <w:tcPr>
            <w:tcW w:w="1984" w:type="dxa"/>
            <w:vAlign w:val="center"/>
          </w:tcPr>
          <w:p w:rsidR="00625A6A" w:rsidRDefault="0065797A">
            <w:pPr>
              <w:jc w:val="right"/>
            </w:pPr>
            <w:r>
              <w:rPr>
                <w:color w:val="000000"/>
                <w:kern w:val="0"/>
                <w:sz w:val="24"/>
                <w:szCs w:val="24"/>
              </w:rPr>
              <w:t>101,960,000.00</w:t>
            </w:r>
          </w:p>
        </w:tc>
        <w:tc>
          <w:tcPr>
            <w:tcW w:w="1474" w:type="dxa"/>
            <w:vAlign w:val="center"/>
          </w:tcPr>
          <w:p w:rsidR="00625A6A" w:rsidRDefault="0065797A">
            <w:pPr>
              <w:jc w:val="right"/>
            </w:pPr>
            <w:r>
              <w:rPr>
                <w:color w:val="000000"/>
                <w:kern w:val="0"/>
                <w:sz w:val="24"/>
                <w:szCs w:val="24"/>
              </w:rPr>
              <w:t>9.89</w:t>
            </w:r>
          </w:p>
        </w:tc>
      </w:tr>
      <w:tr w:rsidR="00625A6A">
        <w:tc>
          <w:tcPr>
            <w:tcW w:w="959" w:type="dxa"/>
            <w:vAlign w:val="center"/>
          </w:tcPr>
          <w:p w:rsidR="00625A6A" w:rsidRDefault="0065797A">
            <w:pPr>
              <w:jc w:val="center"/>
            </w:pPr>
            <w:r>
              <w:rPr>
                <w:color w:val="000000"/>
                <w:kern w:val="0"/>
                <w:sz w:val="24"/>
                <w:szCs w:val="24"/>
              </w:rPr>
              <w:t>2</w:t>
            </w:r>
          </w:p>
        </w:tc>
        <w:tc>
          <w:tcPr>
            <w:tcW w:w="1276" w:type="dxa"/>
            <w:vAlign w:val="center"/>
          </w:tcPr>
          <w:p w:rsidR="00625A6A" w:rsidRDefault="0065797A">
            <w:pPr>
              <w:jc w:val="center"/>
            </w:pPr>
            <w:r>
              <w:rPr>
                <w:color w:val="000000"/>
                <w:kern w:val="0"/>
                <w:sz w:val="24"/>
                <w:szCs w:val="24"/>
              </w:rPr>
              <w:t>111907156</w:t>
            </w:r>
          </w:p>
        </w:tc>
        <w:tc>
          <w:tcPr>
            <w:tcW w:w="1275" w:type="dxa"/>
            <w:vAlign w:val="center"/>
          </w:tcPr>
          <w:p w:rsidR="00625A6A" w:rsidRDefault="0065797A">
            <w:pPr>
              <w:jc w:val="center"/>
            </w:pPr>
            <w:r>
              <w:rPr>
                <w:color w:val="000000"/>
                <w:kern w:val="0"/>
                <w:sz w:val="24"/>
                <w:szCs w:val="24"/>
              </w:rPr>
              <w:t>19</w:t>
            </w:r>
            <w:r>
              <w:rPr>
                <w:color w:val="000000"/>
                <w:kern w:val="0"/>
                <w:sz w:val="24"/>
                <w:szCs w:val="24"/>
              </w:rPr>
              <w:t>招商银行</w:t>
            </w:r>
            <w:r>
              <w:rPr>
                <w:color w:val="000000"/>
                <w:kern w:val="0"/>
                <w:sz w:val="24"/>
                <w:szCs w:val="24"/>
              </w:rPr>
              <w:t>CD156</w:t>
            </w:r>
          </w:p>
        </w:tc>
        <w:tc>
          <w:tcPr>
            <w:tcW w:w="1560" w:type="dxa"/>
            <w:vAlign w:val="center"/>
          </w:tcPr>
          <w:p w:rsidR="00625A6A" w:rsidRDefault="0065797A">
            <w:pPr>
              <w:jc w:val="right"/>
            </w:pPr>
            <w:r>
              <w:rPr>
                <w:color w:val="000000"/>
                <w:kern w:val="0"/>
                <w:sz w:val="24"/>
                <w:szCs w:val="24"/>
              </w:rPr>
              <w:t>1,000,000</w:t>
            </w:r>
          </w:p>
        </w:tc>
        <w:tc>
          <w:tcPr>
            <w:tcW w:w="1984" w:type="dxa"/>
            <w:vAlign w:val="center"/>
          </w:tcPr>
          <w:p w:rsidR="00625A6A" w:rsidRDefault="0065797A">
            <w:pPr>
              <w:jc w:val="right"/>
            </w:pPr>
            <w:r>
              <w:rPr>
                <w:color w:val="000000"/>
                <w:kern w:val="0"/>
                <w:sz w:val="24"/>
                <w:szCs w:val="24"/>
              </w:rPr>
              <w:t>97,020,000.00</w:t>
            </w:r>
          </w:p>
        </w:tc>
        <w:tc>
          <w:tcPr>
            <w:tcW w:w="1474" w:type="dxa"/>
            <w:vAlign w:val="center"/>
          </w:tcPr>
          <w:p w:rsidR="00625A6A" w:rsidRDefault="0065797A">
            <w:pPr>
              <w:jc w:val="right"/>
            </w:pPr>
            <w:r>
              <w:rPr>
                <w:color w:val="000000"/>
                <w:kern w:val="0"/>
                <w:sz w:val="24"/>
                <w:szCs w:val="24"/>
              </w:rPr>
              <w:t>9.41</w:t>
            </w:r>
          </w:p>
        </w:tc>
      </w:tr>
      <w:tr w:rsidR="00625A6A">
        <w:tc>
          <w:tcPr>
            <w:tcW w:w="959" w:type="dxa"/>
            <w:vAlign w:val="center"/>
          </w:tcPr>
          <w:p w:rsidR="00625A6A" w:rsidRDefault="0065797A">
            <w:pPr>
              <w:jc w:val="center"/>
            </w:pPr>
            <w:r>
              <w:rPr>
                <w:color w:val="000000"/>
                <w:kern w:val="0"/>
                <w:sz w:val="24"/>
                <w:szCs w:val="24"/>
              </w:rPr>
              <w:t>3</w:t>
            </w:r>
          </w:p>
        </w:tc>
        <w:tc>
          <w:tcPr>
            <w:tcW w:w="1276" w:type="dxa"/>
            <w:vAlign w:val="center"/>
          </w:tcPr>
          <w:p w:rsidR="00625A6A" w:rsidRDefault="0065797A">
            <w:pPr>
              <w:jc w:val="center"/>
            </w:pPr>
            <w:r>
              <w:rPr>
                <w:color w:val="000000"/>
                <w:kern w:val="0"/>
                <w:sz w:val="24"/>
                <w:szCs w:val="24"/>
              </w:rPr>
              <w:t>1822039</w:t>
            </w:r>
          </w:p>
        </w:tc>
        <w:tc>
          <w:tcPr>
            <w:tcW w:w="1275" w:type="dxa"/>
            <w:vAlign w:val="center"/>
          </w:tcPr>
          <w:p w:rsidR="00625A6A" w:rsidRDefault="0065797A">
            <w:pPr>
              <w:jc w:val="center"/>
            </w:pPr>
            <w:r>
              <w:rPr>
                <w:color w:val="000000"/>
                <w:kern w:val="0"/>
                <w:sz w:val="24"/>
                <w:szCs w:val="24"/>
              </w:rPr>
              <w:t>18</w:t>
            </w:r>
            <w:r>
              <w:rPr>
                <w:color w:val="000000"/>
                <w:kern w:val="0"/>
                <w:sz w:val="24"/>
                <w:szCs w:val="24"/>
              </w:rPr>
              <w:t>上汽通用债</w:t>
            </w:r>
            <w:r>
              <w:rPr>
                <w:color w:val="000000"/>
                <w:kern w:val="0"/>
                <w:sz w:val="24"/>
                <w:szCs w:val="24"/>
              </w:rPr>
              <w:t>02</w:t>
            </w:r>
          </w:p>
        </w:tc>
        <w:tc>
          <w:tcPr>
            <w:tcW w:w="1560" w:type="dxa"/>
            <w:vAlign w:val="center"/>
          </w:tcPr>
          <w:p w:rsidR="00625A6A" w:rsidRDefault="0065797A">
            <w:pPr>
              <w:jc w:val="right"/>
            </w:pPr>
            <w:r>
              <w:rPr>
                <w:color w:val="000000"/>
                <w:kern w:val="0"/>
                <w:sz w:val="24"/>
                <w:szCs w:val="24"/>
              </w:rPr>
              <w:t>900,000</w:t>
            </w:r>
          </w:p>
        </w:tc>
        <w:tc>
          <w:tcPr>
            <w:tcW w:w="1984" w:type="dxa"/>
            <w:vAlign w:val="center"/>
          </w:tcPr>
          <w:p w:rsidR="00625A6A" w:rsidRDefault="0065797A">
            <w:pPr>
              <w:jc w:val="right"/>
            </w:pPr>
            <w:r>
              <w:rPr>
                <w:color w:val="000000"/>
                <w:kern w:val="0"/>
                <w:sz w:val="24"/>
                <w:szCs w:val="24"/>
              </w:rPr>
              <w:t>91,710,000.00</w:t>
            </w:r>
          </w:p>
        </w:tc>
        <w:tc>
          <w:tcPr>
            <w:tcW w:w="1474" w:type="dxa"/>
            <w:vAlign w:val="center"/>
          </w:tcPr>
          <w:p w:rsidR="00625A6A" w:rsidRDefault="0065797A">
            <w:pPr>
              <w:jc w:val="right"/>
            </w:pPr>
            <w:r>
              <w:rPr>
                <w:color w:val="000000"/>
                <w:kern w:val="0"/>
                <w:sz w:val="24"/>
                <w:szCs w:val="24"/>
              </w:rPr>
              <w:t>8.90</w:t>
            </w:r>
          </w:p>
        </w:tc>
      </w:tr>
      <w:tr w:rsidR="00625A6A">
        <w:tc>
          <w:tcPr>
            <w:tcW w:w="959" w:type="dxa"/>
            <w:vAlign w:val="center"/>
          </w:tcPr>
          <w:p w:rsidR="00625A6A" w:rsidRDefault="0065797A">
            <w:pPr>
              <w:jc w:val="center"/>
            </w:pPr>
            <w:r>
              <w:rPr>
                <w:color w:val="000000"/>
                <w:kern w:val="0"/>
                <w:sz w:val="24"/>
                <w:szCs w:val="24"/>
              </w:rPr>
              <w:t>4</w:t>
            </w:r>
          </w:p>
        </w:tc>
        <w:tc>
          <w:tcPr>
            <w:tcW w:w="1276" w:type="dxa"/>
            <w:vAlign w:val="center"/>
          </w:tcPr>
          <w:p w:rsidR="00625A6A" w:rsidRDefault="0065797A">
            <w:pPr>
              <w:jc w:val="center"/>
            </w:pPr>
            <w:r>
              <w:rPr>
                <w:color w:val="000000"/>
                <w:kern w:val="0"/>
                <w:sz w:val="24"/>
                <w:szCs w:val="24"/>
              </w:rPr>
              <w:t>136710</w:t>
            </w:r>
          </w:p>
        </w:tc>
        <w:tc>
          <w:tcPr>
            <w:tcW w:w="1275" w:type="dxa"/>
            <w:vAlign w:val="center"/>
          </w:tcPr>
          <w:p w:rsidR="00625A6A" w:rsidRDefault="0065797A">
            <w:pPr>
              <w:jc w:val="center"/>
            </w:pPr>
            <w:r>
              <w:rPr>
                <w:color w:val="000000"/>
                <w:kern w:val="0"/>
                <w:sz w:val="24"/>
                <w:szCs w:val="24"/>
              </w:rPr>
              <w:t>16</w:t>
            </w:r>
            <w:r>
              <w:rPr>
                <w:color w:val="000000"/>
                <w:kern w:val="0"/>
                <w:sz w:val="24"/>
                <w:szCs w:val="24"/>
              </w:rPr>
              <w:t>福新</w:t>
            </w:r>
            <w:r>
              <w:rPr>
                <w:color w:val="000000"/>
                <w:kern w:val="0"/>
                <w:sz w:val="24"/>
                <w:szCs w:val="24"/>
              </w:rPr>
              <w:t>01</w:t>
            </w:r>
          </w:p>
        </w:tc>
        <w:tc>
          <w:tcPr>
            <w:tcW w:w="1560" w:type="dxa"/>
            <w:vAlign w:val="center"/>
          </w:tcPr>
          <w:p w:rsidR="00625A6A" w:rsidRDefault="0065797A">
            <w:pPr>
              <w:jc w:val="right"/>
            </w:pPr>
            <w:r>
              <w:rPr>
                <w:color w:val="000000"/>
                <w:kern w:val="0"/>
                <w:sz w:val="24"/>
                <w:szCs w:val="24"/>
              </w:rPr>
              <w:t>910,000</w:t>
            </w:r>
          </w:p>
        </w:tc>
        <w:tc>
          <w:tcPr>
            <w:tcW w:w="1984" w:type="dxa"/>
            <w:vAlign w:val="center"/>
          </w:tcPr>
          <w:p w:rsidR="00625A6A" w:rsidRDefault="0065797A">
            <w:pPr>
              <w:jc w:val="right"/>
            </w:pPr>
            <w:r>
              <w:rPr>
                <w:color w:val="000000"/>
                <w:kern w:val="0"/>
                <w:sz w:val="24"/>
                <w:szCs w:val="24"/>
              </w:rPr>
              <w:t>91,127,400.00</w:t>
            </w:r>
          </w:p>
        </w:tc>
        <w:tc>
          <w:tcPr>
            <w:tcW w:w="1474" w:type="dxa"/>
            <w:vAlign w:val="center"/>
          </w:tcPr>
          <w:p w:rsidR="00625A6A" w:rsidRDefault="0065797A">
            <w:pPr>
              <w:jc w:val="right"/>
            </w:pPr>
            <w:r>
              <w:rPr>
                <w:color w:val="000000"/>
                <w:kern w:val="0"/>
                <w:sz w:val="24"/>
                <w:szCs w:val="24"/>
              </w:rPr>
              <w:t>8.84</w:t>
            </w:r>
          </w:p>
        </w:tc>
      </w:tr>
      <w:tr w:rsidR="00625A6A">
        <w:tc>
          <w:tcPr>
            <w:tcW w:w="959" w:type="dxa"/>
            <w:vAlign w:val="center"/>
          </w:tcPr>
          <w:p w:rsidR="00625A6A" w:rsidRDefault="0065797A">
            <w:pPr>
              <w:jc w:val="center"/>
            </w:pPr>
            <w:r>
              <w:rPr>
                <w:color w:val="000000"/>
                <w:kern w:val="0"/>
                <w:sz w:val="24"/>
                <w:szCs w:val="24"/>
              </w:rPr>
              <w:t>5</w:t>
            </w:r>
          </w:p>
        </w:tc>
        <w:tc>
          <w:tcPr>
            <w:tcW w:w="1276" w:type="dxa"/>
            <w:vAlign w:val="center"/>
          </w:tcPr>
          <w:p w:rsidR="00625A6A" w:rsidRDefault="0065797A">
            <w:pPr>
              <w:jc w:val="center"/>
            </w:pPr>
            <w:r>
              <w:rPr>
                <w:color w:val="000000"/>
                <w:kern w:val="0"/>
                <w:sz w:val="24"/>
                <w:szCs w:val="24"/>
              </w:rPr>
              <w:t>1822020</w:t>
            </w:r>
          </w:p>
        </w:tc>
        <w:tc>
          <w:tcPr>
            <w:tcW w:w="1275" w:type="dxa"/>
            <w:vAlign w:val="center"/>
          </w:tcPr>
          <w:p w:rsidR="00625A6A" w:rsidRDefault="0065797A">
            <w:pPr>
              <w:jc w:val="center"/>
            </w:pPr>
            <w:r>
              <w:rPr>
                <w:color w:val="000000"/>
                <w:kern w:val="0"/>
                <w:sz w:val="24"/>
                <w:szCs w:val="24"/>
              </w:rPr>
              <w:t>18</w:t>
            </w:r>
            <w:r>
              <w:rPr>
                <w:color w:val="000000"/>
                <w:kern w:val="0"/>
                <w:sz w:val="24"/>
                <w:szCs w:val="24"/>
              </w:rPr>
              <w:t>招银租赁债</w:t>
            </w:r>
            <w:r>
              <w:rPr>
                <w:color w:val="000000"/>
                <w:kern w:val="0"/>
                <w:sz w:val="24"/>
                <w:szCs w:val="24"/>
              </w:rPr>
              <w:t>03</w:t>
            </w:r>
          </w:p>
        </w:tc>
        <w:tc>
          <w:tcPr>
            <w:tcW w:w="1560" w:type="dxa"/>
            <w:vAlign w:val="center"/>
          </w:tcPr>
          <w:p w:rsidR="00625A6A" w:rsidRDefault="0065797A">
            <w:pPr>
              <w:jc w:val="right"/>
            </w:pPr>
            <w:r>
              <w:rPr>
                <w:color w:val="000000"/>
                <w:kern w:val="0"/>
                <w:sz w:val="24"/>
                <w:szCs w:val="24"/>
              </w:rPr>
              <w:t>600,000</w:t>
            </w:r>
          </w:p>
        </w:tc>
        <w:tc>
          <w:tcPr>
            <w:tcW w:w="1984" w:type="dxa"/>
            <w:vAlign w:val="center"/>
          </w:tcPr>
          <w:p w:rsidR="00625A6A" w:rsidRDefault="0065797A">
            <w:pPr>
              <w:jc w:val="right"/>
            </w:pPr>
            <w:r>
              <w:rPr>
                <w:color w:val="000000"/>
                <w:kern w:val="0"/>
                <w:sz w:val="24"/>
                <w:szCs w:val="24"/>
              </w:rPr>
              <w:t>61,260,000.00</w:t>
            </w:r>
          </w:p>
        </w:tc>
        <w:tc>
          <w:tcPr>
            <w:tcW w:w="1474" w:type="dxa"/>
            <w:vAlign w:val="center"/>
          </w:tcPr>
          <w:p w:rsidR="00625A6A" w:rsidRDefault="0065797A">
            <w:pPr>
              <w:jc w:val="right"/>
            </w:pPr>
            <w:r>
              <w:rPr>
                <w:color w:val="000000"/>
                <w:kern w:val="0"/>
                <w:sz w:val="24"/>
                <w:szCs w:val="24"/>
              </w:rPr>
              <w:t>5.94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5.11.118浦银租赁债（代码：1822022）是易方达恒安定期开放债券型发起式证券投资基金的前十大持仓证券。2019年8月15日，中国银行保险监督管理委员会上海监管局对浦银金融租赁股份有限公司违规提供政府性融资的行为作出行政处罚决定：“责令改正，并处罚款50万元”。</w:t>
      </w:r>
    </w:p>
    <w:p w:rsidR="00625A6A" w:rsidRDefault="0065797A">
      <w:pPr>
        <w:spacing w:line="360" w:lineRule="auto"/>
        <w:rPr>
          <w:rFonts w:ascii="宋体" w:hAnsi="宋体"/>
          <w:color w:val="000000"/>
          <w:sz w:val="24"/>
          <w:szCs w:val="24"/>
        </w:rPr>
      </w:pPr>
      <w:r>
        <w:rPr>
          <w:rFonts w:ascii="宋体" w:hAnsi="宋体"/>
          <w:color w:val="000000"/>
          <w:sz w:val="24"/>
          <w:szCs w:val="24"/>
        </w:rPr>
        <w:t>19</w:t>
      </w:r>
      <w:r>
        <w:rPr>
          <w:rFonts w:ascii="宋体" w:hAnsi="宋体"/>
          <w:color w:val="000000"/>
          <w:sz w:val="24"/>
          <w:szCs w:val="24"/>
        </w:rPr>
        <w:t>招商银行</w:t>
      </w:r>
      <w:r>
        <w:rPr>
          <w:rFonts w:ascii="宋体" w:hAnsi="宋体"/>
          <w:color w:val="000000"/>
          <w:sz w:val="24"/>
          <w:szCs w:val="24"/>
        </w:rPr>
        <w:t>CD156</w:t>
      </w:r>
      <w:r>
        <w:rPr>
          <w:rFonts w:ascii="宋体" w:hAnsi="宋体"/>
          <w:color w:val="000000"/>
          <w:sz w:val="24"/>
          <w:szCs w:val="24"/>
        </w:rPr>
        <w:t>（代码：</w:t>
      </w:r>
      <w:r>
        <w:rPr>
          <w:rFonts w:ascii="宋体" w:hAnsi="宋体"/>
          <w:color w:val="000000"/>
          <w:sz w:val="24"/>
          <w:szCs w:val="24"/>
        </w:rPr>
        <w:t>111907156</w:t>
      </w:r>
      <w:r>
        <w:rPr>
          <w:rFonts w:ascii="宋体" w:hAnsi="宋体"/>
          <w:color w:val="000000"/>
          <w:sz w:val="24"/>
          <w:szCs w:val="24"/>
        </w:rPr>
        <w:t>）是易方达恒安定期开放债券型发起式证券投资基金</w:t>
      </w:r>
      <w:r>
        <w:rPr>
          <w:rFonts w:ascii="宋体" w:hAnsi="宋体"/>
          <w:color w:val="000000"/>
          <w:sz w:val="24"/>
          <w:szCs w:val="24"/>
        </w:rPr>
        <w:t>的前十大持仓证券。</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8</w:t>
      </w:r>
      <w:r>
        <w:rPr>
          <w:rFonts w:ascii="宋体" w:hAnsi="宋体"/>
          <w:color w:val="000000"/>
          <w:sz w:val="24"/>
          <w:szCs w:val="24"/>
        </w:rPr>
        <w:t>日，中国银行保险监督管理委员会上海监管局针对招商银行股份有限公司信用卡中心在为部分客户办理信用卡业务时未遵守总授信额度管理制度的行为，对招商银行股份有限公司处以责令改正，并处罚款</w:t>
      </w:r>
      <w:r>
        <w:rPr>
          <w:rFonts w:ascii="宋体" w:hAnsi="宋体"/>
          <w:color w:val="000000"/>
          <w:sz w:val="24"/>
          <w:szCs w:val="24"/>
        </w:rPr>
        <w:t>20</w:t>
      </w:r>
      <w:r>
        <w:rPr>
          <w:rFonts w:ascii="宋体" w:hAnsi="宋体"/>
          <w:color w:val="000000"/>
          <w:sz w:val="24"/>
          <w:szCs w:val="24"/>
        </w:rPr>
        <w:t>万元。</w:t>
      </w:r>
    </w:p>
    <w:p w:rsidR="00625A6A" w:rsidRDefault="0065797A">
      <w:pPr>
        <w:spacing w:line="360" w:lineRule="auto"/>
        <w:rPr>
          <w:rFonts w:ascii="宋体" w:hAnsi="宋体"/>
          <w:color w:val="000000"/>
          <w:sz w:val="24"/>
          <w:szCs w:val="24"/>
        </w:rPr>
      </w:pPr>
      <w:r>
        <w:rPr>
          <w:rFonts w:ascii="宋体" w:hAnsi="宋体"/>
          <w:color w:val="000000"/>
          <w:sz w:val="24"/>
          <w:szCs w:val="24"/>
        </w:rPr>
        <w:t>18</w:t>
      </w:r>
      <w:r>
        <w:rPr>
          <w:rFonts w:ascii="宋体" w:hAnsi="宋体"/>
          <w:color w:val="000000"/>
          <w:sz w:val="24"/>
          <w:szCs w:val="24"/>
        </w:rPr>
        <w:t>上汽通用债</w:t>
      </w:r>
      <w:r>
        <w:rPr>
          <w:rFonts w:ascii="宋体" w:hAnsi="宋体"/>
          <w:color w:val="000000"/>
          <w:sz w:val="24"/>
          <w:szCs w:val="24"/>
        </w:rPr>
        <w:t>02</w:t>
      </w:r>
      <w:r>
        <w:rPr>
          <w:rFonts w:ascii="宋体" w:hAnsi="宋体"/>
          <w:color w:val="000000"/>
          <w:sz w:val="24"/>
          <w:szCs w:val="24"/>
        </w:rPr>
        <w:t>（代码：</w:t>
      </w:r>
      <w:r>
        <w:rPr>
          <w:rFonts w:ascii="宋体" w:hAnsi="宋体"/>
          <w:color w:val="000000"/>
          <w:sz w:val="24"/>
          <w:szCs w:val="24"/>
        </w:rPr>
        <w:t>1822039</w:t>
      </w:r>
      <w:r>
        <w:rPr>
          <w:rFonts w:ascii="宋体" w:hAnsi="宋体"/>
          <w:color w:val="000000"/>
          <w:sz w:val="24"/>
          <w:szCs w:val="24"/>
        </w:rPr>
        <w:t>）是易方达恒安定期开放债券型发起式证券投资基金的前十大持仓证券。</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10</w:t>
      </w:r>
      <w:r>
        <w:rPr>
          <w:rFonts w:ascii="宋体" w:hAnsi="宋体"/>
          <w:color w:val="000000"/>
          <w:sz w:val="24"/>
          <w:szCs w:val="24"/>
        </w:rPr>
        <w:t>月</w:t>
      </w:r>
      <w:r>
        <w:rPr>
          <w:rFonts w:ascii="宋体" w:hAnsi="宋体"/>
          <w:color w:val="000000"/>
          <w:sz w:val="24"/>
          <w:szCs w:val="24"/>
        </w:rPr>
        <w:t>18</w:t>
      </w:r>
      <w:r>
        <w:rPr>
          <w:rFonts w:ascii="宋体" w:hAnsi="宋体"/>
          <w:color w:val="000000"/>
          <w:sz w:val="24"/>
          <w:szCs w:val="24"/>
        </w:rPr>
        <w:t>日，中国银行业监督管理委员会上海监管局对上汽通用汽车金融有限责任公司未在营业场所公示《金融许可证》的行为</w:t>
      </w:r>
      <w:r>
        <w:rPr>
          <w:rFonts w:ascii="宋体" w:hAnsi="宋体"/>
          <w:color w:val="000000"/>
          <w:sz w:val="24"/>
          <w:szCs w:val="24"/>
        </w:rPr>
        <w:t>,</w:t>
      </w:r>
      <w:r>
        <w:rPr>
          <w:rFonts w:ascii="宋体" w:hAnsi="宋体"/>
          <w:color w:val="000000"/>
          <w:sz w:val="24"/>
          <w:szCs w:val="24"/>
        </w:rPr>
        <w:t>作出</w:t>
      </w:r>
      <w:r>
        <w:rPr>
          <w:rFonts w:ascii="宋体" w:hAnsi="宋体"/>
          <w:color w:val="000000"/>
          <w:sz w:val="24"/>
          <w:szCs w:val="24"/>
        </w:rPr>
        <w:t>“</w:t>
      </w:r>
      <w:r>
        <w:rPr>
          <w:rFonts w:ascii="宋体" w:hAnsi="宋体"/>
          <w:color w:val="000000"/>
          <w:sz w:val="24"/>
          <w:szCs w:val="24"/>
        </w:rPr>
        <w:t>责令限期改正，给予警告</w:t>
      </w:r>
      <w:r>
        <w:rPr>
          <w:rFonts w:ascii="宋体" w:hAnsi="宋体"/>
          <w:color w:val="000000"/>
          <w:sz w:val="24"/>
          <w:szCs w:val="24"/>
        </w:rPr>
        <w:t>”</w:t>
      </w:r>
      <w:r>
        <w:rPr>
          <w:rFonts w:ascii="宋体" w:hAnsi="宋体"/>
          <w:color w:val="000000"/>
          <w:sz w:val="24"/>
          <w:szCs w:val="24"/>
        </w:rPr>
        <w:t>的行政处罚决定。</w:t>
      </w:r>
    </w:p>
    <w:p w:rsidR="00625A6A" w:rsidRDefault="0065797A">
      <w:pPr>
        <w:spacing w:line="360" w:lineRule="auto"/>
        <w:rPr>
          <w:rFonts w:ascii="宋体" w:hAnsi="宋体"/>
          <w:color w:val="000000"/>
          <w:sz w:val="24"/>
          <w:szCs w:val="24"/>
        </w:rPr>
      </w:pPr>
      <w:r>
        <w:rPr>
          <w:rFonts w:ascii="宋体" w:hAnsi="宋体"/>
          <w:color w:val="000000"/>
          <w:sz w:val="24"/>
          <w:szCs w:val="24"/>
        </w:rPr>
        <w:t>18</w:t>
      </w:r>
      <w:r>
        <w:rPr>
          <w:rFonts w:ascii="宋体" w:hAnsi="宋体"/>
          <w:color w:val="000000"/>
          <w:sz w:val="24"/>
          <w:szCs w:val="24"/>
        </w:rPr>
        <w:t>招银租赁债</w:t>
      </w:r>
      <w:r>
        <w:rPr>
          <w:rFonts w:ascii="宋体" w:hAnsi="宋体"/>
          <w:color w:val="000000"/>
          <w:sz w:val="24"/>
          <w:szCs w:val="24"/>
        </w:rPr>
        <w:t>03</w:t>
      </w:r>
      <w:r>
        <w:rPr>
          <w:rFonts w:ascii="宋体" w:hAnsi="宋体"/>
          <w:color w:val="000000"/>
          <w:sz w:val="24"/>
          <w:szCs w:val="24"/>
        </w:rPr>
        <w:t>（代码：</w:t>
      </w:r>
      <w:r>
        <w:rPr>
          <w:rFonts w:ascii="宋体" w:hAnsi="宋体"/>
          <w:color w:val="000000"/>
          <w:sz w:val="24"/>
          <w:szCs w:val="24"/>
        </w:rPr>
        <w:t>1822020</w:t>
      </w:r>
      <w:r>
        <w:rPr>
          <w:rFonts w:ascii="宋体" w:hAnsi="宋体"/>
          <w:color w:val="000000"/>
          <w:sz w:val="24"/>
          <w:szCs w:val="24"/>
        </w:rPr>
        <w:t>）是易方达恒安定期开放债券型发起式证券投资基金的前十大持仓证券。</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8</w:t>
      </w:r>
      <w:r>
        <w:rPr>
          <w:rFonts w:ascii="宋体" w:hAnsi="宋体"/>
          <w:color w:val="000000"/>
          <w:sz w:val="24"/>
          <w:szCs w:val="24"/>
        </w:rPr>
        <w:t>月</w:t>
      </w:r>
      <w:r>
        <w:rPr>
          <w:rFonts w:ascii="宋体" w:hAnsi="宋体"/>
          <w:color w:val="000000"/>
          <w:sz w:val="24"/>
          <w:szCs w:val="24"/>
        </w:rPr>
        <w:t>13</w:t>
      </w:r>
      <w:r>
        <w:rPr>
          <w:rFonts w:ascii="宋体" w:hAnsi="宋体"/>
          <w:color w:val="000000"/>
          <w:sz w:val="24"/>
          <w:szCs w:val="24"/>
        </w:rPr>
        <w:t>日，中国银行保险监督管理委员会上海监管局对招银金融租赁股份有限公司违规提供政府性融资的行为作出行政处罚决定：</w:t>
      </w:r>
      <w:r>
        <w:rPr>
          <w:rFonts w:ascii="宋体" w:hAnsi="宋体"/>
          <w:color w:val="000000"/>
          <w:sz w:val="24"/>
          <w:szCs w:val="24"/>
        </w:rPr>
        <w:t>“</w:t>
      </w:r>
      <w:r>
        <w:rPr>
          <w:rFonts w:ascii="宋体" w:hAnsi="宋体"/>
          <w:color w:val="000000"/>
          <w:sz w:val="24"/>
          <w:szCs w:val="24"/>
        </w:rPr>
        <w:t>责令改正，并处罚款</w:t>
      </w:r>
      <w:r>
        <w:rPr>
          <w:rFonts w:ascii="宋体" w:hAnsi="宋体"/>
          <w:color w:val="000000"/>
          <w:sz w:val="24"/>
          <w:szCs w:val="24"/>
        </w:rPr>
        <w:t>50</w:t>
      </w:r>
      <w:r>
        <w:rPr>
          <w:rFonts w:ascii="宋体" w:hAnsi="宋体"/>
          <w:color w:val="000000"/>
          <w:sz w:val="24"/>
          <w:szCs w:val="24"/>
        </w:rPr>
        <w:t>万元</w:t>
      </w:r>
      <w:r>
        <w:rPr>
          <w:rFonts w:ascii="宋体" w:hAnsi="宋体"/>
          <w:color w:val="000000"/>
          <w:sz w:val="24"/>
          <w:szCs w:val="24"/>
        </w:rPr>
        <w:t>”</w:t>
      </w:r>
      <w:r>
        <w:rPr>
          <w:rFonts w:ascii="宋体" w:hAnsi="宋体"/>
          <w:color w:val="000000"/>
          <w:sz w:val="24"/>
          <w:szCs w:val="24"/>
        </w:rPr>
        <w:t>。</w:t>
      </w:r>
    </w:p>
    <w:p w:rsidR="00625A6A" w:rsidRDefault="0065797A">
      <w:pPr>
        <w:spacing w:line="360" w:lineRule="auto"/>
        <w:rPr>
          <w:rFonts w:ascii="宋体" w:hAnsi="宋体"/>
          <w:color w:val="000000"/>
          <w:sz w:val="24"/>
          <w:szCs w:val="24"/>
        </w:rPr>
      </w:pPr>
      <w:r>
        <w:rPr>
          <w:rFonts w:ascii="宋体" w:hAnsi="宋体"/>
          <w:color w:val="000000"/>
          <w:sz w:val="24"/>
          <w:szCs w:val="24"/>
        </w:rPr>
        <w:t>18</w:t>
      </w:r>
      <w:r>
        <w:rPr>
          <w:rFonts w:ascii="宋体" w:hAnsi="宋体"/>
          <w:color w:val="000000"/>
          <w:sz w:val="24"/>
          <w:szCs w:val="24"/>
        </w:rPr>
        <w:t>保利房产</w:t>
      </w:r>
      <w:r>
        <w:rPr>
          <w:rFonts w:ascii="宋体" w:hAnsi="宋体"/>
          <w:color w:val="000000"/>
          <w:sz w:val="24"/>
          <w:szCs w:val="24"/>
        </w:rPr>
        <w:t>MTN003</w:t>
      </w:r>
      <w:r>
        <w:rPr>
          <w:rFonts w:ascii="宋体" w:hAnsi="宋体"/>
          <w:color w:val="000000"/>
          <w:sz w:val="24"/>
          <w:szCs w:val="24"/>
        </w:rPr>
        <w:t>（代码：</w:t>
      </w:r>
      <w:r>
        <w:rPr>
          <w:rFonts w:ascii="宋体" w:hAnsi="宋体"/>
          <w:color w:val="000000"/>
          <w:sz w:val="24"/>
          <w:szCs w:val="24"/>
        </w:rPr>
        <w:t>101800733</w:t>
      </w:r>
      <w:r>
        <w:rPr>
          <w:rFonts w:ascii="宋体" w:hAnsi="宋体"/>
          <w:color w:val="000000"/>
          <w:sz w:val="24"/>
          <w:szCs w:val="24"/>
        </w:rPr>
        <w:t>）是易方达恒安定期开放债券型发起式证券投资基金的前十大持仓证券。</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8</w:t>
      </w:r>
      <w:r>
        <w:rPr>
          <w:rFonts w:ascii="宋体" w:hAnsi="宋体"/>
          <w:color w:val="000000"/>
          <w:sz w:val="24"/>
          <w:szCs w:val="24"/>
        </w:rPr>
        <w:t>月</w:t>
      </w:r>
      <w:r>
        <w:rPr>
          <w:rFonts w:ascii="宋体" w:hAnsi="宋体"/>
          <w:color w:val="000000"/>
          <w:sz w:val="24"/>
          <w:szCs w:val="24"/>
        </w:rPr>
        <w:t>26</w:t>
      </w:r>
      <w:r>
        <w:rPr>
          <w:rFonts w:ascii="宋体" w:hAnsi="宋体"/>
          <w:color w:val="000000"/>
          <w:sz w:val="24"/>
          <w:szCs w:val="24"/>
        </w:rPr>
        <w:t>日，国家税务总局广州市税务局第三税务分局对保利发展控股集团股份有限公司违反税收管理规定的行为，作出</w:t>
      </w:r>
      <w:r>
        <w:rPr>
          <w:rFonts w:ascii="宋体" w:hAnsi="宋体"/>
          <w:color w:val="000000"/>
          <w:sz w:val="24"/>
          <w:szCs w:val="24"/>
        </w:rPr>
        <w:t>“</w:t>
      </w:r>
      <w:r>
        <w:rPr>
          <w:rFonts w:ascii="宋体" w:hAnsi="宋体"/>
          <w:color w:val="000000"/>
          <w:sz w:val="24"/>
          <w:szCs w:val="24"/>
        </w:rPr>
        <w:t>罚款</w:t>
      </w:r>
      <w:r>
        <w:rPr>
          <w:rFonts w:ascii="宋体" w:hAnsi="宋体"/>
          <w:color w:val="000000"/>
          <w:sz w:val="24"/>
          <w:szCs w:val="24"/>
        </w:rPr>
        <w:t>2000</w:t>
      </w:r>
      <w:r>
        <w:rPr>
          <w:rFonts w:ascii="宋体" w:hAnsi="宋体"/>
          <w:color w:val="000000"/>
          <w:sz w:val="24"/>
          <w:szCs w:val="24"/>
        </w:rPr>
        <w:t>元整</w:t>
      </w:r>
      <w:r>
        <w:rPr>
          <w:rFonts w:ascii="宋体" w:hAnsi="宋体"/>
          <w:color w:val="000000"/>
          <w:sz w:val="24"/>
          <w:szCs w:val="24"/>
        </w:rPr>
        <w:t>”</w:t>
      </w:r>
      <w:r>
        <w:rPr>
          <w:rFonts w:ascii="宋体" w:hAnsi="宋体"/>
          <w:color w:val="000000"/>
          <w:sz w:val="24"/>
          <w:szCs w:val="24"/>
        </w:rPr>
        <w:t>的行政处罚决定。</w:t>
      </w:r>
    </w:p>
    <w:p w:rsidR="00625A6A" w:rsidRDefault="0065797A">
      <w:pPr>
        <w:spacing w:line="360" w:lineRule="auto"/>
        <w:rPr>
          <w:rFonts w:ascii="宋体" w:hAnsi="宋体"/>
          <w:color w:val="000000"/>
          <w:sz w:val="24"/>
          <w:szCs w:val="24"/>
        </w:rPr>
      </w:pPr>
      <w:r>
        <w:rPr>
          <w:rFonts w:ascii="宋体" w:hAnsi="宋体"/>
          <w:color w:val="000000"/>
          <w:sz w:val="24"/>
          <w:szCs w:val="24"/>
        </w:rPr>
        <w:t>本基金投资</w:t>
      </w:r>
      <w:r>
        <w:rPr>
          <w:rFonts w:ascii="宋体" w:hAnsi="宋体"/>
          <w:color w:val="000000"/>
          <w:sz w:val="24"/>
          <w:szCs w:val="24"/>
        </w:rPr>
        <w:t>18</w:t>
      </w:r>
      <w:r>
        <w:rPr>
          <w:rFonts w:ascii="宋体" w:hAnsi="宋体"/>
          <w:color w:val="000000"/>
          <w:sz w:val="24"/>
          <w:szCs w:val="24"/>
        </w:rPr>
        <w:t>浦银租赁债、</w:t>
      </w:r>
      <w:r>
        <w:rPr>
          <w:rFonts w:ascii="宋体" w:hAnsi="宋体"/>
          <w:color w:val="000000"/>
          <w:sz w:val="24"/>
          <w:szCs w:val="24"/>
        </w:rPr>
        <w:t>19</w:t>
      </w:r>
      <w:r>
        <w:rPr>
          <w:rFonts w:ascii="宋体" w:hAnsi="宋体"/>
          <w:color w:val="000000"/>
          <w:sz w:val="24"/>
          <w:szCs w:val="24"/>
        </w:rPr>
        <w:t>招商银行</w:t>
      </w:r>
      <w:r>
        <w:rPr>
          <w:rFonts w:ascii="宋体" w:hAnsi="宋体"/>
          <w:color w:val="000000"/>
          <w:sz w:val="24"/>
          <w:szCs w:val="24"/>
        </w:rPr>
        <w:t>CD156</w:t>
      </w:r>
      <w:r>
        <w:rPr>
          <w:rFonts w:ascii="宋体" w:hAnsi="宋体"/>
          <w:color w:val="000000"/>
          <w:sz w:val="24"/>
          <w:szCs w:val="24"/>
        </w:rPr>
        <w:t>、</w:t>
      </w:r>
      <w:r>
        <w:rPr>
          <w:rFonts w:ascii="宋体" w:hAnsi="宋体"/>
          <w:color w:val="000000"/>
          <w:sz w:val="24"/>
          <w:szCs w:val="24"/>
        </w:rPr>
        <w:t>18</w:t>
      </w:r>
      <w:r>
        <w:rPr>
          <w:rFonts w:ascii="宋体" w:hAnsi="宋体"/>
          <w:color w:val="000000"/>
          <w:sz w:val="24"/>
          <w:szCs w:val="24"/>
        </w:rPr>
        <w:t>上汽通用债</w:t>
      </w:r>
      <w:r>
        <w:rPr>
          <w:rFonts w:ascii="宋体" w:hAnsi="宋体"/>
          <w:color w:val="000000"/>
          <w:sz w:val="24"/>
          <w:szCs w:val="24"/>
        </w:rPr>
        <w:t>02</w:t>
      </w:r>
      <w:r>
        <w:rPr>
          <w:rFonts w:ascii="宋体" w:hAnsi="宋体"/>
          <w:color w:val="000000"/>
          <w:sz w:val="24"/>
          <w:szCs w:val="24"/>
        </w:rPr>
        <w:t>、</w:t>
      </w:r>
      <w:r>
        <w:rPr>
          <w:rFonts w:ascii="宋体" w:hAnsi="宋体"/>
          <w:color w:val="000000"/>
          <w:sz w:val="24"/>
          <w:szCs w:val="24"/>
        </w:rPr>
        <w:t>18</w:t>
      </w:r>
      <w:r>
        <w:rPr>
          <w:rFonts w:ascii="宋体" w:hAnsi="宋体"/>
          <w:color w:val="000000"/>
          <w:sz w:val="24"/>
          <w:szCs w:val="24"/>
        </w:rPr>
        <w:t>招银租赁债</w:t>
      </w:r>
      <w:r>
        <w:rPr>
          <w:rFonts w:ascii="宋体" w:hAnsi="宋体"/>
          <w:color w:val="000000"/>
          <w:sz w:val="24"/>
          <w:szCs w:val="24"/>
        </w:rPr>
        <w:t>03</w:t>
      </w:r>
      <w:r>
        <w:rPr>
          <w:rFonts w:ascii="宋体" w:hAnsi="宋体"/>
          <w:color w:val="000000"/>
          <w:sz w:val="24"/>
          <w:szCs w:val="24"/>
        </w:rPr>
        <w:t>、</w:t>
      </w:r>
      <w:r>
        <w:rPr>
          <w:rFonts w:ascii="宋体" w:hAnsi="宋体"/>
          <w:color w:val="000000"/>
          <w:sz w:val="24"/>
          <w:szCs w:val="24"/>
        </w:rPr>
        <w:t>18</w:t>
      </w:r>
      <w:r>
        <w:rPr>
          <w:rFonts w:ascii="宋体" w:hAnsi="宋体"/>
          <w:color w:val="000000"/>
          <w:sz w:val="24"/>
          <w:szCs w:val="24"/>
        </w:rPr>
        <w:t>保利房产</w:t>
      </w:r>
      <w:r>
        <w:rPr>
          <w:rFonts w:ascii="宋体" w:hAnsi="宋体"/>
          <w:color w:val="000000"/>
          <w:sz w:val="24"/>
          <w:szCs w:val="24"/>
        </w:rPr>
        <w:t>MTN003</w:t>
      </w:r>
      <w:r>
        <w:rPr>
          <w:rFonts w:ascii="宋体" w:hAnsi="宋体"/>
          <w:color w:val="000000"/>
          <w:sz w:val="24"/>
          <w:szCs w:val="24"/>
        </w:rPr>
        <w:t>的投资决策程序符合公司投资制度的规定。</w:t>
      </w:r>
    </w:p>
    <w:p w:rsidR="00625A6A" w:rsidRDefault="0065797A">
      <w:pPr>
        <w:spacing w:line="360" w:lineRule="auto"/>
        <w:rPr>
          <w:rFonts w:ascii="宋体" w:hAnsi="宋体"/>
          <w:color w:val="000000"/>
          <w:sz w:val="24"/>
          <w:szCs w:val="24"/>
        </w:rPr>
      </w:pPr>
      <w:r>
        <w:rPr>
          <w:rFonts w:ascii="宋体" w:hAnsi="宋体"/>
          <w:color w:val="000000"/>
          <w:sz w:val="24"/>
          <w:szCs w:val="24"/>
        </w:rPr>
        <w:t>除</w:t>
      </w:r>
      <w:r>
        <w:rPr>
          <w:rFonts w:ascii="宋体" w:hAnsi="宋体"/>
          <w:color w:val="000000"/>
          <w:sz w:val="24"/>
          <w:szCs w:val="24"/>
        </w:rPr>
        <w:t>18</w:t>
      </w:r>
      <w:r>
        <w:rPr>
          <w:rFonts w:ascii="宋体" w:hAnsi="宋体"/>
          <w:color w:val="000000"/>
          <w:sz w:val="24"/>
          <w:szCs w:val="24"/>
        </w:rPr>
        <w:t>浦银租赁债、</w:t>
      </w:r>
      <w:r>
        <w:rPr>
          <w:rFonts w:ascii="宋体" w:hAnsi="宋体"/>
          <w:color w:val="000000"/>
          <w:sz w:val="24"/>
          <w:szCs w:val="24"/>
        </w:rPr>
        <w:t>19</w:t>
      </w:r>
      <w:r>
        <w:rPr>
          <w:rFonts w:ascii="宋体" w:hAnsi="宋体"/>
          <w:color w:val="000000"/>
          <w:sz w:val="24"/>
          <w:szCs w:val="24"/>
        </w:rPr>
        <w:t>招商银行</w:t>
      </w:r>
      <w:r>
        <w:rPr>
          <w:rFonts w:ascii="宋体" w:hAnsi="宋体"/>
          <w:color w:val="000000"/>
          <w:sz w:val="24"/>
          <w:szCs w:val="24"/>
        </w:rPr>
        <w:t>CD156</w:t>
      </w:r>
      <w:r>
        <w:rPr>
          <w:rFonts w:ascii="宋体" w:hAnsi="宋体"/>
          <w:color w:val="000000"/>
          <w:sz w:val="24"/>
          <w:szCs w:val="24"/>
        </w:rPr>
        <w:t>、</w:t>
      </w:r>
      <w:r>
        <w:rPr>
          <w:rFonts w:ascii="宋体" w:hAnsi="宋体"/>
          <w:color w:val="000000"/>
          <w:sz w:val="24"/>
          <w:szCs w:val="24"/>
        </w:rPr>
        <w:t>18</w:t>
      </w:r>
      <w:r>
        <w:rPr>
          <w:rFonts w:ascii="宋体" w:hAnsi="宋体"/>
          <w:color w:val="000000"/>
          <w:sz w:val="24"/>
          <w:szCs w:val="24"/>
        </w:rPr>
        <w:t>上汽通用债</w:t>
      </w:r>
      <w:r>
        <w:rPr>
          <w:rFonts w:ascii="宋体" w:hAnsi="宋体"/>
          <w:color w:val="000000"/>
          <w:sz w:val="24"/>
          <w:szCs w:val="24"/>
        </w:rPr>
        <w:t>02</w:t>
      </w:r>
      <w:r>
        <w:rPr>
          <w:rFonts w:ascii="宋体" w:hAnsi="宋体"/>
          <w:color w:val="000000"/>
          <w:sz w:val="24"/>
          <w:szCs w:val="24"/>
        </w:rPr>
        <w:t>、</w:t>
      </w:r>
      <w:r>
        <w:rPr>
          <w:rFonts w:ascii="宋体" w:hAnsi="宋体"/>
          <w:color w:val="000000"/>
          <w:sz w:val="24"/>
          <w:szCs w:val="24"/>
        </w:rPr>
        <w:t>18</w:t>
      </w:r>
      <w:r>
        <w:rPr>
          <w:rFonts w:ascii="宋体" w:hAnsi="宋体"/>
          <w:color w:val="000000"/>
          <w:sz w:val="24"/>
          <w:szCs w:val="24"/>
        </w:rPr>
        <w:t>招银租赁债</w:t>
      </w:r>
      <w:r>
        <w:rPr>
          <w:rFonts w:ascii="宋体" w:hAnsi="宋体"/>
          <w:color w:val="000000"/>
          <w:sz w:val="24"/>
          <w:szCs w:val="24"/>
        </w:rPr>
        <w:t>03</w:t>
      </w:r>
      <w:r>
        <w:rPr>
          <w:rFonts w:ascii="宋体" w:hAnsi="宋体"/>
          <w:color w:val="000000"/>
          <w:sz w:val="24"/>
          <w:szCs w:val="24"/>
        </w:rPr>
        <w:t>、</w:t>
      </w:r>
      <w:r>
        <w:rPr>
          <w:rFonts w:ascii="宋体" w:hAnsi="宋体"/>
          <w:color w:val="000000"/>
          <w:sz w:val="24"/>
          <w:szCs w:val="24"/>
        </w:rPr>
        <w:t>18</w:t>
      </w:r>
      <w:r>
        <w:rPr>
          <w:rFonts w:ascii="宋体" w:hAnsi="宋体"/>
          <w:color w:val="000000"/>
          <w:sz w:val="24"/>
          <w:szCs w:val="24"/>
        </w:rPr>
        <w:t>保利房产</w:t>
      </w:r>
      <w:r>
        <w:rPr>
          <w:rFonts w:ascii="宋体" w:hAnsi="宋体"/>
          <w:color w:val="000000"/>
          <w:sz w:val="24"/>
          <w:szCs w:val="24"/>
        </w:rPr>
        <w:t>MTN003</w:t>
      </w:r>
      <w:r>
        <w:rPr>
          <w:rFonts w:ascii="宋体" w:hAnsi="宋体"/>
          <w:color w:val="000000"/>
          <w:sz w:val="24"/>
          <w:szCs w:val="24"/>
        </w:rPr>
        <w:t>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8,903.42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17,976,190.84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17,985,094.26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1,010,000,000.00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1,010,000,000.00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0.99</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0.9901%</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0.9901%</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0.9901%</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0.9901%</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625A6A">
        <w:trPr>
          <w:jc w:val="center"/>
        </w:trPr>
        <w:tc>
          <w:tcPr>
            <w:tcW w:w="1798" w:type="dxa"/>
            <w:vMerge w:val="restart"/>
            <w:vAlign w:val="center"/>
          </w:tcPr>
          <w:p w:rsidR="00625A6A" w:rsidRDefault="0065797A">
            <w:r>
              <w:rPr>
                <w:rFonts w:eastAsiaTheme="minorEastAsia"/>
                <w:bCs/>
                <w:color w:val="000000" w:themeColor="text1"/>
                <w:sz w:val="24"/>
                <w:szCs w:val="24"/>
              </w:rPr>
              <w:t>机构</w:t>
            </w:r>
          </w:p>
        </w:tc>
        <w:tc>
          <w:tcPr>
            <w:tcW w:w="709" w:type="dxa"/>
            <w:vAlign w:val="center"/>
          </w:tcPr>
          <w:p w:rsidR="00625A6A" w:rsidRDefault="0065797A">
            <w:pPr>
              <w:jc w:val="center"/>
            </w:pPr>
            <w:r>
              <w:rPr>
                <w:sz w:val="24"/>
                <w:szCs w:val="24"/>
              </w:rPr>
              <w:t>1</w:t>
            </w:r>
          </w:p>
        </w:tc>
        <w:tc>
          <w:tcPr>
            <w:tcW w:w="1985" w:type="dxa"/>
            <w:vAlign w:val="center"/>
          </w:tcPr>
          <w:p w:rsidR="00625A6A" w:rsidRDefault="0065797A">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625A6A" w:rsidRDefault="0065797A">
            <w:pPr>
              <w:jc w:val="center"/>
            </w:pPr>
            <w:r>
              <w:rPr>
                <w:sz w:val="24"/>
                <w:szCs w:val="24"/>
              </w:rPr>
              <w:t>1,000,000,000.00</w:t>
            </w:r>
          </w:p>
        </w:tc>
        <w:tc>
          <w:tcPr>
            <w:tcW w:w="992" w:type="dxa"/>
            <w:vAlign w:val="center"/>
          </w:tcPr>
          <w:p w:rsidR="00625A6A" w:rsidRDefault="0065797A">
            <w:pPr>
              <w:jc w:val="center"/>
            </w:pPr>
            <w:r>
              <w:rPr>
                <w:sz w:val="24"/>
                <w:szCs w:val="24"/>
              </w:rPr>
              <w:t>-</w:t>
            </w:r>
          </w:p>
        </w:tc>
        <w:tc>
          <w:tcPr>
            <w:tcW w:w="1134" w:type="dxa"/>
            <w:vAlign w:val="center"/>
          </w:tcPr>
          <w:p w:rsidR="00625A6A" w:rsidRDefault="0065797A">
            <w:pPr>
              <w:jc w:val="center"/>
            </w:pPr>
            <w:r>
              <w:rPr>
                <w:sz w:val="24"/>
                <w:szCs w:val="24"/>
              </w:rPr>
              <w:t>-</w:t>
            </w:r>
          </w:p>
        </w:tc>
        <w:tc>
          <w:tcPr>
            <w:tcW w:w="1037" w:type="dxa"/>
            <w:vAlign w:val="center"/>
          </w:tcPr>
          <w:p w:rsidR="00625A6A" w:rsidRDefault="0065797A">
            <w:pPr>
              <w:jc w:val="center"/>
            </w:pPr>
            <w:r>
              <w:rPr>
                <w:sz w:val="24"/>
                <w:szCs w:val="24"/>
              </w:rPr>
              <w:t>1,000,000,000.00</w:t>
            </w:r>
          </w:p>
        </w:tc>
        <w:tc>
          <w:tcPr>
            <w:tcW w:w="851" w:type="dxa"/>
            <w:vAlign w:val="center"/>
          </w:tcPr>
          <w:p w:rsidR="00625A6A" w:rsidRDefault="0065797A">
            <w:pPr>
              <w:jc w:val="center"/>
            </w:pPr>
            <w:r>
              <w:rPr>
                <w:sz w:val="24"/>
                <w:szCs w:val="24"/>
              </w:rPr>
              <w:t>99.01%</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本基金基金合同生效满三年后继续存续时，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9.2 影响投资者决策的其他重要信息</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1</w:t>
      </w:r>
      <w:r>
        <w:rPr>
          <w:rFonts w:eastAsiaTheme="minorEastAsia"/>
          <w:color w:val="000000" w:themeColor="text1"/>
          <w:sz w:val="24"/>
          <w:szCs w:val="24"/>
        </w:rPr>
        <w:t>、定期开放运作的风险</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以定期开放方式运作且不上市交易，投资者仅可在开放运作期申赎基金份额，在封闭运作期内无法申购赎回。若投资者在开放运作期未赎回基金份额，则需继续持有至下一封闭运作期结束才能赎回，投资者在封闭运作期内存在无法赎回基金份额的风险。</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）基金合同生效后的首个运作期为封闭运作期，自基金合同生效日至基金管理人规定的时间，首个封闭运作期可能少于或者超过</w:t>
      </w:r>
      <w:r>
        <w:rPr>
          <w:rFonts w:eastAsiaTheme="minorEastAsia"/>
          <w:color w:val="000000" w:themeColor="text1"/>
          <w:sz w:val="24"/>
          <w:szCs w:val="24"/>
        </w:rPr>
        <w:t>3</w:t>
      </w:r>
      <w:r>
        <w:rPr>
          <w:rFonts w:eastAsiaTheme="minorEastAsia"/>
          <w:color w:val="000000" w:themeColor="text1"/>
          <w:sz w:val="24"/>
          <w:szCs w:val="24"/>
        </w:rPr>
        <w:t>个月，投资者应仔细阅读相关法律文件及公告，并及时行使相关权利。</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3</w:t>
      </w:r>
      <w:r>
        <w:rPr>
          <w:rFonts w:eastAsiaTheme="minorEastAsia"/>
          <w:color w:val="000000" w:themeColor="text1"/>
          <w:sz w:val="24"/>
          <w:szCs w:val="24"/>
        </w:rPr>
        <w:t>）除首个运作期封闭运作外，本基金的运作期包含</w:t>
      </w:r>
      <w:r>
        <w:rPr>
          <w:rFonts w:eastAsiaTheme="minorEastAsia"/>
          <w:color w:val="000000" w:themeColor="text1"/>
          <w:sz w:val="24"/>
          <w:szCs w:val="24"/>
        </w:rPr>
        <w:t>“</w:t>
      </w:r>
      <w:r>
        <w:rPr>
          <w:rFonts w:eastAsiaTheme="minorEastAsia"/>
          <w:color w:val="000000" w:themeColor="text1"/>
          <w:sz w:val="24"/>
          <w:szCs w:val="24"/>
        </w:rPr>
        <w:t>封闭运作期</w:t>
      </w:r>
      <w:r>
        <w:rPr>
          <w:rFonts w:eastAsiaTheme="minorEastAsia"/>
          <w:color w:val="000000" w:themeColor="text1"/>
          <w:sz w:val="24"/>
          <w:szCs w:val="24"/>
        </w:rPr>
        <w:t>”</w:t>
      </w:r>
      <w:r>
        <w:rPr>
          <w:rFonts w:eastAsiaTheme="minorEastAsia"/>
          <w:color w:val="000000" w:themeColor="text1"/>
          <w:sz w:val="24"/>
          <w:szCs w:val="24"/>
        </w:rPr>
        <w:t>和</w:t>
      </w:r>
      <w:r>
        <w:rPr>
          <w:rFonts w:eastAsiaTheme="minorEastAsia"/>
          <w:color w:val="000000" w:themeColor="text1"/>
          <w:sz w:val="24"/>
          <w:szCs w:val="24"/>
        </w:rPr>
        <w:t>“</w:t>
      </w:r>
      <w:r>
        <w:rPr>
          <w:rFonts w:eastAsiaTheme="minorEastAsia"/>
          <w:color w:val="000000" w:themeColor="text1"/>
          <w:sz w:val="24"/>
          <w:szCs w:val="24"/>
        </w:rPr>
        <w:t>开放运作期</w:t>
      </w:r>
      <w:r>
        <w:rPr>
          <w:rFonts w:eastAsiaTheme="minorEastAsia"/>
          <w:color w:val="000000" w:themeColor="text1"/>
          <w:sz w:val="24"/>
          <w:szCs w:val="24"/>
        </w:rPr>
        <w:t>”</w:t>
      </w:r>
      <w:r>
        <w:rPr>
          <w:rFonts w:eastAsiaTheme="minorEastAsia"/>
          <w:color w:val="000000" w:themeColor="text1"/>
          <w:sz w:val="24"/>
          <w:szCs w:val="24"/>
        </w:rPr>
        <w:t>，运作期期限</w:t>
      </w:r>
      <w:r>
        <w:rPr>
          <w:rFonts w:eastAsiaTheme="minorEastAsia"/>
          <w:color w:val="000000" w:themeColor="text1"/>
          <w:sz w:val="24"/>
          <w:szCs w:val="24"/>
        </w:rPr>
        <w:t>3</w:t>
      </w:r>
      <w:r>
        <w:rPr>
          <w:rFonts w:eastAsiaTheme="minorEastAsia"/>
          <w:color w:val="000000" w:themeColor="text1"/>
          <w:sz w:val="24"/>
          <w:szCs w:val="24"/>
        </w:rPr>
        <w:t>个月，基金管理人在每个封闭运作期结束前公布开放运作期和下一封闭运作期的具体时间安排，由于市场环境等因素的影响，本基金每次开放运作期和封闭运作期的时间及长度不完全一样，投资者应关注相关公告并及时行使权利，否则会面临无法申购</w:t>
      </w:r>
      <w:r>
        <w:rPr>
          <w:rFonts w:eastAsiaTheme="minorEastAsia"/>
          <w:color w:val="000000" w:themeColor="text1"/>
          <w:sz w:val="24"/>
          <w:szCs w:val="24"/>
        </w:rPr>
        <w:t>/</w:t>
      </w:r>
      <w:r>
        <w:rPr>
          <w:rFonts w:eastAsiaTheme="minorEastAsia"/>
          <w:color w:val="000000" w:themeColor="text1"/>
          <w:sz w:val="24"/>
          <w:szCs w:val="24"/>
        </w:rPr>
        <w:t>赎回基金份额的风</w:t>
      </w:r>
      <w:r>
        <w:rPr>
          <w:rFonts w:eastAsiaTheme="minorEastAsia"/>
          <w:color w:val="000000" w:themeColor="text1"/>
          <w:sz w:val="24"/>
          <w:szCs w:val="24"/>
        </w:rPr>
        <w:t>险。</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2</w:t>
      </w:r>
      <w:r>
        <w:rPr>
          <w:rFonts w:eastAsiaTheme="minorEastAsia"/>
          <w:color w:val="000000" w:themeColor="text1"/>
          <w:sz w:val="24"/>
          <w:szCs w:val="24"/>
        </w:rPr>
        <w:t>、单一投资者或者构成一致行动人的多个投资者持有基金份额可达到或者超过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的风险</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，单一投资者或者构成一致行动人的多个投资者大额赎回时，可能会对本基金资产运作及净值表现产生较大影响。</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）巨额赎回的风险</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相对于其他基金，本基金更可能因开放期内单一投资者或者构成一致行动人的多个投资者集中大额赎回发生巨额赎回。当发生巨额赎回时，基金管理人可能根据基金当时的资产组合状况决定延缓支付赎回款，投资者面临赎回款被延缓支付的风险</w:t>
      </w:r>
      <w:r>
        <w:rPr>
          <w:rFonts w:eastAsiaTheme="minorEastAsia"/>
          <w:color w:val="000000" w:themeColor="text1"/>
          <w:sz w:val="24"/>
          <w:szCs w:val="24"/>
        </w:rPr>
        <w:t>。</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3</w:t>
      </w:r>
      <w:r>
        <w:rPr>
          <w:rFonts w:eastAsiaTheme="minorEastAsia"/>
          <w:color w:val="000000" w:themeColor="text1"/>
          <w:sz w:val="24"/>
          <w:szCs w:val="24"/>
        </w:rPr>
        <w:t>、转换运作方式、与其他基金合并或者终止基金合同的风险</w:t>
      </w:r>
    </w:p>
    <w:p w:rsidR="00625A6A" w:rsidRDefault="0065797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）本基金的销售对象主要为机构投资者，不向个人投资者公开发售，基金持续营销及募集规模可能受到影响，若基金合同生效之日起三年后的对应日基金资产净值低于</w:t>
      </w:r>
      <w:r>
        <w:rPr>
          <w:rFonts w:eastAsiaTheme="minorEastAsia"/>
          <w:color w:val="000000" w:themeColor="text1"/>
          <w:sz w:val="24"/>
          <w:szCs w:val="24"/>
        </w:rPr>
        <w:t>2</w:t>
      </w:r>
      <w:r>
        <w:rPr>
          <w:rFonts w:eastAsiaTheme="minorEastAsia"/>
          <w:color w:val="000000" w:themeColor="text1"/>
          <w:sz w:val="24"/>
          <w:szCs w:val="24"/>
        </w:rPr>
        <w:t>亿元，基金合同自动终止且不得通过召开基金份额持有人大会延续，投资者将面临基金合同终止的风险。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2</w:t>
      </w:r>
      <w:r w:rsidRPr="00FC0759">
        <w:rPr>
          <w:rFonts w:eastAsiaTheme="minorEastAsia"/>
          <w:color w:val="000000" w:themeColor="text1"/>
          <w:sz w:val="24"/>
          <w:szCs w:val="24"/>
        </w:rPr>
        <w:t>）本基金基金合同生效满三年后继续存续的，若连续</w:t>
      </w:r>
      <w:r w:rsidRPr="00FC0759">
        <w:rPr>
          <w:rFonts w:eastAsiaTheme="minorEastAsia"/>
          <w:color w:val="000000" w:themeColor="text1"/>
          <w:sz w:val="24"/>
          <w:szCs w:val="24"/>
        </w:rPr>
        <w:t>60</w:t>
      </w:r>
      <w:r w:rsidRPr="00FC0759">
        <w:rPr>
          <w:rFonts w:eastAsiaTheme="minorEastAsia"/>
          <w:color w:val="000000" w:themeColor="text1"/>
          <w:sz w:val="24"/>
          <w:szCs w:val="24"/>
        </w:rPr>
        <w:t>个工作日出现基金资产净值低于</w:t>
      </w:r>
      <w:r w:rsidRPr="00FC0759">
        <w:rPr>
          <w:rFonts w:eastAsiaTheme="minorEastAsia"/>
          <w:color w:val="000000" w:themeColor="text1"/>
          <w:sz w:val="24"/>
          <w:szCs w:val="24"/>
        </w:rPr>
        <w:t>5000</w:t>
      </w:r>
      <w:r w:rsidRPr="00FC0759">
        <w:rPr>
          <w:rFonts w:eastAsiaTheme="minorEastAsia"/>
          <w:color w:val="000000" w:themeColor="text1"/>
          <w:sz w:val="24"/>
          <w:szCs w:val="24"/>
        </w:rPr>
        <w:t>万元情形，基金管理人应当向中国证监会报告并提出解决方案，如转换运作方式、与其他基金合并或者终止基金合同等，并召开基金份额持有人大会进行表决。投资者面临转换基金运作方式、与其他基金合并或终止基金合同的风险。</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625A6A" w:rsidRDefault="0065797A">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中国证监会准予易方达恒安定期开放债券型发起式证券投资基金注册的文件；</w:t>
      </w:r>
    </w:p>
    <w:p w:rsidR="00625A6A" w:rsidRDefault="0065797A">
      <w:pPr>
        <w:spacing w:line="360" w:lineRule="auto"/>
        <w:ind w:firstLineChars="200" w:firstLine="480"/>
        <w:rPr>
          <w:color w:val="000000"/>
          <w:sz w:val="24"/>
          <w:szCs w:val="24"/>
        </w:rPr>
      </w:pPr>
      <w:r>
        <w:rPr>
          <w:color w:val="000000"/>
          <w:sz w:val="24"/>
          <w:szCs w:val="24"/>
        </w:rPr>
        <w:t>2.</w:t>
      </w:r>
      <w:r>
        <w:rPr>
          <w:color w:val="000000"/>
          <w:sz w:val="24"/>
          <w:szCs w:val="24"/>
        </w:rPr>
        <w:t>《易方达恒安定期开放债券型发起式证券投资基金基金合同》；</w:t>
      </w:r>
    </w:p>
    <w:p w:rsidR="00625A6A" w:rsidRDefault="0065797A">
      <w:pPr>
        <w:spacing w:line="360" w:lineRule="auto"/>
        <w:ind w:firstLineChars="200" w:firstLine="480"/>
        <w:rPr>
          <w:color w:val="000000"/>
          <w:sz w:val="24"/>
          <w:szCs w:val="24"/>
        </w:rPr>
      </w:pPr>
      <w:r>
        <w:rPr>
          <w:color w:val="000000"/>
          <w:sz w:val="24"/>
          <w:szCs w:val="24"/>
        </w:rPr>
        <w:t>3.</w:t>
      </w:r>
      <w:r>
        <w:rPr>
          <w:color w:val="000000"/>
          <w:sz w:val="24"/>
          <w:szCs w:val="24"/>
        </w:rPr>
        <w:t>《易方达恒安定期开放债券型发起式证券投资基金托管协议》；</w:t>
      </w:r>
    </w:p>
    <w:p w:rsidR="00625A6A" w:rsidRDefault="0065797A">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5797A">
      <w:rPr>
        <w:rStyle w:val="a7"/>
        <w:noProof/>
      </w:rPr>
      <w:t>1</w:t>
    </w:r>
    <w:r>
      <w:rPr>
        <w:rStyle w:val="a7"/>
      </w:rPr>
      <w:fldChar w:fldCharType="end"/>
    </w:r>
    <w:r>
      <w:rPr>
        <w:rStyle w:val="a7"/>
        <w:rFonts w:hint="eastAsia"/>
      </w:rPr>
      <w:t>页共</w:t>
    </w:r>
    <w:r w:rsidR="0065797A">
      <w:fldChar w:fldCharType="begin"/>
    </w:r>
    <w:r w:rsidR="0065797A">
      <w:instrText xml:space="preserve"> NUMPAGES  \* Arabic  \* MERGEFORMAT </w:instrText>
    </w:r>
    <w:r w:rsidR="0065797A">
      <w:fldChar w:fldCharType="separate"/>
    </w:r>
    <w:r w:rsidR="0065797A" w:rsidRPr="0065797A">
      <w:rPr>
        <w:rStyle w:val="a7"/>
        <w:noProof/>
      </w:rPr>
      <w:t>3</w:t>
    </w:r>
    <w:r w:rsidR="0065797A">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5797A">
      <w:rPr>
        <w:rStyle w:val="a7"/>
        <w:noProof/>
      </w:rPr>
      <w:t>15</w:t>
    </w:r>
    <w:r>
      <w:rPr>
        <w:rStyle w:val="a7"/>
      </w:rPr>
      <w:fldChar w:fldCharType="end"/>
    </w:r>
    <w:r>
      <w:rPr>
        <w:rStyle w:val="a7"/>
        <w:rFonts w:hint="eastAsia"/>
      </w:rPr>
      <w:t>页共</w:t>
    </w:r>
    <w:fldSimple w:instr=" NUMPAGES  \* Arabic  \* MERGEFORMAT ">
      <w:r w:rsidR="0065797A" w:rsidRPr="0065797A">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易方达恒安定期开放债券型发起式证券投资基金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5A6A"/>
    <w:rsid w:val="00626998"/>
    <w:rsid w:val="006269FB"/>
    <w:rsid w:val="00631ED8"/>
    <w:rsid w:val="00635B05"/>
    <w:rsid w:val="00636DB7"/>
    <w:rsid w:val="0063783A"/>
    <w:rsid w:val="006423B9"/>
    <w:rsid w:val="00654B0D"/>
    <w:rsid w:val="00655CD8"/>
    <w:rsid w:val="006571DC"/>
    <w:rsid w:val="0065797A"/>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42D1-7CA2-42A3-86CB-46E230D6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1329</Words>
  <Characters>7576</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