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6DD" w:rsidRPr="0078105B" w:rsidRDefault="00F016DD" w:rsidP="009A2283">
      <w:pPr>
        <w:autoSpaceDE w:val="0"/>
        <w:autoSpaceDN w:val="0"/>
        <w:adjustRightInd w:val="0"/>
        <w:spacing w:line="360" w:lineRule="auto"/>
        <w:jc w:val="left"/>
        <w:rPr>
          <w:rFonts w:ascii="宋体" w:cs="Arial"/>
          <w:color w:val="000000"/>
          <w:kern w:val="0"/>
          <w:sz w:val="24"/>
        </w:rPr>
      </w:pPr>
      <w:bookmarkStart w:id="0" w:name="_GoBack"/>
      <w:bookmarkEnd w:id="0"/>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易方达易百智能量化策略灵活配置混合型证券投资基金</w:t>
      </w: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2019年第3季度报告</w:t>
      </w:r>
    </w:p>
    <w:p w:rsidR="00F016DD" w:rsidRPr="00DA451D" w:rsidRDefault="00F016DD" w:rsidP="00FC13C8">
      <w:pPr>
        <w:spacing w:line="360" w:lineRule="auto"/>
        <w:jc w:val="center"/>
        <w:rPr>
          <w:rFonts w:ascii="宋体" w:hAnsi="宋体"/>
          <w:b/>
          <w:sz w:val="24"/>
        </w:rPr>
      </w:pPr>
      <w:r w:rsidRPr="00DA451D">
        <w:rPr>
          <w:rFonts w:ascii="宋体" w:hAnsi="宋体"/>
          <w:b/>
          <w:sz w:val="24"/>
        </w:rPr>
        <w:t>2019年9月30日</w:t>
      </w: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rPr>
          <w:rFonts w:ascii="宋体"/>
          <w:b/>
          <w:color w:val="000000"/>
          <w:sz w:val="24"/>
        </w:rPr>
      </w:pP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基金管理人：</w:t>
      </w:r>
      <w:r w:rsidRPr="0078105B">
        <w:rPr>
          <w:rFonts w:ascii="宋体" w:hAnsi="宋体"/>
          <w:b/>
          <w:color w:val="000000"/>
          <w:sz w:val="24"/>
        </w:rPr>
        <w:t>易方达基金管理有限公司</w:t>
      </w: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基金托管人：</w:t>
      </w:r>
      <w:r w:rsidRPr="0078105B">
        <w:rPr>
          <w:rFonts w:ascii="宋体" w:hAnsi="宋体"/>
          <w:b/>
          <w:color w:val="000000"/>
          <w:sz w:val="24"/>
        </w:rPr>
        <w:t>中国银行股份有限公司</w:t>
      </w:r>
    </w:p>
    <w:p w:rsidR="00F016DD" w:rsidRPr="0078105B" w:rsidRDefault="00F016DD" w:rsidP="00174038">
      <w:pPr>
        <w:spacing w:line="360" w:lineRule="auto"/>
        <w:ind w:firstLineChars="900" w:firstLine="2168"/>
        <w:rPr>
          <w:rFonts w:ascii="宋体"/>
          <w:sz w:val="24"/>
        </w:rPr>
        <w:sectPr w:rsidR="00F016DD" w:rsidRPr="0078105B" w:rsidSect="00F7094A">
          <w:headerReference w:type="default" r:id="rId7"/>
          <w:footerReference w:type="default" r:id="rId8"/>
          <w:pgSz w:w="11926" w:h="15840"/>
          <w:pgMar w:top="1418" w:right="1418" w:bottom="851" w:left="1418" w:header="851" w:footer="992" w:gutter="0"/>
          <w:cols w:space="720"/>
          <w:noEndnote/>
        </w:sectPr>
      </w:pPr>
      <w:r w:rsidRPr="0078105B">
        <w:rPr>
          <w:rFonts w:ascii="宋体" w:hAnsi="宋体" w:hint="eastAsia"/>
          <w:b/>
          <w:color w:val="000000"/>
          <w:sz w:val="24"/>
        </w:rPr>
        <w:t>报告送出日期：</w:t>
      </w:r>
      <w:r w:rsidRPr="0078105B">
        <w:rPr>
          <w:rFonts w:ascii="宋体" w:hAnsi="宋体"/>
          <w:b/>
          <w:color w:val="000000"/>
          <w:sz w:val="24"/>
        </w:rPr>
        <w:t>二〇一九年十月二十四日</w:t>
      </w:r>
    </w:p>
    <w:p w:rsidR="00F016DD" w:rsidRPr="0078105B" w:rsidRDefault="00F016DD" w:rsidP="00B54884">
      <w:pPr>
        <w:pStyle w:val="1"/>
        <w:spacing w:beforeLines="100" w:before="312" w:afterLines="100" w:after="312" w:line="360" w:lineRule="auto"/>
        <w:jc w:val="center"/>
        <w:rPr>
          <w:rFonts w:ascii="宋体" w:cs="Arial"/>
          <w:b w:val="0"/>
          <w:color w:val="000000"/>
          <w:kern w:val="0"/>
          <w:sz w:val="24"/>
          <w:szCs w:val="24"/>
        </w:rPr>
      </w:pPr>
      <w:r w:rsidRPr="0078105B">
        <w:rPr>
          <w:rFonts w:ascii="宋体" w:hAnsi="宋体" w:cs="Arial" w:hint="eastAsia"/>
          <w:color w:val="000000"/>
          <w:kern w:val="0"/>
          <w:sz w:val="24"/>
          <w:szCs w:val="24"/>
        </w:rPr>
        <w:lastRenderedPageBreak/>
        <w:t>§</w:t>
      </w:r>
      <w:r w:rsidRPr="0078105B">
        <w:rPr>
          <w:rFonts w:ascii="宋体" w:hAnsi="宋体" w:cs="Arial"/>
          <w:color w:val="000000"/>
          <w:kern w:val="0"/>
          <w:sz w:val="24"/>
          <w:szCs w:val="24"/>
        </w:rPr>
        <w:t xml:space="preserve">1  </w:t>
      </w:r>
      <w:r w:rsidRPr="0078105B">
        <w:rPr>
          <w:rFonts w:ascii="宋体" w:hAnsi="宋体" w:cs="Arial" w:hint="eastAsia"/>
          <w:color w:val="000000"/>
          <w:kern w:val="0"/>
          <w:sz w:val="24"/>
          <w:szCs w:val="24"/>
        </w:rPr>
        <w:t>重要提示</w:t>
      </w:r>
    </w:p>
    <w:p w:rsidR="002D41D7" w:rsidRDefault="003E4D50">
      <w:pPr>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2D41D7" w:rsidRDefault="003E4D50">
      <w:pPr>
        <w:spacing w:line="360" w:lineRule="auto"/>
        <w:ind w:firstLineChars="200" w:firstLine="480"/>
        <w:rPr>
          <w:color w:val="000000"/>
          <w:sz w:val="24"/>
        </w:rPr>
      </w:pPr>
      <w:r>
        <w:rPr>
          <w:color w:val="000000"/>
          <w:sz w:val="24"/>
        </w:rPr>
        <w:t>基金托管人中国银行股份有限公司根据本基金合同规定，于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22</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2D41D7" w:rsidRDefault="003E4D50">
      <w:pPr>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2D41D7" w:rsidRDefault="003E4D50">
      <w:pPr>
        <w:spacing w:line="360" w:lineRule="auto"/>
        <w:ind w:firstLineChars="200" w:firstLine="480"/>
        <w:rPr>
          <w:color w:val="000000"/>
          <w:sz w:val="24"/>
        </w:rPr>
      </w:pPr>
      <w:r>
        <w:rPr>
          <w:color w:val="000000"/>
          <w:sz w:val="24"/>
        </w:rPr>
        <w:t>基金</w:t>
      </w:r>
      <w:r>
        <w:rPr>
          <w:color w:val="000000"/>
          <w:sz w:val="24"/>
        </w:rPr>
        <w:t>的过往业绩并不代表其未来表现。投资有风险，投资者在作出投资决策前应仔细阅读本基金的招募说明书。</w:t>
      </w:r>
      <w:r>
        <w:rPr>
          <w:color w:val="000000"/>
          <w:sz w:val="24"/>
        </w:rPr>
        <w:t xml:space="preserve"> </w:t>
      </w:r>
    </w:p>
    <w:p w:rsidR="002D41D7" w:rsidRDefault="003E4D50">
      <w:pPr>
        <w:spacing w:line="360" w:lineRule="auto"/>
        <w:ind w:firstLineChars="200" w:firstLine="480"/>
        <w:rPr>
          <w:color w:val="000000"/>
          <w:sz w:val="24"/>
        </w:rPr>
      </w:pPr>
      <w:r>
        <w:rPr>
          <w:color w:val="000000"/>
          <w:sz w:val="24"/>
        </w:rPr>
        <w:t>本报告中财务资料未经审计。</w:t>
      </w:r>
    </w:p>
    <w:p w:rsidR="00F016DD" w:rsidRPr="00C30CFF" w:rsidRDefault="00F016DD" w:rsidP="00C30CFF">
      <w:pPr>
        <w:spacing w:line="360" w:lineRule="auto"/>
        <w:ind w:firstLineChars="200" w:firstLine="480"/>
        <w:rPr>
          <w:color w:val="000000"/>
          <w:sz w:val="24"/>
        </w:rPr>
      </w:pPr>
      <w:r w:rsidRPr="00C30CFF">
        <w:rPr>
          <w:color w:val="000000"/>
          <w:sz w:val="24"/>
        </w:rPr>
        <w:t>本报告期自</w:t>
      </w:r>
      <w:r w:rsidRPr="00C30CFF">
        <w:rPr>
          <w:color w:val="000000"/>
          <w:sz w:val="24"/>
        </w:rPr>
        <w:t>2019</w:t>
      </w:r>
      <w:r w:rsidRPr="00C30CFF">
        <w:rPr>
          <w:color w:val="000000"/>
          <w:sz w:val="24"/>
        </w:rPr>
        <w:t>年</w:t>
      </w:r>
      <w:r w:rsidRPr="00C30CFF">
        <w:rPr>
          <w:color w:val="000000"/>
          <w:sz w:val="24"/>
        </w:rPr>
        <w:t>7</w:t>
      </w:r>
      <w:r w:rsidRPr="00C30CFF">
        <w:rPr>
          <w:color w:val="000000"/>
          <w:sz w:val="24"/>
        </w:rPr>
        <w:t>月</w:t>
      </w:r>
      <w:r w:rsidRPr="00C30CFF">
        <w:rPr>
          <w:color w:val="000000"/>
          <w:sz w:val="24"/>
        </w:rPr>
        <w:t>1</w:t>
      </w:r>
      <w:r w:rsidRPr="00C30CFF">
        <w:rPr>
          <w:color w:val="000000"/>
          <w:sz w:val="24"/>
        </w:rPr>
        <w:t>日起至</w:t>
      </w:r>
      <w:r w:rsidRPr="00C30CFF">
        <w:rPr>
          <w:color w:val="000000"/>
          <w:sz w:val="24"/>
        </w:rPr>
        <w:t>9</w:t>
      </w:r>
      <w:r w:rsidRPr="00C30CFF">
        <w:rPr>
          <w:color w:val="000000"/>
          <w:sz w:val="24"/>
        </w:rPr>
        <w:t>月</w:t>
      </w:r>
      <w:r w:rsidRPr="00C30CFF">
        <w:rPr>
          <w:color w:val="000000"/>
          <w:sz w:val="24"/>
        </w:rPr>
        <w:t>30</w:t>
      </w:r>
      <w:r w:rsidRPr="00C30CFF">
        <w:rPr>
          <w:color w:val="000000"/>
          <w:sz w:val="24"/>
        </w:rPr>
        <w:t>日止。</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2  </w:t>
      </w:r>
      <w:r w:rsidRPr="0078105B">
        <w:rPr>
          <w:rFonts w:ascii="宋体" w:hAnsi="宋体" w:cs="Arial"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739"/>
        <w:gridCol w:w="2790"/>
      </w:tblGrid>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基金简称</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易方达易百智能量化策略混合</w:t>
            </w:r>
          </w:p>
        </w:tc>
      </w:tr>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基金主代码</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005437</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基金运作方式</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契约型开放式</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基金合同生效日</w:t>
            </w:r>
          </w:p>
        </w:tc>
        <w:tc>
          <w:tcPr>
            <w:tcW w:w="5529" w:type="dxa"/>
            <w:gridSpan w:val="2"/>
          </w:tcPr>
          <w:p w:rsidR="00F016DD" w:rsidRPr="00C30CFF" w:rsidRDefault="00F016DD" w:rsidP="00121533">
            <w:pPr>
              <w:adjustRightInd w:val="0"/>
              <w:spacing w:before="29" w:line="360" w:lineRule="auto"/>
              <w:ind w:left="17"/>
              <w:jc w:val="left"/>
              <w:rPr>
                <w:color w:val="000000"/>
                <w:kern w:val="0"/>
                <w:sz w:val="24"/>
              </w:rPr>
            </w:pPr>
            <w:r w:rsidRPr="00C30CFF">
              <w:rPr>
                <w:color w:val="000000"/>
                <w:kern w:val="0"/>
                <w:sz w:val="24"/>
              </w:rPr>
              <w:t>2018</w:t>
            </w:r>
            <w:r w:rsidRPr="00C30CFF">
              <w:rPr>
                <w:color w:val="000000"/>
                <w:kern w:val="0"/>
                <w:sz w:val="24"/>
              </w:rPr>
              <w:t>年</w:t>
            </w:r>
            <w:r w:rsidRPr="00C30CFF">
              <w:rPr>
                <w:color w:val="000000"/>
                <w:kern w:val="0"/>
                <w:sz w:val="24"/>
              </w:rPr>
              <w:t>1</w:t>
            </w:r>
            <w:r w:rsidRPr="00C30CFF">
              <w:rPr>
                <w:color w:val="000000"/>
                <w:kern w:val="0"/>
                <w:sz w:val="24"/>
              </w:rPr>
              <w:t>月</w:t>
            </w:r>
            <w:r w:rsidRPr="00C30CFF">
              <w:rPr>
                <w:color w:val="000000"/>
                <w:kern w:val="0"/>
                <w:sz w:val="24"/>
              </w:rPr>
              <w:t>24</w:t>
            </w:r>
            <w:r w:rsidRPr="00C30CFF">
              <w:rPr>
                <w:color w:val="000000"/>
                <w:kern w:val="0"/>
                <w:sz w:val="24"/>
              </w:rPr>
              <w:t>日</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报告期末基金份额总额</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391,427,787.17</w:t>
            </w:r>
            <w:r w:rsidRPr="00C30CFF">
              <w:rPr>
                <w:color w:val="000000"/>
                <w:kern w:val="0"/>
                <w:sz w:val="24"/>
              </w:rPr>
              <w:t>份</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投资目标</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 xml:space="preserve"> </w:t>
            </w:r>
            <w:r w:rsidRPr="00C30CFF">
              <w:rPr>
                <w:color w:val="000000"/>
                <w:kern w:val="0"/>
                <w:sz w:val="24"/>
              </w:rPr>
              <w:t>本基金主要依托于百度提供的特色数据及其数据处理能力，通过大数据挖掘和分析技术，结合基金管理人自主研发的量化策略进行投资组合管理，追求基金资产的长期稳健增值。</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投资策略</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本基金主要借助百度在人工智能技术和算法方面的优势，同时结合其特有的互联网大数据，对证券市场相关数据进行深度分析，在海外成熟的多因子量化选股框架下扩充因子维度，对股票超额收益进行</w:t>
            </w:r>
            <w:r w:rsidRPr="00C30CFF">
              <w:rPr>
                <w:color w:val="000000"/>
                <w:kern w:val="0"/>
                <w:sz w:val="24"/>
              </w:rPr>
              <w:lastRenderedPageBreak/>
              <w:t>预测，并据此筛选具有投资价值的股票构建投资组合。同时，本基金也可应用定向增发套利与大宗交易套利等多种量化套利策略，根据各策略的预期收益、风险及其所使用的市场环境，发现和捕捉因市场波动及无效定价带来的价差机会，力争获取超越业绩比较基准的投资回报。</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lastRenderedPageBreak/>
              <w:t>业绩比较基准</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沪深</w:t>
            </w:r>
            <w:r w:rsidRPr="00C30CFF">
              <w:rPr>
                <w:color w:val="000000"/>
                <w:kern w:val="0"/>
                <w:sz w:val="24"/>
              </w:rPr>
              <w:t>300</w:t>
            </w:r>
            <w:r w:rsidRPr="00C30CFF">
              <w:rPr>
                <w:color w:val="000000"/>
                <w:kern w:val="0"/>
                <w:sz w:val="24"/>
              </w:rPr>
              <w:t>指数收益率</w:t>
            </w:r>
            <w:r w:rsidRPr="00C30CFF">
              <w:rPr>
                <w:color w:val="000000"/>
                <w:kern w:val="0"/>
                <w:sz w:val="24"/>
              </w:rPr>
              <w:t>×65%+</w:t>
            </w:r>
            <w:r w:rsidRPr="00C30CFF">
              <w:rPr>
                <w:color w:val="000000"/>
                <w:kern w:val="0"/>
                <w:sz w:val="24"/>
              </w:rPr>
              <w:t>中债新综合指数（财富）收益率</w:t>
            </w:r>
            <w:r w:rsidRPr="00C30CFF">
              <w:rPr>
                <w:color w:val="000000"/>
                <w:kern w:val="0"/>
                <w:sz w:val="24"/>
              </w:rPr>
              <w:t>×35%</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风险收益特征</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本基金为混合型基金，理论上其预期风险与预期收益水平低于股票型基金，高于债券型基金和货币市场基金。</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基金管理人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易方达基金管理有限公司</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基金托管人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中国银行股份有限公司</w:t>
            </w:r>
          </w:p>
        </w:tc>
      </w:tr>
      <w:tr w:rsidR="00F016DD" w:rsidRPr="0078105B" w:rsidTr="00414367">
        <w:tc>
          <w:tcPr>
            <w:tcW w:w="2835" w:type="dxa"/>
          </w:tcPr>
          <w:p w:rsidR="00F016DD" w:rsidRPr="00C30CFF" w:rsidRDefault="00F016DD" w:rsidP="003F13CD">
            <w:pPr>
              <w:adjustRightInd w:val="0"/>
              <w:spacing w:before="29" w:line="360" w:lineRule="auto"/>
              <w:ind w:left="17"/>
              <w:jc w:val="left"/>
              <w:rPr>
                <w:kern w:val="0"/>
                <w:sz w:val="24"/>
              </w:rPr>
            </w:pPr>
            <w:r w:rsidRPr="00C30CFF">
              <w:rPr>
                <w:color w:val="000000"/>
                <w:sz w:val="24"/>
              </w:rPr>
              <w:t>下属</w:t>
            </w:r>
            <w:r w:rsidR="003F13CD" w:rsidRPr="00C30CFF">
              <w:rPr>
                <w:color w:val="000000"/>
                <w:sz w:val="24"/>
              </w:rPr>
              <w:t>分</w:t>
            </w:r>
            <w:r w:rsidRPr="00C30CFF">
              <w:rPr>
                <w:color w:val="000000"/>
                <w:sz w:val="24"/>
              </w:rPr>
              <w:t>级基金的基金简称</w:t>
            </w:r>
          </w:p>
        </w:tc>
        <w:tc>
          <w:tcPr>
            <w:tcW w:w="2739" w:type="dxa"/>
            <w:vAlign w:val="center"/>
          </w:tcPr>
          <w:p w:rsidR="00F016DD" w:rsidRPr="00C30CFF" w:rsidRDefault="00F016DD" w:rsidP="00950413">
            <w:pPr>
              <w:jc w:val="left"/>
              <w:rPr>
                <w:sz w:val="24"/>
              </w:rPr>
            </w:pPr>
            <w:r w:rsidRPr="00C30CFF">
              <w:rPr>
                <w:sz w:val="24"/>
              </w:rPr>
              <w:t>易方达易百智能量化策略混合</w:t>
            </w:r>
            <w:r w:rsidRPr="00C30CFF">
              <w:rPr>
                <w:sz w:val="24"/>
              </w:rPr>
              <w:t>A</w:t>
            </w:r>
          </w:p>
        </w:tc>
        <w:tc>
          <w:tcPr>
            <w:tcW w:w="2790" w:type="dxa"/>
            <w:vAlign w:val="center"/>
          </w:tcPr>
          <w:p w:rsidR="00F016DD" w:rsidRPr="00C30CFF" w:rsidRDefault="00F016DD" w:rsidP="00950413">
            <w:pPr>
              <w:jc w:val="left"/>
              <w:rPr>
                <w:sz w:val="24"/>
              </w:rPr>
            </w:pPr>
            <w:r w:rsidRPr="00C30CFF">
              <w:rPr>
                <w:sz w:val="24"/>
              </w:rPr>
              <w:t>易方达易百智能量化策略混合</w:t>
            </w:r>
            <w:r w:rsidRPr="00C30CFF">
              <w:rPr>
                <w:sz w:val="24"/>
              </w:rPr>
              <w:t>C</w:t>
            </w:r>
          </w:p>
        </w:tc>
      </w:tr>
      <w:tr w:rsidR="00F016DD" w:rsidRPr="004D29A9" w:rsidTr="00414367">
        <w:tc>
          <w:tcPr>
            <w:tcW w:w="2835" w:type="dxa"/>
          </w:tcPr>
          <w:p w:rsidR="00F016DD" w:rsidRPr="00C30CFF" w:rsidRDefault="00F016DD" w:rsidP="003F13CD">
            <w:pPr>
              <w:adjustRightInd w:val="0"/>
              <w:spacing w:before="29" w:line="360" w:lineRule="auto"/>
              <w:ind w:left="17"/>
              <w:jc w:val="left"/>
              <w:rPr>
                <w:color w:val="000000"/>
                <w:sz w:val="24"/>
              </w:rPr>
            </w:pPr>
            <w:r w:rsidRPr="00C30CFF">
              <w:rPr>
                <w:color w:val="000000"/>
                <w:sz w:val="24"/>
              </w:rPr>
              <w:t>下属</w:t>
            </w:r>
            <w:r w:rsidR="003F13CD" w:rsidRPr="00C30CFF">
              <w:rPr>
                <w:color w:val="000000"/>
                <w:sz w:val="24"/>
              </w:rPr>
              <w:t>分</w:t>
            </w:r>
            <w:r w:rsidRPr="00C30CFF">
              <w:rPr>
                <w:color w:val="000000"/>
                <w:sz w:val="24"/>
              </w:rPr>
              <w:t>级基金的交易代码</w:t>
            </w:r>
          </w:p>
        </w:tc>
        <w:tc>
          <w:tcPr>
            <w:tcW w:w="2739" w:type="dxa"/>
            <w:vAlign w:val="center"/>
          </w:tcPr>
          <w:p w:rsidR="00F016DD" w:rsidRPr="00C30CFF" w:rsidRDefault="00F016DD" w:rsidP="00950413">
            <w:pPr>
              <w:jc w:val="left"/>
              <w:rPr>
                <w:color w:val="000000"/>
                <w:sz w:val="24"/>
              </w:rPr>
            </w:pPr>
            <w:r w:rsidRPr="00C30CFF">
              <w:rPr>
                <w:color w:val="000000"/>
                <w:sz w:val="24"/>
              </w:rPr>
              <w:t>005437</w:t>
            </w:r>
          </w:p>
        </w:tc>
        <w:tc>
          <w:tcPr>
            <w:tcW w:w="2790" w:type="dxa"/>
            <w:vAlign w:val="center"/>
          </w:tcPr>
          <w:p w:rsidR="00F016DD" w:rsidRPr="00C30CFF" w:rsidRDefault="00F016DD" w:rsidP="00950413">
            <w:pPr>
              <w:jc w:val="left"/>
              <w:rPr>
                <w:color w:val="000000"/>
                <w:sz w:val="24"/>
              </w:rPr>
            </w:pPr>
            <w:r w:rsidRPr="00C30CFF">
              <w:rPr>
                <w:color w:val="000000"/>
                <w:sz w:val="24"/>
              </w:rPr>
              <w:t>005438</w:t>
            </w:r>
          </w:p>
        </w:tc>
      </w:tr>
      <w:tr w:rsidR="00F016DD" w:rsidRPr="0078105B" w:rsidTr="00414367">
        <w:tc>
          <w:tcPr>
            <w:tcW w:w="2835" w:type="dxa"/>
          </w:tcPr>
          <w:p w:rsidR="00F016DD" w:rsidRPr="00C30CFF" w:rsidRDefault="00F016DD" w:rsidP="00162D92">
            <w:pPr>
              <w:adjustRightInd w:val="0"/>
              <w:spacing w:before="29" w:line="360" w:lineRule="auto"/>
              <w:ind w:left="17"/>
              <w:jc w:val="left"/>
              <w:rPr>
                <w:color w:val="000000"/>
                <w:sz w:val="24"/>
              </w:rPr>
            </w:pPr>
            <w:r w:rsidRPr="00C30CFF">
              <w:rPr>
                <w:color w:val="000000"/>
                <w:sz w:val="24"/>
              </w:rPr>
              <w:t>报告期末下属</w:t>
            </w:r>
            <w:r w:rsidR="00162D92" w:rsidRPr="00C30CFF">
              <w:rPr>
                <w:color w:val="000000"/>
                <w:sz w:val="24"/>
              </w:rPr>
              <w:t>分</w:t>
            </w:r>
            <w:r w:rsidRPr="00C30CFF">
              <w:rPr>
                <w:color w:val="000000"/>
                <w:sz w:val="24"/>
              </w:rPr>
              <w:t>级基金的份额总额</w:t>
            </w:r>
          </w:p>
        </w:tc>
        <w:tc>
          <w:tcPr>
            <w:tcW w:w="2739" w:type="dxa"/>
            <w:vAlign w:val="center"/>
          </w:tcPr>
          <w:p w:rsidR="00F016DD" w:rsidRPr="00C30CFF" w:rsidRDefault="00F016DD" w:rsidP="00950413">
            <w:pPr>
              <w:jc w:val="left"/>
              <w:rPr>
                <w:sz w:val="24"/>
              </w:rPr>
            </w:pPr>
            <w:r w:rsidRPr="00C30CFF">
              <w:rPr>
                <w:sz w:val="24"/>
              </w:rPr>
              <w:t>385,745,624.37</w:t>
            </w:r>
            <w:r w:rsidRPr="00C30CFF">
              <w:rPr>
                <w:color w:val="000000"/>
                <w:kern w:val="0"/>
                <w:sz w:val="24"/>
              </w:rPr>
              <w:t>份</w:t>
            </w:r>
          </w:p>
        </w:tc>
        <w:tc>
          <w:tcPr>
            <w:tcW w:w="2790" w:type="dxa"/>
            <w:vAlign w:val="center"/>
          </w:tcPr>
          <w:p w:rsidR="00F016DD" w:rsidRPr="00C30CFF" w:rsidRDefault="00F016DD" w:rsidP="00950413">
            <w:pPr>
              <w:jc w:val="left"/>
              <w:rPr>
                <w:sz w:val="24"/>
              </w:rPr>
            </w:pPr>
            <w:r w:rsidRPr="00C30CFF">
              <w:rPr>
                <w:sz w:val="24"/>
              </w:rPr>
              <w:t>5,682,162.80</w:t>
            </w:r>
            <w:r w:rsidRPr="00C30CFF">
              <w:rPr>
                <w:color w:val="000000"/>
                <w:kern w:val="0"/>
                <w:sz w:val="24"/>
              </w:rPr>
              <w:t>份</w:t>
            </w:r>
          </w:p>
        </w:tc>
      </w:tr>
    </w:tbl>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3  </w:t>
      </w:r>
      <w:r w:rsidRPr="0078105B">
        <w:rPr>
          <w:rFonts w:ascii="宋体" w:hAnsi="宋体" w:cs="Arial" w:hint="eastAsia"/>
          <w:color w:val="000000"/>
          <w:kern w:val="0"/>
          <w:sz w:val="24"/>
          <w:szCs w:val="24"/>
        </w:rPr>
        <w:t>主要财务指标和基金净值表现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3.1 </w:t>
      </w:r>
      <w:r w:rsidRPr="0078105B">
        <w:rPr>
          <w:rFonts w:ascii="宋体" w:hAnsi="宋体" w:cs="Arial" w:hint="eastAsia"/>
          <w:b/>
          <w:color w:val="000000"/>
          <w:kern w:val="0"/>
          <w:sz w:val="24"/>
        </w:rPr>
        <w:t>主要财务指标</w:t>
      </w:r>
    </w:p>
    <w:p w:rsidR="00F016DD" w:rsidRPr="00FA472B" w:rsidRDefault="00F016DD" w:rsidP="00E27360">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481"/>
        <w:gridCol w:w="2481"/>
      </w:tblGrid>
      <w:tr w:rsidR="00F016DD" w:rsidRPr="00FA472B" w:rsidTr="008B5312">
        <w:tc>
          <w:tcPr>
            <w:tcW w:w="3402" w:type="dxa"/>
            <w:vMerge w:val="restart"/>
            <w:vAlign w:val="center"/>
          </w:tcPr>
          <w:p w:rsidR="00F016DD" w:rsidRPr="00FA472B" w:rsidRDefault="00F016DD" w:rsidP="00E205AA">
            <w:pPr>
              <w:adjustRightInd w:val="0"/>
              <w:spacing w:before="29" w:line="360" w:lineRule="auto"/>
              <w:ind w:left="17"/>
              <w:jc w:val="center"/>
              <w:rPr>
                <w:kern w:val="0"/>
                <w:sz w:val="24"/>
              </w:rPr>
            </w:pPr>
            <w:r w:rsidRPr="00FA472B">
              <w:rPr>
                <w:kern w:val="0"/>
                <w:sz w:val="24"/>
              </w:rPr>
              <w:t>主要财务指标</w:t>
            </w:r>
          </w:p>
        </w:tc>
        <w:tc>
          <w:tcPr>
            <w:tcW w:w="4962" w:type="dxa"/>
            <w:gridSpan w:val="2"/>
            <w:vAlign w:val="center"/>
          </w:tcPr>
          <w:p w:rsidR="00F016DD" w:rsidRPr="00FA472B" w:rsidRDefault="00F016DD" w:rsidP="00E205AA">
            <w:pPr>
              <w:adjustRightInd w:val="0"/>
              <w:spacing w:before="29" w:line="360" w:lineRule="auto"/>
              <w:ind w:left="17"/>
              <w:jc w:val="center"/>
              <w:rPr>
                <w:color w:val="000000"/>
                <w:sz w:val="24"/>
              </w:rPr>
            </w:pPr>
            <w:r w:rsidRPr="00FA472B">
              <w:rPr>
                <w:color w:val="000000"/>
                <w:sz w:val="24"/>
              </w:rPr>
              <w:t>报告期</w:t>
            </w:r>
          </w:p>
          <w:p w:rsidR="00F016DD" w:rsidRPr="00FA472B" w:rsidRDefault="00F016DD" w:rsidP="00E205AA">
            <w:pPr>
              <w:adjustRightInd w:val="0"/>
              <w:spacing w:before="29" w:line="360" w:lineRule="auto"/>
              <w:ind w:left="17"/>
              <w:jc w:val="center"/>
              <w:rPr>
                <w:color w:val="000000"/>
                <w:sz w:val="24"/>
              </w:rPr>
            </w:pPr>
            <w:r w:rsidRPr="00FA472B">
              <w:rPr>
                <w:color w:val="000000"/>
                <w:sz w:val="24"/>
              </w:rPr>
              <w:t>(2019</w:t>
            </w:r>
            <w:r w:rsidRPr="00FA472B">
              <w:rPr>
                <w:color w:val="000000"/>
                <w:sz w:val="24"/>
              </w:rPr>
              <w:t>年</w:t>
            </w:r>
            <w:r w:rsidRPr="00FA472B">
              <w:rPr>
                <w:color w:val="000000"/>
                <w:sz w:val="24"/>
              </w:rPr>
              <w:t>7</w:t>
            </w:r>
            <w:r w:rsidRPr="00FA472B">
              <w:rPr>
                <w:color w:val="000000"/>
                <w:sz w:val="24"/>
              </w:rPr>
              <w:t>月</w:t>
            </w:r>
            <w:r w:rsidRPr="00FA472B">
              <w:rPr>
                <w:color w:val="000000"/>
                <w:sz w:val="24"/>
              </w:rPr>
              <w:t>1</w:t>
            </w:r>
            <w:r w:rsidRPr="00FA472B">
              <w:rPr>
                <w:color w:val="000000"/>
                <w:sz w:val="24"/>
              </w:rPr>
              <w:t>日</w:t>
            </w:r>
            <w:r w:rsidRPr="00FA472B">
              <w:rPr>
                <w:color w:val="000000"/>
                <w:sz w:val="24"/>
              </w:rPr>
              <w:t>-2019</w:t>
            </w:r>
            <w:r w:rsidRPr="00FA472B">
              <w:rPr>
                <w:color w:val="000000"/>
                <w:sz w:val="24"/>
              </w:rPr>
              <w:t>年</w:t>
            </w:r>
            <w:r w:rsidRPr="00FA472B">
              <w:rPr>
                <w:color w:val="000000"/>
                <w:sz w:val="24"/>
              </w:rPr>
              <w:t>9</w:t>
            </w:r>
            <w:r w:rsidRPr="00FA472B">
              <w:rPr>
                <w:color w:val="000000"/>
                <w:sz w:val="24"/>
              </w:rPr>
              <w:t>月</w:t>
            </w:r>
            <w:r w:rsidRPr="00FA472B">
              <w:rPr>
                <w:color w:val="000000"/>
                <w:sz w:val="24"/>
              </w:rPr>
              <w:t>30</w:t>
            </w:r>
            <w:r w:rsidRPr="00FA472B">
              <w:rPr>
                <w:color w:val="000000"/>
                <w:sz w:val="24"/>
              </w:rPr>
              <w:t>日</w:t>
            </w:r>
            <w:r w:rsidRPr="00FA472B">
              <w:rPr>
                <w:color w:val="000000"/>
                <w:sz w:val="24"/>
              </w:rPr>
              <w:t>)</w:t>
            </w:r>
          </w:p>
        </w:tc>
      </w:tr>
      <w:tr w:rsidR="00F016DD" w:rsidRPr="00FA472B" w:rsidTr="008B5312">
        <w:tc>
          <w:tcPr>
            <w:tcW w:w="3402" w:type="dxa"/>
            <w:vMerge/>
            <w:vAlign w:val="center"/>
          </w:tcPr>
          <w:p w:rsidR="00F016DD" w:rsidRPr="00FA472B" w:rsidRDefault="00F016DD" w:rsidP="00E205AA">
            <w:pPr>
              <w:adjustRightInd w:val="0"/>
              <w:spacing w:before="29" w:line="360" w:lineRule="auto"/>
              <w:ind w:left="17"/>
              <w:jc w:val="center"/>
              <w:rPr>
                <w:kern w:val="0"/>
                <w:sz w:val="24"/>
              </w:rPr>
            </w:pP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易方达易百智能量化策略混合</w:t>
            </w:r>
            <w:r w:rsidRPr="00FA472B">
              <w:rPr>
                <w:sz w:val="24"/>
              </w:rPr>
              <w:t>A</w:t>
            </w: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易方达易百智能量化策略混合</w:t>
            </w:r>
            <w:r w:rsidRPr="00FA472B">
              <w:rPr>
                <w:sz w:val="24"/>
              </w:rPr>
              <w:t>C</w:t>
            </w:r>
          </w:p>
        </w:tc>
      </w:tr>
      <w:tr w:rsidR="00F016DD" w:rsidRPr="00FA472B" w:rsidTr="00973B57">
        <w:tc>
          <w:tcPr>
            <w:tcW w:w="3402" w:type="dxa"/>
          </w:tcPr>
          <w:p w:rsidR="00F016DD" w:rsidRPr="00FA472B" w:rsidRDefault="00F016DD" w:rsidP="00973B57">
            <w:pPr>
              <w:adjustRightInd w:val="0"/>
              <w:spacing w:before="29" w:line="360" w:lineRule="auto"/>
              <w:ind w:left="17"/>
              <w:rPr>
                <w:kern w:val="0"/>
                <w:sz w:val="24"/>
              </w:rPr>
            </w:pPr>
            <w:r w:rsidRPr="00FA472B">
              <w:rPr>
                <w:kern w:val="0"/>
                <w:sz w:val="24"/>
              </w:rPr>
              <w:t>1.</w:t>
            </w:r>
            <w:r w:rsidRPr="00FA472B">
              <w:rPr>
                <w:kern w:val="0"/>
                <w:sz w:val="24"/>
              </w:rPr>
              <w:t>本期已实现收益</w:t>
            </w:r>
          </w:p>
        </w:tc>
        <w:tc>
          <w:tcPr>
            <w:tcW w:w="2481" w:type="dxa"/>
            <w:vAlign w:val="bottom"/>
          </w:tcPr>
          <w:p w:rsidR="00F016DD" w:rsidRPr="00FA472B" w:rsidRDefault="00F016DD" w:rsidP="00973B57">
            <w:pPr>
              <w:adjustRightInd w:val="0"/>
              <w:spacing w:before="29" w:line="360" w:lineRule="auto"/>
              <w:ind w:left="17"/>
              <w:jc w:val="right"/>
              <w:rPr>
                <w:color w:val="000000"/>
                <w:sz w:val="24"/>
              </w:rPr>
            </w:pPr>
            <w:r w:rsidRPr="00FA472B">
              <w:rPr>
                <w:color w:val="000000"/>
                <w:sz w:val="24"/>
              </w:rPr>
              <w:t>23,592,738.13</w:t>
            </w:r>
          </w:p>
        </w:tc>
        <w:tc>
          <w:tcPr>
            <w:tcW w:w="2481" w:type="dxa"/>
            <w:vAlign w:val="bottom"/>
          </w:tcPr>
          <w:p w:rsidR="00F016DD" w:rsidRPr="00FA472B" w:rsidRDefault="00F016DD" w:rsidP="0037768B">
            <w:pPr>
              <w:adjustRightInd w:val="0"/>
              <w:spacing w:before="29" w:line="360" w:lineRule="auto"/>
              <w:ind w:left="17"/>
              <w:jc w:val="right"/>
              <w:rPr>
                <w:color w:val="000000"/>
                <w:sz w:val="24"/>
              </w:rPr>
            </w:pPr>
            <w:r w:rsidRPr="00FA472B">
              <w:rPr>
                <w:color w:val="000000"/>
                <w:sz w:val="24"/>
              </w:rPr>
              <w:t>327,720.02</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lastRenderedPageBreak/>
              <w:t>2.</w:t>
            </w:r>
            <w:r w:rsidRPr="00FA472B">
              <w:rPr>
                <w:kern w:val="0"/>
                <w:sz w:val="24"/>
              </w:rPr>
              <w:t>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6,862,332.38</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87,370.76</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3.</w:t>
            </w:r>
            <w:r w:rsidRPr="00FA472B">
              <w:rPr>
                <w:kern w:val="0"/>
                <w:sz w:val="24"/>
              </w:rPr>
              <w:t>加权平均基金份额本期利润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0.0165</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0.0151</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4.</w:t>
            </w:r>
            <w:r w:rsidRPr="00FA472B">
              <w:rPr>
                <w:kern w:val="0"/>
                <w:sz w:val="24"/>
              </w:rPr>
              <w:t>期末基金资产净值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347,455,766.87</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5,091,703.84</w:t>
            </w:r>
          </w:p>
        </w:tc>
      </w:tr>
      <w:tr w:rsidR="00F016DD" w:rsidRPr="00FA472B" w:rsidTr="009A5C1D">
        <w:trPr>
          <w:trHeight w:val="158"/>
        </w:trPr>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5.</w:t>
            </w:r>
            <w:r w:rsidRPr="00FA472B">
              <w:rPr>
                <w:kern w:val="0"/>
                <w:sz w:val="24"/>
              </w:rPr>
              <w:t>期末基金份额净值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0.9007</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0.8961</w:t>
            </w:r>
          </w:p>
        </w:tc>
      </w:tr>
    </w:tbl>
    <w:p w:rsidR="002D41D7" w:rsidRDefault="003E4D50">
      <w:pPr>
        <w:spacing w:line="360" w:lineRule="auto"/>
        <w:ind w:firstLineChars="200" w:firstLine="480"/>
        <w:rPr>
          <w:color w:val="000000"/>
          <w:sz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F016DD" w:rsidRPr="00C30CFF" w:rsidRDefault="00F016DD" w:rsidP="00C30CFF">
      <w:pPr>
        <w:spacing w:line="360" w:lineRule="auto"/>
        <w:ind w:firstLineChars="200" w:firstLine="480"/>
        <w:rPr>
          <w:color w:val="000000"/>
          <w:sz w:val="24"/>
        </w:rPr>
      </w:pPr>
      <w:r w:rsidRPr="00C30CFF">
        <w:rPr>
          <w:color w:val="000000"/>
          <w:sz w:val="24"/>
        </w:rPr>
        <w:t>2.</w:t>
      </w:r>
      <w:r w:rsidRPr="00C30CFF">
        <w:rPr>
          <w:color w:val="000000"/>
          <w:sz w:val="24"/>
        </w:rPr>
        <w:t>本期已实现收益指基金本期利息收入、投资收益、其他收入（不含公允价值变动收益）扣除相关费用后的余额，本期利润为本期已实现收益加上本期公允价值变动收益。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3.2 </w:t>
      </w:r>
      <w:r w:rsidRPr="0078105B">
        <w:rPr>
          <w:rFonts w:ascii="宋体" w:hAnsi="宋体" w:cs="Arial" w:hint="eastAsia"/>
          <w:b/>
          <w:color w:val="000000"/>
          <w:kern w:val="0"/>
          <w:sz w:val="24"/>
        </w:rPr>
        <w:t>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3.2.1</w:t>
      </w:r>
      <w:r w:rsidRPr="0078105B">
        <w:rPr>
          <w:rFonts w:ascii="宋体" w:hAnsi="宋体" w:cs="Arial" w:hint="eastAsia"/>
          <w:b/>
          <w:color w:val="000000"/>
          <w:kern w:val="0"/>
          <w:sz w:val="24"/>
        </w:rPr>
        <w:t>本报告期基金份额净值增长率及其与同期业绩比较基准收益率的比较</w:t>
      </w:r>
    </w:p>
    <w:p w:rsidR="00F016DD" w:rsidRPr="0078105B" w:rsidRDefault="00F016DD" w:rsidP="00174038">
      <w:pPr>
        <w:spacing w:line="360" w:lineRule="auto"/>
        <w:ind w:firstLineChars="150" w:firstLine="361"/>
        <w:rPr>
          <w:rFonts w:ascii="宋体"/>
          <w:b/>
          <w:sz w:val="24"/>
        </w:rPr>
      </w:pPr>
      <w:r w:rsidRPr="0078105B">
        <w:rPr>
          <w:rFonts w:ascii="宋体" w:hAnsi="宋体" w:cs="Arial"/>
          <w:b/>
          <w:color w:val="000000"/>
          <w:kern w:val="0"/>
          <w:sz w:val="24"/>
        </w:rPr>
        <w:t>易方达易百智能量化策略混合A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414367">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2D41D7">
        <w:tc>
          <w:tcPr>
            <w:tcW w:w="1290" w:type="dxa"/>
            <w:vAlign w:val="center"/>
          </w:tcPr>
          <w:p w:rsidR="002D41D7" w:rsidRDefault="003E4D50">
            <w:pPr>
              <w:jc w:val="left"/>
            </w:pPr>
            <w:r>
              <w:rPr>
                <w:color w:val="000000"/>
                <w:sz w:val="24"/>
              </w:rPr>
              <w:t>过去三个月</w:t>
            </w:r>
          </w:p>
        </w:tc>
        <w:tc>
          <w:tcPr>
            <w:tcW w:w="1291" w:type="dxa"/>
            <w:vAlign w:val="center"/>
          </w:tcPr>
          <w:p w:rsidR="002D41D7" w:rsidRDefault="003E4D50">
            <w:pPr>
              <w:jc w:val="center"/>
            </w:pPr>
            <w:r>
              <w:rPr>
                <w:color w:val="000000"/>
                <w:sz w:val="24"/>
              </w:rPr>
              <w:t>1.67%</w:t>
            </w:r>
          </w:p>
        </w:tc>
        <w:tc>
          <w:tcPr>
            <w:tcW w:w="1291" w:type="dxa"/>
            <w:vAlign w:val="center"/>
          </w:tcPr>
          <w:p w:rsidR="002D41D7" w:rsidRDefault="003E4D50">
            <w:pPr>
              <w:jc w:val="center"/>
            </w:pPr>
            <w:r>
              <w:rPr>
                <w:color w:val="000000"/>
                <w:sz w:val="24"/>
              </w:rPr>
              <w:t>0.95%</w:t>
            </w:r>
          </w:p>
        </w:tc>
        <w:tc>
          <w:tcPr>
            <w:tcW w:w="1291" w:type="dxa"/>
            <w:vAlign w:val="center"/>
          </w:tcPr>
          <w:p w:rsidR="002D41D7" w:rsidRDefault="003E4D50">
            <w:pPr>
              <w:jc w:val="center"/>
            </w:pPr>
            <w:r>
              <w:rPr>
                <w:color w:val="000000"/>
                <w:sz w:val="24"/>
              </w:rPr>
              <w:t>0.30%</w:t>
            </w:r>
          </w:p>
        </w:tc>
        <w:tc>
          <w:tcPr>
            <w:tcW w:w="1291" w:type="dxa"/>
            <w:vAlign w:val="center"/>
          </w:tcPr>
          <w:p w:rsidR="002D41D7" w:rsidRDefault="003E4D50">
            <w:pPr>
              <w:jc w:val="center"/>
            </w:pPr>
            <w:r>
              <w:rPr>
                <w:color w:val="000000"/>
                <w:sz w:val="24"/>
              </w:rPr>
              <w:t>0.62%</w:t>
            </w:r>
          </w:p>
        </w:tc>
        <w:tc>
          <w:tcPr>
            <w:tcW w:w="1291" w:type="dxa"/>
            <w:vAlign w:val="center"/>
          </w:tcPr>
          <w:p w:rsidR="002D41D7" w:rsidRDefault="003E4D50">
            <w:pPr>
              <w:jc w:val="center"/>
            </w:pPr>
            <w:r>
              <w:rPr>
                <w:color w:val="000000"/>
                <w:sz w:val="24"/>
              </w:rPr>
              <w:t>1.37%</w:t>
            </w:r>
          </w:p>
        </w:tc>
        <w:tc>
          <w:tcPr>
            <w:tcW w:w="1291" w:type="dxa"/>
            <w:vAlign w:val="center"/>
          </w:tcPr>
          <w:p w:rsidR="002D41D7" w:rsidRDefault="003E4D50">
            <w:pPr>
              <w:jc w:val="center"/>
            </w:pPr>
            <w:r>
              <w:rPr>
                <w:color w:val="000000"/>
                <w:sz w:val="24"/>
              </w:rPr>
              <w:t>0.33%</w:t>
            </w:r>
          </w:p>
        </w:tc>
      </w:tr>
    </w:tbl>
    <w:p w:rsidR="00F016DD" w:rsidRPr="0078105B" w:rsidRDefault="00F016DD" w:rsidP="00174038">
      <w:pPr>
        <w:adjustRightInd w:val="0"/>
        <w:spacing w:line="360" w:lineRule="auto"/>
        <w:ind w:firstLineChars="150" w:firstLine="361"/>
        <w:rPr>
          <w:rFonts w:ascii="宋体" w:cs="Arial"/>
          <w:b/>
          <w:color w:val="000000"/>
          <w:kern w:val="0"/>
          <w:sz w:val="24"/>
        </w:rPr>
      </w:pPr>
      <w:r w:rsidRPr="0078105B">
        <w:rPr>
          <w:rFonts w:ascii="宋体" w:hAnsi="宋体" w:cs="Arial"/>
          <w:b/>
          <w:color w:val="000000"/>
          <w:kern w:val="0"/>
          <w:sz w:val="24"/>
        </w:rPr>
        <w:t>易方达易百智能量化策略混合C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F4518C">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2D41D7">
        <w:tc>
          <w:tcPr>
            <w:tcW w:w="1290" w:type="dxa"/>
            <w:vAlign w:val="center"/>
          </w:tcPr>
          <w:p w:rsidR="002D41D7" w:rsidRDefault="003E4D50">
            <w:pPr>
              <w:jc w:val="left"/>
            </w:pPr>
            <w:r>
              <w:rPr>
                <w:color w:val="000000"/>
                <w:sz w:val="24"/>
              </w:rPr>
              <w:t>过去三个月</w:t>
            </w:r>
          </w:p>
        </w:tc>
        <w:tc>
          <w:tcPr>
            <w:tcW w:w="1291" w:type="dxa"/>
            <w:vAlign w:val="center"/>
          </w:tcPr>
          <w:p w:rsidR="002D41D7" w:rsidRDefault="003E4D50">
            <w:pPr>
              <w:jc w:val="center"/>
            </w:pPr>
            <w:r>
              <w:rPr>
                <w:color w:val="000000"/>
                <w:sz w:val="24"/>
              </w:rPr>
              <w:t>1.60%</w:t>
            </w:r>
          </w:p>
        </w:tc>
        <w:tc>
          <w:tcPr>
            <w:tcW w:w="1291" w:type="dxa"/>
            <w:vAlign w:val="center"/>
          </w:tcPr>
          <w:p w:rsidR="002D41D7" w:rsidRDefault="003E4D50">
            <w:pPr>
              <w:jc w:val="center"/>
            </w:pPr>
            <w:r>
              <w:rPr>
                <w:color w:val="000000"/>
                <w:sz w:val="24"/>
              </w:rPr>
              <w:t>0.95%</w:t>
            </w:r>
          </w:p>
        </w:tc>
        <w:tc>
          <w:tcPr>
            <w:tcW w:w="1291" w:type="dxa"/>
            <w:vAlign w:val="center"/>
          </w:tcPr>
          <w:p w:rsidR="002D41D7" w:rsidRDefault="003E4D50">
            <w:pPr>
              <w:jc w:val="center"/>
            </w:pPr>
            <w:r>
              <w:rPr>
                <w:color w:val="000000"/>
                <w:sz w:val="24"/>
              </w:rPr>
              <w:t>0.30%</w:t>
            </w:r>
          </w:p>
        </w:tc>
        <w:tc>
          <w:tcPr>
            <w:tcW w:w="1291" w:type="dxa"/>
            <w:vAlign w:val="center"/>
          </w:tcPr>
          <w:p w:rsidR="002D41D7" w:rsidRDefault="003E4D50">
            <w:pPr>
              <w:jc w:val="center"/>
            </w:pPr>
            <w:r>
              <w:rPr>
                <w:color w:val="000000"/>
                <w:sz w:val="24"/>
              </w:rPr>
              <w:t>0.62%</w:t>
            </w:r>
          </w:p>
        </w:tc>
        <w:tc>
          <w:tcPr>
            <w:tcW w:w="1291" w:type="dxa"/>
            <w:vAlign w:val="center"/>
          </w:tcPr>
          <w:p w:rsidR="002D41D7" w:rsidRDefault="003E4D50">
            <w:pPr>
              <w:jc w:val="center"/>
            </w:pPr>
            <w:r>
              <w:rPr>
                <w:color w:val="000000"/>
                <w:sz w:val="24"/>
              </w:rPr>
              <w:t>1.30%</w:t>
            </w:r>
          </w:p>
        </w:tc>
        <w:tc>
          <w:tcPr>
            <w:tcW w:w="1291" w:type="dxa"/>
            <w:vAlign w:val="center"/>
          </w:tcPr>
          <w:p w:rsidR="002D41D7" w:rsidRDefault="003E4D50">
            <w:pPr>
              <w:jc w:val="center"/>
            </w:pPr>
            <w:r>
              <w:rPr>
                <w:color w:val="000000"/>
                <w:sz w:val="24"/>
              </w:rPr>
              <w:t>0.33%</w:t>
            </w:r>
          </w:p>
        </w:tc>
      </w:tr>
    </w:tbl>
    <w:p w:rsidR="00F016DD" w:rsidRPr="0078105B" w:rsidRDefault="00F016DD" w:rsidP="00FC13C8">
      <w:pPr>
        <w:spacing w:line="360" w:lineRule="auto"/>
        <w:rPr>
          <w:rFonts w:ascii="宋体" w:cs="Arial"/>
          <w:b/>
          <w:color w:val="000000"/>
          <w:kern w:val="0"/>
          <w:sz w:val="24"/>
        </w:rPr>
      </w:pPr>
      <w:r w:rsidRPr="0078105B">
        <w:rPr>
          <w:rFonts w:ascii="宋体" w:hAnsi="宋体" w:cs="Arial"/>
          <w:b/>
          <w:color w:val="000000"/>
          <w:kern w:val="0"/>
          <w:sz w:val="24"/>
        </w:rPr>
        <w:t>3.2.2</w:t>
      </w:r>
      <w:r w:rsidRPr="0078105B">
        <w:rPr>
          <w:rFonts w:ascii="宋体" w:hAnsi="宋体" w:cs="Arial" w:hint="eastAsia"/>
          <w:b/>
          <w:color w:val="000000"/>
          <w:kern w:val="0"/>
          <w:sz w:val="24"/>
        </w:rPr>
        <w:t xml:space="preserve">　</w:t>
      </w:r>
      <w:r w:rsidR="00AE2480" w:rsidRPr="00370BEA">
        <w:rPr>
          <w:rStyle w:val="af6"/>
          <w:rFonts w:hint="eastAsia"/>
          <w:color w:val="000000"/>
          <w:sz w:val="24"/>
          <w:shd w:val="clear" w:color="auto" w:fill="FFFFFF"/>
        </w:rPr>
        <w:t>自基金合同生效以来</w:t>
      </w:r>
      <w:r w:rsidRPr="0078105B">
        <w:rPr>
          <w:rFonts w:ascii="宋体" w:hAnsi="宋体" w:hint="eastAsia"/>
          <w:b/>
          <w:color w:val="000000"/>
          <w:sz w:val="24"/>
        </w:rPr>
        <w:t>基金累计净值增长率变动及其与同期业绩比较基准收益率变动的比较</w:t>
      </w:r>
    </w:p>
    <w:p w:rsidR="00F016DD" w:rsidRPr="00FA472B" w:rsidRDefault="00F016DD" w:rsidP="00FC13C8">
      <w:pPr>
        <w:spacing w:line="360" w:lineRule="auto"/>
        <w:jc w:val="center"/>
        <w:rPr>
          <w:color w:val="000000"/>
          <w:sz w:val="24"/>
        </w:rPr>
      </w:pPr>
      <w:r w:rsidRPr="00FA472B">
        <w:rPr>
          <w:color w:val="000000"/>
          <w:sz w:val="24"/>
        </w:rPr>
        <w:t>易方达易百智能量化策略灵活配置混合型证券投资基金</w:t>
      </w:r>
    </w:p>
    <w:p w:rsidR="00F016DD" w:rsidRPr="00FA472B" w:rsidRDefault="00F016DD" w:rsidP="00FC13C8">
      <w:pPr>
        <w:pStyle w:val="a5"/>
        <w:snapToGrid w:val="0"/>
        <w:spacing w:line="360" w:lineRule="auto"/>
        <w:jc w:val="center"/>
        <w:rPr>
          <w:rFonts w:ascii="Times New Roman" w:hAnsi="Times New Roman"/>
          <w:color w:val="000000"/>
          <w:sz w:val="24"/>
          <w:szCs w:val="24"/>
        </w:rPr>
      </w:pPr>
      <w:r w:rsidRPr="00FA472B">
        <w:rPr>
          <w:rFonts w:ascii="Times New Roman" w:hAnsi="Times New Roman"/>
          <w:color w:val="000000"/>
          <w:sz w:val="24"/>
          <w:szCs w:val="24"/>
        </w:rPr>
        <w:t>累计净值增长率与业绩比较基准收益率的历史走势对比图</w:t>
      </w:r>
    </w:p>
    <w:p w:rsidR="00F016DD" w:rsidRPr="00FA472B" w:rsidRDefault="00F016DD" w:rsidP="00FC13C8">
      <w:pPr>
        <w:pStyle w:val="a5"/>
        <w:snapToGrid w:val="0"/>
        <w:spacing w:line="360" w:lineRule="auto"/>
        <w:ind w:firstLine="480"/>
        <w:jc w:val="center"/>
        <w:rPr>
          <w:rFonts w:ascii="Times New Roman" w:hAnsi="Times New Roman"/>
          <w:sz w:val="24"/>
          <w:szCs w:val="24"/>
        </w:rPr>
      </w:pPr>
      <w:r w:rsidRPr="00FA472B">
        <w:rPr>
          <w:rFonts w:ascii="Times New Roman" w:hAnsi="Times New Roman"/>
          <w:sz w:val="24"/>
          <w:szCs w:val="24"/>
        </w:rPr>
        <w:t>(2018</w:t>
      </w:r>
      <w:r w:rsidRPr="00FA472B">
        <w:rPr>
          <w:rFonts w:ascii="Times New Roman" w:hAnsi="Times New Roman"/>
          <w:sz w:val="24"/>
          <w:szCs w:val="24"/>
        </w:rPr>
        <w:t>年</w:t>
      </w:r>
      <w:r w:rsidRPr="00FA472B">
        <w:rPr>
          <w:rFonts w:ascii="Times New Roman" w:hAnsi="Times New Roman"/>
          <w:sz w:val="24"/>
          <w:szCs w:val="24"/>
        </w:rPr>
        <w:t>1</w:t>
      </w:r>
      <w:r w:rsidRPr="00FA472B">
        <w:rPr>
          <w:rFonts w:ascii="Times New Roman" w:hAnsi="Times New Roman"/>
          <w:sz w:val="24"/>
          <w:szCs w:val="24"/>
        </w:rPr>
        <w:t>月</w:t>
      </w:r>
      <w:r w:rsidRPr="00FA472B">
        <w:rPr>
          <w:rFonts w:ascii="Times New Roman" w:hAnsi="Times New Roman"/>
          <w:sz w:val="24"/>
          <w:szCs w:val="24"/>
        </w:rPr>
        <w:t>24</w:t>
      </w:r>
      <w:r w:rsidRPr="00FA472B">
        <w:rPr>
          <w:rFonts w:ascii="Times New Roman" w:hAnsi="Times New Roman"/>
          <w:sz w:val="24"/>
          <w:szCs w:val="24"/>
        </w:rPr>
        <w:t>日至</w:t>
      </w:r>
      <w:r w:rsidRPr="00FA472B">
        <w:rPr>
          <w:rFonts w:ascii="Times New Roman" w:hAnsi="Times New Roman"/>
          <w:sz w:val="24"/>
          <w:szCs w:val="24"/>
        </w:rPr>
        <w:t>2019</w:t>
      </w:r>
      <w:r w:rsidRPr="00FA472B">
        <w:rPr>
          <w:rFonts w:ascii="Times New Roman" w:hAnsi="Times New Roman"/>
          <w:sz w:val="24"/>
          <w:szCs w:val="24"/>
        </w:rPr>
        <w:t>年</w:t>
      </w:r>
      <w:r w:rsidRPr="00FA472B">
        <w:rPr>
          <w:rFonts w:ascii="Times New Roman" w:hAnsi="Times New Roman"/>
          <w:sz w:val="24"/>
          <w:szCs w:val="24"/>
        </w:rPr>
        <w:t>9</w:t>
      </w:r>
      <w:r w:rsidRPr="00FA472B">
        <w:rPr>
          <w:rFonts w:ascii="Times New Roman" w:hAnsi="Times New Roman"/>
          <w:sz w:val="24"/>
          <w:szCs w:val="24"/>
        </w:rPr>
        <w:t>月</w:t>
      </w:r>
      <w:r w:rsidRPr="00FA472B">
        <w:rPr>
          <w:rFonts w:ascii="Times New Roman" w:hAnsi="Times New Roman"/>
          <w:sz w:val="24"/>
          <w:szCs w:val="24"/>
        </w:rPr>
        <w:t>30</w:t>
      </w:r>
      <w:r w:rsidRPr="00FA472B">
        <w:rPr>
          <w:rFonts w:ascii="Times New Roman" w:hAnsi="Times New Roman"/>
          <w:sz w:val="24"/>
          <w:szCs w:val="24"/>
        </w:rPr>
        <w:t>日</w:t>
      </w:r>
      <w:r w:rsidRPr="00FA472B">
        <w:rPr>
          <w:rFonts w:ascii="Times New Roman" w:hAnsi="Times New Roman"/>
          <w:sz w:val="24"/>
          <w:szCs w:val="24"/>
        </w:rPr>
        <w:t>)</w:t>
      </w:r>
    </w:p>
    <w:p w:rsidR="00F016DD" w:rsidRPr="00611CB2" w:rsidRDefault="00F016DD" w:rsidP="00174038">
      <w:pPr>
        <w:snapToGrid w:val="0"/>
        <w:spacing w:line="360" w:lineRule="auto"/>
        <w:ind w:firstLineChars="50" w:firstLine="120"/>
        <w:rPr>
          <w:color w:val="000000"/>
          <w:sz w:val="24"/>
        </w:rPr>
      </w:pPr>
      <w:r w:rsidRPr="00611CB2">
        <w:rPr>
          <w:color w:val="000000"/>
          <w:sz w:val="24"/>
        </w:rPr>
        <w:t>易方达易百智能量化策略混合</w:t>
      </w:r>
      <w:r w:rsidRPr="00611CB2">
        <w:rPr>
          <w:color w:val="000000"/>
          <w:sz w:val="24"/>
        </w:rPr>
        <w:t>A</w:t>
      </w:r>
    </w:p>
    <w:p w:rsidR="00F016DD" w:rsidRPr="0078105B" w:rsidRDefault="003E4D50" w:rsidP="00FC7F43">
      <w:pPr>
        <w:pStyle w:val="20"/>
        <w:spacing w:line="288" w:lineRule="auto"/>
        <w:ind w:firstLineChars="0" w:firstLine="0"/>
        <w:jc w:val="center"/>
        <w:rPr>
          <w:color w:val="000000"/>
        </w:rPr>
      </w:pPr>
      <w:r>
        <w:rPr>
          <w:noProof/>
          <w:color w:val="00000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435.75pt;height:258pt;visibility:visible">
            <v:imagedata r:id="rId9" o:title=""/>
          </v:shape>
        </w:pict>
      </w:r>
    </w:p>
    <w:p w:rsidR="00F016DD" w:rsidRPr="00611CB2" w:rsidRDefault="00F016DD" w:rsidP="00DF18FE">
      <w:pPr>
        <w:snapToGrid w:val="0"/>
        <w:spacing w:line="360" w:lineRule="auto"/>
        <w:ind w:firstLineChars="50" w:firstLine="120"/>
        <w:rPr>
          <w:color w:val="000000"/>
          <w:sz w:val="24"/>
        </w:rPr>
      </w:pPr>
      <w:r w:rsidRPr="00611CB2">
        <w:rPr>
          <w:color w:val="000000"/>
          <w:sz w:val="24"/>
        </w:rPr>
        <w:t>易方达易百智能量化策略混合</w:t>
      </w:r>
      <w:r w:rsidRPr="00611CB2">
        <w:rPr>
          <w:color w:val="000000"/>
          <w:sz w:val="24"/>
        </w:rPr>
        <w:t>C</w:t>
      </w:r>
    </w:p>
    <w:p w:rsidR="00F016DD" w:rsidRPr="0078105B" w:rsidRDefault="003E4D50" w:rsidP="00FC7F43">
      <w:pPr>
        <w:pStyle w:val="20"/>
        <w:spacing w:line="288" w:lineRule="auto"/>
        <w:ind w:firstLineChars="0" w:firstLine="0"/>
        <w:jc w:val="center"/>
        <w:rPr>
          <w:color w:val="000000"/>
        </w:rPr>
      </w:pPr>
      <w:r>
        <w:rPr>
          <w:noProof/>
          <w:color w:val="000000"/>
        </w:rPr>
        <w:pict>
          <v:shape id="图片 3" o:spid="_x0000_i1026" type="#_x0000_t75" style="width:435.75pt;height:258pt;visibility:visible">
            <v:imagedata r:id="rId10" o:title=""/>
          </v:shape>
        </w:pict>
      </w:r>
    </w:p>
    <w:p w:rsidR="00F016DD" w:rsidRPr="00DF18FE" w:rsidRDefault="00F016DD" w:rsidP="00DF18FE">
      <w:pPr>
        <w:spacing w:line="360" w:lineRule="auto"/>
        <w:ind w:firstLineChars="200" w:firstLine="480"/>
        <w:rPr>
          <w:color w:val="000000"/>
          <w:sz w:val="24"/>
        </w:rPr>
      </w:pPr>
      <w:r w:rsidRPr="00DF18FE">
        <w:rPr>
          <w:color w:val="000000"/>
          <w:sz w:val="24"/>
        </w:rPr>
        <w:t>注：自基金合同生效至报告期末，</w:t>
      </w:r>
      <w:r w:rsidRPr="00DF18FE">
        <w:rPr>
          <w:color w:val="000000"/>
          <w:sz w:val="24"/>
        </w:rPr>
        <w:t>A</w:t>
      </w:r>
      <w:r w:rsidRPr="00DF18FE">
        <w:rPr>
          <w:color w:val="000000"/>
          <w:sz w:val="24"/>
        </w:rPr>
        <w:t>类基金份额净值增长率为</w:t>
      </w:r>
      <w:r w:rsidRPr="00DF18FE">
        <w:rPr>
          <w:color w:val="000000"/>
          <w:sz w:val="24"/>
        </w:rPr>
        <w:t>-9.93%</w:t>
      </w:r>
      <w:r w:rsidRPr="00DF18FE">
        <w:rPr>
          <w:color w:val="000000"/>
          <w:sz w:val="24"/>
        </w:rPr>
        <w:t>，</w:t>
      </w:r>
      <w:r w:rsidRPr="00DF18FE">
        <w:rPr>
          <w:color w:val="000000"/>
          <w:sz w:val="24"/>
        </w:rPr>
        <w:t>C</w:t>
      </w:r>
      <w:r w:rsidRPr="00DF18FE">
        <w:rPr>
          <w:color w:val="000000"/>
          <w:sz w:val="24"/>
        </w:rPr>
        <w:t>类基金份额净值增长率为</w:t>
      </w:r>
      <w:r w:rsidRPr="00DF18FE">
        <w:rPr>
          <w:color w:val="000000"/>
          <w:sz w:val="24"/>
        </w:rPr>
        <w:t>-10.39%</w:t>
      </w:r>
      <w:r w:rsidRPr="00DF18FE">
        <w:rPr>
          <w:color w:val="000000"/>
          <w:sz w:val="24"/>
        </w:rPr>
        <w:t>，同期业绩比较基准收益率为</w:t>
      </w:r>
      <w:r w:rsidRPr="00DF18FE">
        <w:rPr>
          <w:color w:val="000000"/>
          <w:sz w:val="24"/>
        </w:rPr>
        <w:t>-4.39%</w:t>
      </w:r>
      <w:r w:rsidRPr="00DF18FE">
        <w:rPr>
          <w:color w:val="000000"/>
          <w:sz w:val="24"/>
        </w:rPr>
        <w:t>。</w:t>
      </w:r>
    </w:p>
    <w:p w:rsidR="00F016DD" w:rsidRPr="00FA472B" w:rsidRDefault="00F016DD" w:rsidP="006C5BC9">
      <w:pPr>
        <w:tabs>
          <w:tab w:val="left" w:pos="1800"/>
        </w:tabs>
        <w:spacing w:line="288" w:lineRule="auto"/>
        <w:rPr>
          <w:color w:val="000000"/>
          <w:sz w:val="24"/>
        </w:rPr>
      </w:pP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4  </w:t>
      </w:r>
      <w:r w:rsidRPr="0078105B">
        <w:rPr>
          <w:rFonts w:ascii="宋体" w:hAnsi="宋体" w:cs="Arial" w:hint="eastAsia"/>
          <w:color w:val="000000"/>
          <w:kern w:val="0"/>
          <w:sz w:val="24"/>
          <w:szCs w:val="24"/>
        </w:rPr>
        <w:t>管理人报告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4.1 </w:t>
      </w:r>
      <w:r w:rsidRPr="0078105B">
        <w:rPr>
          <w:rFonts w:ascii="宋体" w:hAnsi="宋体" w:cs="Arial" w:hint="eastAsia"/>
          <w:b/>
          <w:color w:val="000000"/>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F016DD" w:rsidRPr="0078105B" w:rsidTr="00B54884">
        <w:trPr>
          <w:cantSplit/>
        </w:trPr>
        <w:tc>
          <w:tcPr>
            <w:tcW w:w="56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lastRenderedPageBreak/>
              <w:t>姓名</w:t>
            </w:r>
          </w:p>
        </w:tc>
        <w:tc>
          <w:tcPr>
            <w:tcW w:w="2835"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F016DD" w:rsidRPr="0078105B" w:rsidTr="00B54884">
        <w:trPr>
          <w:cantSplit/>
        </w:trPr>
        <w:tc>
          <w:tcPr>
            <w:tcW w:w="56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835" w:type="dxa"/>
            <w:vMerge/>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851"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97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r>
      <w:tr w:rsidR="002D41D7">
        <w:tc>
          <w:tcPr>
            <w:tcW w:w="567" w:type="dxa"/>
            <w:vAlign w:val="center"/>
          </w:tcPr>
          <w:p w:rsidR="002D41D7" w:rsidRDefault="003E4D50">
            <w:pPr>
              <w:jc w:val="center"/>
            </w:pPr>
            <w:r>
              <w:rPr>
                <w:color w:val="000000"/>
                <w:sz w:val="24"/>
              </w:rPr>
              <w:t>官泽帆</w:t>
            </w:r>
          </w:p>
        </w:tc>
        <w:tc>
          <w:tcPr>
            <w:tcW w:w="2835" w:type="dxa"/>
            <w:vAlign w:val="center"/>
          </w:tcPr>
          <w:p w:rsidR="002D41D7" w:rsidRDefault="003E4D50">
            <w:pPr>
              <w:jc w:val="center"/>
            </w:pPr>
            <w:r>
              <w:rPr>
                <w:color w:val="000000"/>
                <w:sz w:val="24"/>
              </w:rPr>
              <w:t>本基金的基金经理、易方达量化策略精选灵活配置混合型证券投资基金的基金经理、易方达沪深</w:t>
            </w:r>
            <w:r>
              <w:rPr>
                <w:color w:val="000000"/>
                <w:sz w:val="24"/>
              </w:rPr>
              <w:t>300</w:t>
            </w:r>
            <w:r>
              <w:rPr>
                <w:color w:val="000000"/>
                <w:sz w:val="24"/>
              </w:rPr>
              <w:t>量化增强证券投资基金的基金经理</w:t>
            </w:r>
          </w:p>
        </w:tc>
        <w:tc>
          <w:tcPr>
            <w:tcW w:w="851" w:type="dxa"/>
            <w:vAlign w:val="center"/>
          </w:tcPr>
          <w:p w:rsidR="002D41D7" w:rsidRDefault="003E4D50">
            <w:pPr>
              <w:jc w:val="center"/>
            </w:pPr>
            <w:r>
              <w:rPr>
                <w:color w:val="000000"/>
                <w:sz w:val="24"/>
              </w:rPr>
              <w:t>2018-01-24</w:t>
            </w:r>
          </w:p>
        </w:tc>
        <w:tc>
          <w:tcPr>
            <w:tcW w:w="850" w:type="dxa"/>
            <w:vAlign w:val="center"/>
          </w:tcPr>
          <w:p w:rsidR="002D41D7" w:rsidRDefault="003E4D50">
            <w:pPr>
              <w:jc w:val="center"/>
            </w:pPr>
            <w:r>
              <w:rPr>
                <w:color w:val="000000"/>
                <w:sz w:val="24"/>
              </w:rPr>
              <w:t>-</w:t>
            </w:r>
          </w:p>
        </w:tc>
        <w:tc>
          <w:tcPr>
            <w:tcW w:w="851" w:type="dxa"/>
            <w:vAlign w:val="center"/>
          </w:tcPr>
          <w:p w:rsidR="002D41D7" w:rsidRDefault="003E4D50">
            <w:pPr>
              <w:jc w:val="center"/>
            </w:pPr>
            <w:r>
              <w:rPr>
                <w:color w:val="000000"/>
                <w:sz w:val="24"/>
              </w:rPr>
              <w:t>9</w:t>
            </w:r>
            <w:r>
              <w:rPr>
                <w:color w:val="000000"/>
                <w:sz w:val="24"/>
              </w:rPr>
              <w:t>年</w:t>
            </w:r>
          </w:p>
        </w:tc>
        <w:tc>
          <w:tcPr>
            <w:tcW w:w="2977" w:type="dxa"/>
            <w:vAlign w:val="center"/>
          </w:tcPr>
          <w:p w:rsidR="002D41D7" w:rsidRDefault="003E4D50">
            <w:r>
              <w:rPr>
                <w:color w:val="000000"/>
                <w:sz w:val="24"/>
              </w:rPr>
              <w:t>硕士研究生，曾任招商基金管理有限公司投资开发工程师，摩根士丹利华鑫基金管理有限公司数量化研究员、基金经理助理，易方达基金管理有限公司易方达沪深</w:t>
            </w:r>
            <w:r>
              <w:rPr>
                <w:color w:val="000000"/>
                <w:sz w:val="24"/>
              </w:rPr>
              <w:t>300</w:t>
            </w:r>
            <w:r>
              <w:rPr>
                <w:color w:val="000000"/>
                <w:sz w:val="24"/>
              </w:rPr>
              <w:t>量化增强证券投资基金基金经理助理。</w:t>
            </w:r>
          </w:p>
        </w:tc>
      </w:tr>
    </w:tbl>
    <w:p w:rsidR="002D41D7" w:rsidRDefault="003E4D50">
      <w:pPr>
        <w:spacing w:line="360" w:lineRule="auto"/>
        <w:ind w:firstLineChars="200" w:firstLine="480"/>
        <w:rPr>
          <w:color w:val="000000"/>
          <w:sz w:val="24"/>
        </w:rPr>
      </w:pPr>
      <w:r>
        <w:rPr>
          <w:color w:val="000000"/>
          <w:sz w:val="24"/>
        </w:rPr>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F016DD" w:rsidRPr="00EA6415" w:rsidRDefault="00F016DD" w:rsidP="00DF18FE">
      <w:pPr>
        <w:spacing w:line="360" w:lineRule="auto"/>
        <w:ind w:firstLineChars="200" w:firstLine="480"/>
        <w:rPr>
          <w:color w:val="000000"/>
          <w:sz w:val="24"/>
        </w:rPr>
      </w:pPr>
      <w:r w:rsidRPr="00DF18FE">
        <w:rPr>
          <w:color w:val="000000"/>
          <w:sz w:val="24"/>
        </w:rPr>
        <w:t>2.</w:t>
      </w:r>
      <w:r w:rsidRPr="00DF18FE">
        <w:rPr>
          <w:color w:val="000000"/>
          <w:sz w:val="24"/>
        </w:rPr>
        <w:t>证券从业的含义遵从《证券业从业人员资格管理办法》的相关规定。</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4.2</w:t>
      </w:r>
      <w:r>
        <w:rPr>
          <w:rFonts w:cs="Arial" w:hint="eastAsia"/>
          <w:b/>
          <w:color w:val="000000"/>
          <w:kern w:val="0"/>
          <w:sz w:val="24"/>
        </w:rPr>
        <w:t>管理人对</w:t>
      </w:r>
      <w:r w:rsidRPr="00BB04BF">
        <w:rPr>
          <w:rFonts w:cs="Arial" w:hint="eastAsia"/>
          <w:b/>
          <w:color w:val="000000"/>
          <w:kern w:val="0"/>
          <w:sz w:val="24"/>
        </w:rPr>
        <w:t>报告期内本基金运作遵规守信情况</w:t>
      </w:r>
      <w:r>
        <w:rPr>
          <w:rFonts w:cs="Arial" w:hint="eastAsia"/>
          <w:b/>
          <w:color w:val="000000"/>
          <w:kern w:val="0"/>
          <w:sz w:val="24"/>
        </w:rPr>
        <w:t>的</w:t>
      </w:r>
      <w:r w:rsidRPr="00BB04BF">
        <w:rPr>
          <w:rFonts w:cs="Arial" w:hint="eastAsia"/>
          <w:b/>
          <w:color w:val="000000"/>
          <w:kern w:val="0"/>
          <w:sz w:val="24"/>
        </w:rPr>
        <w:t>说明</w:t>
      </w:r>
    </w:p>
    <w:p w:rsidR="00F016DD" w:rsidRPr="00DF18FE" w:rsidRDefault="00F016DD" w:rsidP="00DF18FE">
      <w:pPr>
        <w:spacing w:line="360" w:lineRule="auto"/>
        <w:ind w:firstLineChars="200" w:firstLine="480"/>
        <w:rPr>
          <w:color w:val="000000"/>
          <w:sz w:val="24"/>
        </w:rPr>
      </w:pPr>
      <w:r w:rsidRPr="00DF18FE">
        <w:rPr>
          <w:color w:val="000000"/>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4.3 </w:t>
      </w:r>
      <w:r w:rsidRPr="0078105B">
        <w:rPr>
          <w:rFonts w:ascii="宋体" w:hAnsi="宋体" w:cs="Arial" w:hint="eastAsia"/>
          <w:b/>
          <w:color w:val="000000"/>
          <w:kern w:val="0"/>
          <w:sz w:val="24"/>
        </w:rPr>
        <w:t>公平交易专项说明</w:t>
      </w:r>
    </w:p>
    <w:p w:rsidR="00F016DD" w:rsidRPr="00FA472B" w:rsidRDefault="00F016DD" w:rsidP="00FC13C8">
      <w:pPr>
        <w:spacing w:line="360" w:lineRule="auto"/>
        <w:rPr>
          <w:rFonts w:ascii="宋体" w:hAnsi="宋体"/>
          <w:sz w:val="24"/>
        </w:rPr>
      </w:pPr>
      <w:r w:rsidRPr="00FA472B">
        <w:rPr>
          <w:rFonts w:ascii="宋体" w:hAnsi="宋体"/>
          <w:sz w:val="24"/>
        </w:rPr>
        <w:t xml:space="preserve">4.3.1 </w:t>
      </w:r>
      <w:r w:rsidRPr="00FA472B">
        <w:rPr>
          <w:rFonts w:ascii="宋体" w:hAnsi="宋体" w:hint="eastAsia"/>
          <w:sz w:val="24"/>
        </w:rPr>
        <w:t>公平交易制度的执行情况</w:t>
      </w:r>
    </w:p>
    <w:p w:rsidR="00F016DD" w:rsidRPr="00EA6415" w:rsidRDefault="00F016DD" w:rsidP="00DF18FE">
      <w:pPr>
        <w:spacing w:line="360" w:lineRule="auto"/>
        <w:ind w:firstLineChars="200" w:firstLine="480"/>
        <w:rPr>
          <w:color w:val="000000"/>
          <w:sz w:val="24"/>
        </w:rPr>
      </w:pPr>
      <w:r w:rsidRPr="00DF18FE">
        <w:rPr>
          <w:color w:val="000000"/>
          <w:sz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DF18FE">
        <w:rPr>
          <w:color w:val="000000"/>
          <w:sz w:val="24"/>
        </w:rPr>
        <w:t>“</w:t>
      </w:r>
      <w:r w:rsidRPr="00DF18FE">
        <w:rPr>
          <w:color w:val="000000"/>
          <w:sz w:val="24"/>
        </w:rPr>
        <w:t>时间优先、价格优先</w:t>
      </w:r>
      <w:r w:rsidRPr="00DF18FE">
        <w:rPr>
          <w:color w:val="000000"/>
          <w:sz w:val="24"/>
        </w:rPr>
        <w:t>”</w:t>
      </w:r>
      <w:r w:rsidRPr="00DF18FE">
        <w:rPr>
          <w:color w:val="000000"/>
          <w:sz w:val="24"/>
        </w:rPr>
        <w:t>作为执行指令的基本原则，通过投资交易系统中的公平交易模块，以尽可能确保公平对待各投资组合。本报告期内，公平交易制度总体执行情况良好。</w:t>
      </w:r>
    </w:p>
    <w:p w:rsidR="00F016DD" w:rsidRPr="00FA472B" w:rsidRDefault="00F016DD" w:rsidP="00FC13C8">
      <w:pPr>
        <w:spacing w:line="360" w:lineRule="auto"/>
        <w:rPr>
          <w:rFonts w:ascii="宋体" w:hAnsi="宋体"/>
          <w:sz w:val="24"/>
        </w:rPr>
      </w:pPr>
      <w:r w:rsidRPr="00FA472B">
        <w:rPr>
          <w:rFonts w:ascii="宋体" w:hAnsi="宋体"/>
          <w:sz w:val="24"/>
        </w:rPr>
        <w:t xml:space="preserve">4.3.2 </w:t>
      </w:r>
      <w:r w:rsidRPr="00FA472B">
        <w:rPr>
          <w:rFonts w:ascii="宋体" w:hAnsi="宋体" w:hint="eastAsia"/>
          <w:sz w:val="24"/>
        </w:rPr>
        <w:t>异常交易行为的专项说明</w:t>
      </w:r>
    </w:p>
    <w:p w:rsidR="002D41D7" w:rsidRDefault="003E4D50">
      <w:pPr>
        <w:spacing w:line="360" w:lineRule="auto"/>
        <w:ind w:firstLineChars="200" w:firstLine="480"/>
        <w:rPr>
          <w:color w:val="000000"/>
          <w:sz w:val="24"/>
        </w:rPr>
      </w:pPr>
      <w:r>
        <w:rPr>
          <w:color w:val="000000"/>
          <w:sz w:val="24"/>
        </w:rPr>
        <w:t>本报告期内，公司旗下所有投资组合参与的交易所公开竞价交易中，同日反向交</w:t>
      </w:r>
      <w:r>
        <w:rPr>
          <w:color w:val="000000"/>
          <w:sz w:val="24"/>
        </w:rPr>
        <w:t>易成交较少的单边交易量超过该证券当日成交量的</w:t>
      </w:r>
      <w:r>
        <w:rPr>
          <w:color w:val="000000"/>
          <w:sz w:val="24"/>
        </w:rPr>
        <w:t>5%</w:t>
      </w:r>
      <w:r>
        <w:rPr>
          <w:color w:val="000000"/>
          <w:sz w:val="24"/>
        </w:rPr>
        <w:t>的交易共</w:t>
      </w:r>
      <w:r>
        <w:rPr>
          <w:color w:val="000000"/>
          <w:sz w:val="24"/>
        </w:rPr>
        <w:t>26</w:t>
      </w:r>
      <w:r>
        <w:rPr>
          <w:color w:val="000000"/>
          <w:sz w:val="24"/>
        </w:rPr>
        <w:t>次，均为指数量化</w:t>
      </w:r>
      <w:r>
        <w:rPr>
          <w:color w:val="000000"/>
          <w:sz w:val="24"/>
        </w:rPr>
        <w:lastRenderedPageBreak/>
        <w:t>投资组合因投资策略需要和其他组合发生的反向交易。</w:t>
      </w:r>
    </w:p>
    <w:p w:rsidR="00F016DD" w:rsidRPr="00DF18FE" w:rsidRDefault="00F016DD" w:rsidP="00DF18FE">
      <w:pPr>
        <w:spacing w:line="360" w:lineRule="auto"/>
        <w:ind w:firstLineChars="200" w:firstLine="480"/>
        <w:rPr>
          <w:color w:val="000000"/>
          <w:sz w:val="24"/>
        </w:rPr>
      </w:pPr>
      <w:r w:rsidRPr="00DF18FE">
        <w:rPr>
          <w:color w:val="000000"/>
          <w:sz w:val="24"/>
        </w:rPr>
        <w:t>本报告期内，未发现本基金有可能导致不公平交易和利益输送的异常交易。</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4.4 </w:t>
      </w:r>
      <w:r w:rsidRPr="0078105B">
        <w:rPr>
          <w:rFonts w:ascii="宋体" w:hAnsi="宋体" w:cs="Arial" w:hint="eastAsia"/>
          <w:b/>
          <w:color w:val="000000"/>
          <w:kern w:val="0"/>
          <w:sz w:val="24"/>
        </w:rPr>
        <w:t>报告期内基金的投资策略和业绩表现说明</w:t>
      </w:r>
    </w:p>
    <w:p w:rsidR="00F016DD" w:rsidRPr="0078105B" w:rsidRDefault="00F016DD" w:rsidP="00FC13C8">
      <w:pPr>
        <w:spacing w:line="360" w:lineRule="auto"/>
        <w:rPr>
          <w:rFonts w:ascii="宋体"/>
          <w:sz w:val="24"/>
        </w:rPr>
      </w:pPr>
      <w:r w:rsidRPr="0078105B">
        <w:rPr>
          <w:rFonts w:ascii="宋体" w:hAnsi="宋体"/>
          <w:sz w:val="24"/>
        </w:rPr>
        <w:t>4.4.1</w:t>
      </w:r>
      <w:r w:rsidRPr="0078105B">
        <w:rPr>
          <w:rFonts w:ascii="宋体" w:hAnsi="宋体" w:hint="eastAsia"/>
          <w:sz w:val="24"/>
        </w:rPr>
        <w:t>报告期内基金投资策略和运作分析</w:t>
      </w:r>
    </w:p>
    <w:p w:rsidR="002D41D7" w:rsidRDefault="003E4D50">
      <w:pPr>
        <w:spacing w:line="360" w:lineRule="auto"/>
        <w:ind w:firstLineChars="200" w:firstLine="480"/>
        <w:rPr>
          <w:color w:val="000000"/>
          <w:sz w:val="24"/>
        </w:rPr>
      </w:pPr>
      <w:r>
        <w:rPr>
          <w:color w:val="000000"/>
          <w:sz w:val="24"/>
        </w:rPr>
        <w:t>回顾本报告期，从传统意义上的经济的</w:t>
      </w:r>
      <w:r>
        <w:rPr>
          <w:color w:val="000000"/>
          <w:sz w:val="24"/>
        </w:rPr>
        <w:t>“</w:t>
      </w:r>
      <w:r>
        <w:rPr>
          <w:color w:val="000000"/>
          <w:sz w:val="24"/>
        </w:rPr>
        <w:t>三驾马车</w:t>
      </w:r>
      <w:r>
        <w:rPr>
          <w:color w:val="000000"/>
          <w:sz w:val="24"/>
        </w:rPr>
        <w:t>”</w:t>
      </w:r>
      <w:r>
        <w:rPr>
          <w:color w:val="000000"/>
          <w:sz w:val="24"/>
        </w:rPr>
        <w:t>：投资、消费、净出口相关数据来看，国内宏观经济下行压力依旧。</w:t>
      </w:r>
      <w:r>
        <w:rPr>
          <w:color w:val="000000"/>
          <w:sz w:val="24"/>
        </w:rPr>
        <w:t>8</w:t>
      </w:r>
      <w:r>
        <w:rPr>
          <w:color w:val="000000"/>
          <w:sz w:val="24"/>
        </w:rPr>
        <w:t>月份固定资产投资完成额累计同比增长</w:t>
      </w:r>
      <w:r>
        <w:rPr>
          <w:color w:val="000000"/>
          <w:sz w:val="24"/>
        </w:rPr>
        <w:t>5.5%</w:t>
      </w:r>
      <w:r>
        <w:rPr>
          <w:color w:val="000000"/>
          <w:sz w:val="24"/>
        </w:rPr>
        <w:t>，社会消费品零售总额当月同比增长</w:t>
      </w:r>
      <w:r>
        <w:rPr>
          <w:color w:val="000000"/>
          <w:sz w:val="24"/>
        </w:rPr>
        <w:t>7.5%</w:t>
      </w:r>
      <w:r>
        <w:rPr>
          <w:color w:val="000000"/>
          <w:sz w:val="24"/>
        </w:rPr>
        <w:t>，均显著低于二季度末的值。进出口方面，受</w:t>
      </w:r>
      <w:r>
        <w:rPr>
          <w:color w:val="000000"/>
          <w:sz w:val="24"/>
        </w:rPr>
        <w:t>贸易战影响，虽然我国对外贸易整体仍处在贸易顺差的环境中，但</w:t>
      </w:r>
      <w:r>
        <w:rPr>
          <w:color w:val="000000"/>
          <w:sz w:val="24"/>
        </w:rPr>
        <w:t>8</w:t>
      </w:r>
      <w:r>
        <w:rPr>
          <w:color w:val="000000"/>
          <w:sz w:val="24"/>
        </w:rPr>
        <w:t>月份的出口金额当月同比下降了</w:t>
      </w:r>
      <w:r>
        <w:rPr>
          <w:color w:val="000000"/>
          <w:sz w:val="24"/>
        </w:rPr>
        <w:t>1%</w:t>
      </w:r>
      <w:r>
        <w:rPr>
          <w:color w:val="000000"/>
          <w:sz w:val="24"/>
        </w:rPr>
        <w:t>。资金方面，</w:t>
      </w:r>
      <w:r>
        <w:rPr>
          <w:color w:val="000000"/>
          <w:sz w:val="24"/>
        </w:rPr>
        <w:t>7</w:t>
      </w:r>
      <w:r>
        <w:rPr>
          <w:color w:val="000000"/>
          <w:sz w:val="24"/>
        </w:rPr>
        <w:t>月、</w:t>
      </w:r>
      <w:r>
        <w:rPr>
          <w:color w:val="000000"/>
          <w:sz w:val="24"/>
        </w:rPr>
        <w:t>8</w:t>
      </w:r>
      <w:r>
        <w:rPr>
          <w:color w:val="000000"/>
          <w:sz w:val="24"/>
        </w:rPr>
        <w:t>月的</w:t>
      </w:r>
      <w:r>
        <w:rPr>
          <w:color w:val="000000"/>
          <w:sz w:val="24"/>
        </w:rPr>
        <w:t>M2</w:t>
      </w:r>
      <w:r>
        <w:rPr>
          <w:color w:val="000000"/>
          <w:sz w:val="24"/>
        </w:rPr>
        <w:t>同比增长相较</w:t>
      </w:r>
      <w:r>
        <w:rPr>
          <w:color w:val="000000"/>
          <w:sz w:val="24"/>
        </w:rPr>
        <w:t>6</w:t>
      </w:r>
      <w:r>
        <w:rPr>
          <w:color w:val="000000"/>
          <w:sz w:val="24"/>
        </w:rPr>
        <w:t>月均有一定下降，而信用扩张的脚步也逐渐放缓，广义社融增速在达到</w:t>
      </w:r>
      <w:r>
        <w:rPr>
          <w:color w:val="000000"/>
          <w:sz w:val="24"/>
        </w:rPr>
        <w:t>6</w:t>
      </w:r>
      <w:r>
        <w:rPr>
          <w:color w:val="000000"/>
          <w:sz w:val="24"/>
        </w:rPr>
        <w:t>月份的高点后回落。但与此同时，我国金融市场逐步开放的方向不变，国家外汇管理局近日正式宣布全面取消合格境外机构投资者</w:t>
      </w:r>
      <w:r>
        <w:rPr>
          <w:color w:val="000000"/>
          <w:sz w:val="24"/>
        </w:rPr>
        <w:t>(QFII)</w:t>
      </w:r>
      <w:r>
        <w:rPr>
          <w:color w:val="000000"/>
          <w:sz w:val="24"/>
        </w:rPr>
        <w:t>和人民币合格境外机构投资者</w:t>
      </w:r>
      <w:r>
        <w:rPr>
          <w:color w:val="000000"/>
          <w:sz w:val="24"/>
        </w:rPr>
        <w:t>(RQFII)</w:t>
      </w:r>
      <w:r>
        <w:rPr>
          <w:color w:val="000000"/>
          <w:sz w:val="24"/>
        </w:rPr>
        <w:t>投资额度限制，料将带来大量增量资金，并且进一步促进</w:t>
      </w:r>
      <w:r>
        <w:rPr>
          <w:color w:val="000000"/>
          <w:sz w:val="24"/>
        </w:rPr>
        <w:t>A</w:t>
      </w:r>
      <w:r>
        <w:rPr>
          <w:color w:val="000000"/>
          <w:sz w:val="24"/>
        </w:rPr>
        <w:t>股市场的机构化。</w:t>
      </w:r>
    </w:p>
    <w:p w:rsidR="002D41D7" w:rsidRDefault="003E4D50">
      <w:pPr>
        <w:spacing w:line="360" w:lineRule="auto"/>
        <w:ind w:firstLineChars="200" w:firstLine="480"/>
        <w:rPr>
          <w:color w:val="000000"/>
          <w:sz w:val="24"/>
        </w:rPr>
      </w:pPr>
      <w:r>
        <w:rPr>
          <w:color w:val="000000"/>
          <w:sz w:val="24"/>
        </w:rPr>
        <w:t>得益于政策的边际宽松，以及</w:t>
      </w:r>
      <w:r>
        <w:rPr>
          <w:color w:val="000000"/>
          <w:sz w:val="24"/>
        </w:rPr>
        <w:t>7</w:t>
      </w:r>
      <w:r>
        <w:rPr>
          <w:color w:val="000000"/>
          <w:sz w:val="24"/>
        </w:rPr>
        <w:t>月份科创板的正式开板，三季度市场情绪有所修复，市场</w:t>
      </w:r>
      <w:r>
        <w:rPr>
          <w:color w:val="000000"/>
          <w:sz w:val="24"/>
        </w:rPr>
        <w:t>风格整体上偏向成长股。因此，在三季度中，上证综指跌</w:t>
      </w:r>
      <w:r>
        <w:rPr>
          <w:color w:val="000000"/>
          <w:sz w:val="24"/>
        </w:rPr>
        <w:t>2.47%</w:t>
      </w:r>
      <w:r>
        <w:rPr>
          <w:color w:val="000000"/>
          <w:sz w:val="24"/>
        </w:rPr>
        <w:t>，而深证成指和创业板指则分别涨</w:t>
      </w:r>
      <w:r>
        <w:rPr>
          <w:color w:val="000000"/>
          <w:sz w:val="24"/>
        </w:rPr>
        <w:t>2.92%</w:t>
      </w:r>
      <w:r>
        <w:rPr>
          <w:color w:val="000000"/>
          <w:sz w:val="24"/>
        </w:rPr>
        <w:t>和</w:t>
      </w:r>
      <w:r>
        <w:rPr>
          <w:color w:val="000000"/>
          <w:sz w:val="24"/>
        </w:rPr>
        <w:t>7.68%</w:t>
      </w:r>
      <w:r>
        <w:rPr>
          <w:color w:val="000000"/>
          <w:sz w:val="24"/>
        </w:rPr>
        <w:t>，深证成指和创业板指在三季度的表现明显强于上证综指。而行业方面，也同样是偏高科技、成长类的行业如电子、医药生物和计算机表现最为强势，而部分传统周期类行业如钢铁、采掘、建筑装饰和有色金属则表现较弱。市场情绪修复下的成长股行情也在因子层面得到了体现，动量、盈利质量、盈利惊喜和历史成长等因子在三季度整体表现较为突出，而偏向价值股的传统估值类因子和短期反转类因子则集体失效。</w:t>
      </w:r>
    </w:p>
    <w:p w:rsidR="00F016DD" w:rsidRPr="00DF18FE" w:rsidRDefault="00F016DD" w:rsidP="00DF18FE">
      <w:pPr>
        <w:spacing w:line="360" w:lineRule="auto"/>
        <w:ind w:firstLineChars="200" w:firstLine="480"/>
        <w:rPr>
          <w:color w:val="000000"/>
          <w:sz w:val="24"/>
        </w:rPr>
      </w:pPr>
      <w:r w:rsidRPr="00DF18FE">
        <w:rPr>
          <w:color w:val="000000"/>
          <w:sz w:val="24"/>
        </w:rPr>
        <w:t>本基金借助量化选股模型，精选估值合理且具备一定成长属性的优秀个股，把握市场反弹时的投资机会，坚持采用多因子量化模型进行选股，顺应市场风格变换，配置长期稳健的策略模型，为投资人创造优良的投资回报。</w:t>
      </w:r>
    </w:p>
    <w:p w:rsidR="00F016DD" w:rsidRPr="0078105B" w:rsidRDefault="00F016DD" w:rsidP="00FC13C8">
      <w:pPr>
        <w:spacing w:line="360" w:lineRule="auto"/>
        <w:rPr>
          <w:rFonts w:ascii="宋体"/>
          <w:sz w:val="24"/>
        </w:rPr>
      </w:pPr>
      <w:r w:rsidRPr="0078105B">
        <w:rPr>
          <w:rFonts w:ascii="宋体" w:hAnsi="宋体"/>
          <w:sz w:val="24"/>
        </w:rPr>
        <w:t>4.4.2</w:t>
      </w:r>
      <w:r w:rsidRPr="0078105B">
        <w:rPr>
          <w:rFonts w:ascii="宋体" w:hAnsi="宋体" w:hint="eastAsia"/>
          <w:sz w:val="24"/>
        </w:rPr>
        <w:t>报告期内基金的业绩表现</w:t>
      </w:r>
    </w:p>
    <w:p w:rsidR="00F016DD" w:rsidRPr="00DF18FE" w:rsidRDefault="00F016DD" w:rsidP="00DF18FE">
      <w:pPr>
        <w:spacing w:line="360" w:lineRule="auto"/>
        <w:ind w:firstLineChars="200" w:firstLine="480"/>
        <w:rPr>
          <w:color w:val="000000"/>
          <w:sz w:val="24"/>
        </w:rPr>
      </w:pPr>
      <w:r w:rsidRPr="00DF18FE">
        <w:rPr>
          <w:color w:val="000000"/>
          <w:sz w:val="24"/>
        </w:rPr>
        <w:t>截至报告期末，本基金</w:t>
      </w:r>
      <w:r w:rsidRPr="00DF18FE">
        <w:rPr>
          <w:color w:val="000000"/>
          <w:sz w:val="24"/>
        </w:rPr>
        <w:t>A</w:t>
      </w:r>
      <w:r w:rsidRPr="00DF18FE">
        <w:rPr>
          <w:color w:val="000000"/>
          <w:sz w:val="24"/>
        </w:rPr>
        <w:t>类基金份额净值为</w:t>
      </w:r>
      <w:r w:rsidRPr="00DF18FE">
        <w:rPr>
          <w:color w:val="000000"/>
          <w:sz w:val="24"/>
        </w:rPr>
        <w:t>0.9007</w:t>
      </w:r>
      <w:r w:rsidRPr="00DF18FE">
        <w:rPr>
          <w:color w:val="000000"/>
          <w:sz w:val="24"/>
        </w:rPr>
        <w:t>元，本报告期份额净值增长率为</w:t>
      </w:r>
      <w:r w:rsidRPr="00DF18FE">
        <w:rPr>
          <w:color w:val="000000"/>
          <w:sz w:val="24"/>
        </w:rPr>
        <w:t>1.67%</w:t>
      </w:r>
      <w:r w:rsidRPr="00DF18FE">
        <w:rPr>
          <w:color w:val="000000"/>
          <w:sz w:val="24"/>
        </w:rPr>
        <w:t>；</w:t>
      </w:r>
      <w:r w:rsidRPr="00DF18FE">
        <w:rPr>
          <w:color w:val="000000"/>
          <w:sz w:val="24"/>
        </w:rPr>
        <w:t>C</w:t>
      </w:r>
      <w:r w:rsidRPr="00DF18FE">
        <w:rPr>
          <w:color w:val="000000"/>
          <w:sz w:val="24"/>
        </w:rPr>
        <w:t>类基金份额净值为</w:t>
      </w:r>
      <w:r w:rsidRPr="00DF18FE">
        <w:rPr>
          <w:color w:val="000000"/>
          <w:sz w:val="24"/>
        </w:rPr>
        <w:t>0.8961</w:t>
      </w:r>
      <w:r w:rsidRPr="00DF18FE">
        <w:rPr>
          <w:color w:val="000000"/>
          <w:sz w:val="24"/>
        </w:rPr>
        <w:t>元，本报告期份额净值增长率为</w:t>
      </w:r>
      <w:r w:rsidRPr="00DF18FE">
        <w:rPr>
          <w:color w:val="000000"/>
          <w:sz w:val="24"/>
        </w:rPr>
        <w:t>1.60%</w:t>
      </w:r>
      <w:r w:rsidRPr="00DF18FE">
        <w:rPr>
          <w:color w:val="000000"/>
          <w:sz w:val="24"/>
        </w:rPr>
        <w:t>；同期业绩比较基准收益率为</w:t>
      </w:r>
      <w:r w:rsidRPr="00DF18FE">
        <w:rPr>
          <w:color w:val="000000"/>
          <w:sz w:val="24"/>
        </w:rPr>
        <w:t>0.30%</w:t>
      </w:r>
      <w:r w:rsidRPr="00DF18FE">
        <w:rPr>
          <w:color w:val="000000"/>
          <w:sz w:val="24"/>
        </w:rPr>
        <w:t>。</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lastRenderedPageBreak/>
        <w:t>§</w:t>
      </w:r>
      <w:r w:rsidRPr="0078105B">
        <w:rPr>
          <w:rFonts w:ascii="宋体" w:hAnsi="宋体" w:cs="Arial"/>
          <w:color w:val="000000"/>
          <w:kern w:val="0"/>
          <w:sz w:val="24"/>
          <w:szCs w:val="24"/>
        </w:rPr>
        <w:t xml:space="preserve">5  </w:t>
      </w:r>
      <w:r w:rsidRPr="0078105B">
        <w:rPr>
          <w:rFonts w:ascii="宋体" w:hAnsi="宋体" w:cs="Arial" w:hint="eastAsia"/>
          <w:color w:val="000000"/>
          <w:kern w:val="0"/>
          <w:sz w:val="24"/>
          <w:szCs w:val="24"/>
        </w:rPr>
        <w:t>投资组合报告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5.1 </w:t>
      </w:r>
      <w:r w:rsidRPr="0078105B">
        <w:rPr>
          <w:rFonts w:ascii="宋体" w:hAnsi="宋体" w:cs="Arial" w:hint="eastAsia"/>
          <w:b/>
          <w:color w:val="000000"/>
          <w:kern w:val="0"/>
          <w:sz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序号</w:t>
            </w:r>
          </w:p>
        </w:tc>
        <w:tc>
          <w:tcPr>
            <w:tcW w:w="335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项目</w:t>
            </w:r>
          </w:p>
        </w:tc>
        <w:tc>
          <w:tcPr>
            <w:tcW w:w="297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金额</w:t>
            </w:r>
            <w:r w:rsidRPr="00FA472B">
              <w:rPr>
                <w:color w:val="000000"/>
                <w:sz w:val="24"/>
              </w:rPr>
              <w:t>(</w:t>
            </w:r>
            <w:r w:rsidRPr="00FA472B">
              <w:rPr>
                <w:color w:val="000000"/>
                <w:sz w:val="24"/>
              </w:rPr>
              <w:t>元</w:t>
            </w:r>
            <w:r w:rsidRPr="00FA472B">
              <w:rPr>
                <w:color w:val="000000"/>
                <w:sz w:val="24"/>
              </w:rPr>
              <w:t>)</w:t>
            </w:r>
          </w:p>
        </w:tc>
        <w:tc>
          <w:tcPr>
            <w:tcW w:w="1843"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占基金总资产的比例</w:t>
            </w: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1</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权益投资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330,476,755.43</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93.29</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其中：股票</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330,476,755.43</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93.29</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2</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固定收益投资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22,999.40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0.01</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其中：债券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22,999.40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0.01</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autoSpaceDE w:val="0"/>
              <w:autoSpaceDN w:val="0"/>
              <w:adjustRightInd w:val="0"/>
              <w:spacing w:before="29" w:line="360" w:lineRule="auto"/>
              <w:ind w:left="17"/>
              <w:jc w:val="left"/>
              <w:rPr>
                <w:color w:val="000000"/>
                <w:sz w:val="24"/>
              </w:rPr>
            </w:pPr>
            <w:r w:rsidRPr="00FA472B">
              <w:rPr>
                <w:color w:val="000000"/>
                <w:sz w:val="24"/>
              </w:rPr>
              <w:t>资产支持证券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tcPr>
          <w:p w:rsidR="00F016DD" w:rsidRPr="00FA472B" w:rsidRDefault="00F016DD" w:rsidP="00F4518C">
            <w:pPr>
              <w:spacing w:before="29" w:line="360" w:lineRule="auto"/>
              <w:ind w:left="17"/>
              <w:jc w:val="center"/>
              <w:rPr>
                <w:color w:val="000000"/>
                <w:sz w:val="24"/>
              </w:rPr>
            </w:pPr>
            <w:r w:rsidRPr="00FA472B">
              <w:rPr>
                <w:color w:val="000000"/>
                <w:sz w:val="24"/>
              </w:rPr>
              <w:t>3</w:t>
            </w:r>
          </w:p>
        </w:tc>
        <w:tc>
          <w:tcPr>
            <w:tcW w:w="3357" w:type="dxa"/>
          </w:tcPr>
          <w:p w:rsidR="00F016DD" w:rsidRPr="00FA472B" w:rsidRDefault="00F016DD" w:rsidP="00174038">
            <w:pPr>
              <w:spacing w:before="29" w:line="360" w:lineRule="auto"/>
              <w:ind w:leftChars="50" w:left="105"/>
              <w:rPr>
                <w:color w:val="000000"/>
                <w:sz w:val="24"/>
              </w:rPr>
            </w:pPr>
            <w:r w:rsidRPr="00FA472B">
              <w:rPr>
                <w:color w:val="000000"/>
                <w:sz w:val="24"/>
              </w:rPr>
              <w:t>贵金属投资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4</w:t>
            </w:r>
          </w:p>
        </w:tc>
        <w:tc>
          <w:tcPr>
            <w:tcW w:w="3357" w:type="dxa"/>
            <w:vAlign w:val="center"/>
          </w:tcPr>
          <w:p w:rsidR="00F016DD" w:rsidRPr="00FA472B" w:rsidRDefault="00F016DD" w:rsidP="00F4518C">
            <w:pPr>
              <w:spacing w:before="29" w:line="360" w:lineRule="auto"/>
              <w:ind w:left="17"/>
              <w:jc w:val="left"/>
              <w:rPr>
                <w:color w:val="000000"/>
                <w:sz w:val="24"/>
              </w:rPr>
            </w:pPr>
            <w:r w:rsidRPr="00FA472B">
              <w:rPr>
                <w:color w:val="000000"/>
                <w:sz w:val="24"/>
              </w:rPr>
              <w:t>金融衍生品投资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5</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其中：买断式回购的买入返售金融资产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6</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银行存款和结算备付金合计</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23,082,221.99</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6.52</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7</w:t>
            </w:r>
          </w:p>
        </w:tc>
        <w:tc>
          <w:tcPr>
            <w:tcW w:w="3357" w:type="dxa"/>
            <w:vAlign w:val="center"/>
          </w:tcPr>
          <w:p w:rsidR="00F016DD" w:rsidRPr="00FA472B" w:rsidRDefault="00F016DD" w:rsidP="00F4518C">
            <w:pPr>
              <w:jc w:val="left"/>
              <w:rPr>
                <w:sz w:val="24"/>
              </w:rPr>
            </w:pPr>
            <w:r w:rsidRPr="00FA472B">
              <w:rPr>
                <w:color w:val="000000"/>
                <w:sz w:val="24"/>
              </w:rPr>
              <w:t>其他资产</w:t>
            </w:r>
          </w:p>
        </w:tc>
        <w:tc>
          <w:tcPr>
            <w:tcW w:w="2977" w:type="dxa"/>
            <w:vAlign w:val="center"/>
          </w:tcPr>
          <w:p w:rsidR="00F016DD" w:rsidRPr="00FA472B" w:rsidRDefault="00F016DD" w:rsidP="00F4518C">
            <w:pPr>
              <w:jc w:val="right"/>
              <w:rPr>
                <w:color w:val="000000"/>
                <w:sz w:val="24"/>
              </w:rPr>
            </w:pPr>
            <w:r w:rsidRPr="00FA472B">
              <w:rPr>
                <w:color w:val="000000"/>
                <w:sz w:val="24"/>
              </w:rPr>
              <w:t>646,226.15</w:t>
            </w:r>
          </w:p>
        </w:tc>
        <w:tc>
          <w:tcPr>
            <w:tcW w:w="1843" w:type="dxa"/>
            <w:vAlign w:val="center"/>
          </w:tcPr>
          <w:p w:rsidR="00F016DD" w:rsidRPr="00FA472B" w:rsidRDefault="00F016DD" w:rsidP="00F4518C">
            <w:pPr>
              <w:jc w:val="right"/>
              <w:rPr>
                <w:color w:val="000000"/>
                <w:sz w:val="24"/>
              </w:rPr>
            </w:pPr>
            <w:r w:rsidRPr="00FA472B">
              <w:rPr>
                <w:color w:val="000000"/>
                <w:sz w:val="24"/>
              </w:rPr>
              <w:t>0.18</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8</w:t>
            </w:r>
          </w:p>
        </w:tc>
        <w:tc>
          <w:tcPr>
            <w:tcW w:w="3357" w:type="dxa"/>
            <w:vAlign w:val="center"/>
          </w:tcPr>
          <w:p w:rsidR="00F016DD" w:rsidRPr="00FA472B" w:rsidRDefault="00F016DD" w:rsidP="00F4518C">
            <w:pPr>
              <w:jc w:val="left"/>
              <w:rPr>
                <w:sz w:val="24"/>
              </w:rPr>
            </w:pPr>
            <w:r w:rsidRPr="00FA472B">
              <w:rPr>
                <w:color w:val="000000"/>
                <w:sz w:val="24"/>
              </w:rPr>
              <w:t>合计</w:t>
            </w:r>
          </w:p>
        </w:tc>
        <w:tc>
          <w:tcPr>
            <w:tcW w:w="2977" w:type="dxa"/>
            <w:vAlign w:val="center"/>
          </w:tcPr>
          <w:p w:rsidR="00F016DD" w:rsidRPr="00FA472B" w:rsidRDefault="00F016DD" w:rsidP="00F4518C">
            <w:pPr>
              <w:jc w:val="right"/>
              <w:rPr>
                <w:color w:val="000000"/>
                <w:sz w:val="24"/>
              </w:rPr>
            </w:pPr>
            <w:r w:rsidRPr="00FA472B">
              <w:rPr>
                <w:color w:val="000000"/>
                <w:sz w:val="24"/>
              </w:rPr>
              <w:t>354,228,202.97</w:t>
            </w:r>
          </w:p>
        </w:tc>
        <w:tc>
          <w:tcPr>
            <w:tcW w:w="1843" w:type="dxa"/>
            <w:vAlign w:val="center"/>
          </w:tcPr>
          <w:p w:rsidR="00F016DD" w:rsidRPr="00FA472B" w:rsidRDefault="00F016DD" w:rsidP="00F4518C">
            <w:pPr>
              <w:jc w:val="right"/>
              <w:rPr>
                <w:color w:val="000000"/>
                <w:sz w:val="24"/>
              </w:rPr>
            </w:pPr>
            <w:r w:rsidRPr="00FA472B">
              <w:rPr>
                <w:color w:val="000000"/>
                <w:sz w:val="24"/>
              </w:rPr>
              <w:t>100.00</w:t>
            </w:r>
          </w:p>
        </w:tc>
      </w:tr>
    </w:tbl>
    <w:p w:rsidR="00874AA3" w:rsidRPr="00C70969" w:rsidRDefault="00874AA3" w:rsidP="00B54884">
      <w:pPr>
        <w:autoSpaceDE w:val="0"/>
        <w:autoSpaceDN w:val="0"/>
        <w:adjustRightInd w:val="0"/>
        <w:spacing w:beforeLines="100" w:before="312" w:line="360" w:lineRule="auto"/>
        <w:jc w:val="left"/>
        <w:rPr>
          <w:rFonts w:eastAsiaTheme="minorEastAsia"/>
          <w:b/>
          <w:color w:val="000000" w:themeColor="text1"/>
          <w:kern w:val="0"/>
          <w:sz w:val="24"/>
        </w:rPr>
      </w:pPr>
      <w:r w:rsidRPr="00C70969">
        <w:rPr>
          <w:rFonts w:eastAsiaTheme="minorEastAsia"/>
          <w:b/>
          <w:color w:val="000000" w:themeColor="text1"/>
          <w:kern w:val="0"/>
          <w:sz w:val="24"/>
        </w:rPr>
        <w:t xml:space="preserve">5.2 </w:t>
      </w:r>
      <w:r w:rsidRPr="00C70969">
        <w:rPr>
          <w:rFonts w:eastAsiaTheme="minorEastAsia"/>
          <w:b/>
          <w:color w:val="000000" w:themeColor="text1"/>
          <w:kern w:val="0"/>
          <w:sz w:val="24"/>
        </w:rPr>
        <w:t>报告期末按行业分类的股票投资组合</w:t>
      </w:r>
    </w:p>
    <w:p w:rsidR="00874AA3" w:rsidRPr="00C70969" w:rsidRDefault="00874AA3" w:rsidP="00874AA3">
      <w:pPr>
        <w:rPr>
          <w:b/>
          <w:sz w:val="24"/>
        </w:rPr>
      </w:pPr>
      <w:r w:rsidRPr="00C70969">
        <w:rPr>
          <w:b/>
          <w:sz w:val="24"/>
        </w:rPr>
        <w:t xml:space="preserve"> </w:t>
      </w:r>
      <w:r w:rsidRPr="00C70969">
        <w:rPr>
          <w:rFonts w:eastAsiaTheme="minorEastAsia"/>
          <w:b/>
          <w:color w:val="000000" w:themeColor="text1"/>
          <w:kern w:val="0"/>
          <w:sz w:val="24"/>
        </w:rPr>
        <w:t>5.2.1</w:t>
      </w:r>
      <w:r w:rsidRPr="00C70969">
        <w:rPr>
          <w:rFonts w:eastAsiaTheme="minorEastAsia"/>
          <w:b/>
          <w:color w:val="000000" w:themeColor="text1"/>
          <w:kern w:val="0"/>
          <w:sz w:val="24"/>
        </w:rPr>
        <w:t>报告期末按行业分类的境内股票投资组合</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40"/>
        <w:gridCol w:w="3691"/>
        <w:gridCol w:w="2852"/>
        <w:gridCol w:w="1648"/>
      </w:tblGrid>
      <w:tr w:rsidR="00874AA3" w:rsidRPr="00C70969" w:rsidTr="0071134C">
        <w:trPr>
          <w:trHeight w:val="390"/>
        </w:trPr>
        <w:tc>
          <w:tcPr>
            <w:tcW w:w="540" w:type="dxa"/>
            <w:tcBorders>
              <w:top w:val="single" w:sz="4" w:space="0" w:color="000000"/>
              <w:left w:val="single" w:sz="4" w:space="0" w:color="000000"/>
              <w:bottom w:val="single" w:sz="4" w:space="0" w:color="000000"/>
              <w:right w:val="single" w:sz="4" w:space="0" w:color="000000"/>
            </w:tcBorders>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代码</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行业类别</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公允价值（元）</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占基金资产净值比例（％）</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A</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农、林、牧、渔业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autoSpaceDE w:val="0"/>
              <w:autoSpaceDN w:val="0"/>
              <w:adjustRightInd w:val="0"/>
              <w:spacing w:before="29" w:line="360" w:lineRule="auto"/>
              <w:ind w:left="15"/>
              <w:jc w:val="right"/>
              <w:rPr>
                <w:rFonts w:eastAsiaTheme="minorEastAsia"/>
                <w:color w:val="000000" w:themeColor="text1"/>
                <w:sz w:val="24"/>
              </w:rPr>
            </w:pPr>
            <w:r w:rsidRPr="00C70969">
              <w:rPr>
                <w:rFonts w:eastAsiaTheme="minorEastAsia"/>
                <w:color w:val="000000" w:themeColor="text1"/>
                <w:sz w:val="24"/>
              </w:rPr>
              <w:t>10,251,871.10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utoSpaceDE w:val="0"/>
              <w:autoSpaceDN w:val="0"/>
              <w:adjustRightInd w:val="0"/>
              <w:spacing w:before="29" w:line="360" w:lineRule="auto"/>
              <w:ind w:left="15"/>
              <w:jc w:val="right"/>
              <w:rPr>
                <w:rFonts w:eastAsiaTheme="minorEastAsia"/>
                <w:color w:val="000000" w:themeColor="text1"/>
                <w:sz w:val="24"/>
              </w:rPr>
            </w:pPr>
            <w:r w:rsidRPr="00C70969">
              <w:rPr>
                <w:rFonts w:eastAsiaTheme="minorEastAsia"/>
                <w:color w:val="000000" w:themeColor="text1"/>
                <w:sz w:val="24"/>
              </w:rPr>
              <w:t>2.91</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B</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采矿业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1,546,237.00</w:t>
            </w:r>
          </w:p>
          <w:p w:rsidR="00874AA3" w:rsidRPr="00C70969" w:rsidRDefault="00874AA3" w:rsidP="0071134C">
            <w:pPr>
              <w:jc w:val="right"/>
              <w:rPr>
                <w:rFonts w:eastAsiaTheme="minorEastAsia"/>
                <w:color w:val="000000" w:themeColor="text1"/>
                <w:sz w:val="24"/>
              </w:rPr>
            </w:pP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0.44</w:t>
            </w:r>
          </w:p>
          <w:p w:rsidR="00874AA3" w:rsidRPr="00C70969" w:rsidRDefault="00874AA3" w:rsidP="0071134C">
            <w:pPr>
              <w:jc w:val="right"/>
              <w:rPr>
                <w:rFonts w:eastAsiaTheme="minorEastAsia"/>
                <w:color w:val="000000" w:themeColor="text1"/>
                <w:sz w:val="24"/>
              </w:rPr>
            </w:pP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C</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制造业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150,379,706.80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42.66</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D</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电力、热力、燃气及水生产和供应业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9,757,886.00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2.77</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E</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建筑业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8,960,730.00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2.54</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lastRenderedPageBreak/>
              <w:t>F</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批发和零售业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14,190,544.98</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4.03</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G</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交通运输、仓储和邮政业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11,803,789.54</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3.35</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H</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住宿和餐饮业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659,332.00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0.19</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I</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信息传输、软件和信息技术服务业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18,895,360.99</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5.36</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J</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金融业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80,007,892.46</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22.69</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K</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房地产业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19,151,520.56</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5.43</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L</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租赁和商务服务业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M</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科学研究和技术服务业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N</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水利、环境和公共设施管理业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564,412.00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0.16</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O</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居民服务、修理和其他服务业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P</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教育</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51,230.00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0.01</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Q</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卫生和社会工作</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R</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文化、体育和娱乐业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4,256,242.00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1.21</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S</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综合</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合计</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330,476,755.43</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93.74</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5.3 </w:t>
      </w:r>
      <w:r w:rsidRPr="0078105B">
        <w:rPr>
          <w:rFonts w:ascii="宋体" w:hAnsi="宋体" w:cs="Arial" w:hint="eastAsia"/>
          <w:b/>
          <w:color w:val="000000"/>
          <w:kern w:val="0"/>
          <w:sz w:val="24"/>
        </w:rPr>
        <w:t>报告期末按公允价值占基金资产净值比例大小排序的前十名股票投资明细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417"/>
        <w:gridCol w:w="1560"/>
        <w:gridCol w:w="2268"/>
        <w:gridCol w:w="1559"/>
      </w:tblGrid>
      <w:tr w:rsidR="00F016DD" w:rsidRPr="0078105B" w:rsidTr="00174038">
        <w:tc>
          <w:tcPr>
            <w:tcW w:w="817"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序号</w:t>
            </w:r>
          </w:p>
        </w:tc>
        <w:tc>
          <w:tcPr>
            <w:tcW w:w="1276"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股票代码</w:t>
            </w:r>
          </w:p>
        </w:tc>
        <w:tc>
          <w:tcPr>
            <w:tcW w:w="1417"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股票名称</w:t>
            </w:r>
          </w:p>
        </w:tc>
        <w:tc>
          <w:tcPr>
            <w:tcW w:w="1560"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数量</w:t>
            </w:r>
            <w:r w:rsidRPr="00FA472B">
              <w:rPr>
                <w:color w:val="000000"/>
                <w:sz w:val="24"/>
              </w:rPr>
              <w:t>(</w:t>
            </w:r>
            <w:r w:rsidRPr="00FA472B">
              <w:rPr>
                <w:color w:val="000000"/>
                <w:sz w:val="24"/>
              </w:rPr>
              <w:t>股</w:t>
            </w:r>
            <w:r w:rsidRPr="00FA472B">
              <w:rPr>
                <w:color w:val="000000"/>
                <w:sz w:val="24"/>
              </w:rPr>
              <w:t>)</w:t>
            </w:r>
          </w:p>
        </w:tc>
        <w:tc>
          <w:tcPr>
            <w:tcW w:w="2268" w:type="dxa"/>
            <w:vAlign w:val="center"/>
          </w:tcPr>
          <w:p w:rsidR="00F016DD" w:rsidRPr="00FA472B" w:rsidRDefault="00F016DD" w:rsidP="000871DB">
            <w:pPr>
              <w:autoSpaceDE w:val="0"/>
              <w:autoSpaceDN w:val="0"/>
              <w:adjustRightInd w:val="0"/>
              <w:spacing w:before="29" w:line="360" w:lineRule="auto"/>
              <w:ind w:left="17"/>
              <w:jc w:val="center"/>
              <w:rPr>
                <w:color w:val="000000"/>
                <w:sz w:val="24"/>
              </w:rPr>
            </w:pPr>
            <w:r w:rsidRPr="00FA472B">
              <w:rPr>
                <w:color w:val="000000"/>
                <w:sz w:val="24"/>
              </w:rPr>
              <w:t>公允价值</w:t>
            </w:r>
            <w:r w:rsidRPr="00FA472B">
              <w:rPr>
                <w:color w:val="000000"/>
                <w:sz w:val="24"/>
              </w:rPr>
              <w:t>(</w:t>
            </w:r>
            <w:r w:rsidRPr="00FA472B">
              <w:rPr>
                <w:color w:val="000000"/>
                <w:sz w:val="24"/>
              </w:rPr>
              <w:t>元</w:t>
            </w:r>
            <w:r w:rsidRPr="00FA472B">
              <w:rPr>
                <w:color w:val="000000"/>
                <w:sz w:val="24"/>
              </w:rPr>
              <w:t>)</w:t>
            </w:r>
          </w:p>
        </w:tc>
        <w:tc>
          <w:tcPr>
            <w:tcW w:w="1559"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占基金资产净值比例</w:t>
            </w:r>
            <w:r w:rsidRPr="00FA472B">
              <w:rPr>
                <w:color w:val="000000"/>
                <w:sz w:val="24"/>
              </w:rPr>
              <w:t>(</w:t>
            </w:r>
            <w:r w:rsidRPr="00FA472B">
              <w:rPr>
                <w:color w:val="000000"/>
                <w:sz w:val="24"/>
              </w:rPr>
              <w:t>％</w:t>
            </w:r>
            <w:r w:rsidRPr="00FA472B">
              <w:rPr>
                <w:color w:val="000000"/>
                <w:sz w:val="24"/>
              </w:rPr>
              <w:t>)</w:t>
            </w:r>
          </w:p>
        </w:tc>
      </w:tr>
      <w:tr w:rsidR="002D41D7">
        <w:tc>
          <w:tcPr>
            <w:tcW w:w="817" w:type="dxa"/>
            <w:vAlign w:val="center"/>
          </w:tcPr>
          <w:p w:rsidR="002D41D7" w:rsidRDefault="003E4D50">
            <w:pPr>
              <w:jc w:val="center"/>
            </w:pPr>
            <w:r>
              <w:rPr>
                <w:color w:val="000000"/>
                <w:sz w:val="24"/>
              </w:rPr>
              <w:t>1</w:t>
            </w:r>
          </w:p>
        </w:tc>
        <w:tc>
          <w:tcPr>
            <w:tcW w:w="1276" w:type="dxa"/>
            <w:vAlign w:val="center"/>
          </w:tcPr>
          <w:p w:rsidR="002D41D7" w:rsidRDefault="003E4D50">
            <w:pPr>
              <w:jc w:val="center"/>
            </w:pPr>
            <w:r>
              <w:rPr>
                <w:color w:val="000000"/>
                <w:sz w:val="24"/>
              </w:rPr>
              <w:t>601169</w:t>
            </w:r>
          </w:p>
        </w:tc>
        <w:tc>
          <w:tcPr>
            <w:tcW w:w="1417" w:type="dxa"/>
            <w:vAlign w:val="center"/>
          </w:tcPr>
          <w:p w:rsidR="002D41D7" w:rsidRDefault="003E4D50">
            <w:pPr>
              <w:jc w:val="center"/>
            </w:pPr>
            <w:r>
              <w:rPr>
                <w:color w:val="000000"/>
                <w:sz w:val="24"/>
              </w:rPr>
              <w:t>北京银行</w:t>
            </w:r>
          </w:p>
        </w:tc>
        <w:tc>
          <w:tcPr>
            <w:tcW w:w="1560" w:type="dxa"/>
            <w:vAlign w:val="center"/>
          </w:tcPr>
          <w:p w:rsidR="002D41D7" w:rsidRDefault="003E4D50">
            <w:pPr>
              <w:jc w:val="right"/>
            </w:pPr>
            <w:r>
              <w:rPr>
                <w:color w:val="000000"/>
                <w:sz w:val="24"/>
              </w:rPr>
              <w:t>2,214,700</w:t>
            </w:r>
          </w:p>
        </w:tc>
        <w:tc>
          <w:tcPr>
            <w:tcW w:w="2268" w:type="dxa"/>
            <w:vAlign w:val="center"/>
          </w:tcPr>
          <w:p w:rsidR="002D41D7" w:rsidRDefault="003E4D50">
            <w:pPr>
              <w:jc w:val="right"/>
            </w:pPr>
            <w:r>
              <w:rPr>
                <w:color w:val="000000"/>
                <w:sz w:val="24"/>
              </w:rPr>
              <w:t>11,870,792.00</w:t>
            </w:r>
          </w:p>
        </w:tc>
        <w:tc>
          <w:tcPr>
            <w:tcW w:w="1559" w:type="dxa"/>
            <w:vAlign w:val="center"/>
          </w:tcPr>
          <w:p w:rsidR="002D41D7" w:rsidRDefault="003E4D50">
            <w:pPr>
              <w:jc w:val="right"/>
            </w:pPr>
            <w:r>
              <w:rPr>
                <w:color w:val="000000"/>
                <w:sz w:val="24"/>
              </w:rPr>
              <w:t>3.37</w:t>
            </w:r>
          </w:p>
        </w:tc>
      </w:tr>
      <w:tr w:rsidR="002D41D7">
        <w:tc>
          <w:tcPr>
            <w:tcW w:w="817" w:type="dxa"/>
            <w:vAlign w:val="center"/>
          </w:tcPr>
          <w:p w:rsidR="002D41D7" w:rsidRDefault="003E4D50">
            <w:pPr>
              <w:jc w:val="center"/>
            </w:pPr>
            <w:r>
              <w:rPr>
                <w:color w:val="000000"/>
                <w:sz w:val="24"/>
              </w:rPr>
              <w:t>2</w:t>
            </w:r>
          </w:p>
        </w:tc>
        <w:tc>
          <w:tcPr>
            <w:tcW w:w="1276" w:type="dxa"/>
            <w:vAlign w:val="center"/>
          </w:tcPr>
          <w:p w:rsidR="002D41D7" w:rsidRDefault="003E4D50">
            <w:pPr>
              <w:jc w:val="center"/>
            </w:pPr>
            <w:r>
              <w:rPr>
                <w:color w:val="000000"/>
                <w:sz w:val="24"/>
              </w:rPr>
              <w:t>000157</w:t>
            </w:r>
          </w:p>
        </w:tc>
        <w:tc>
          <w:tcPr>
            <w:tcW w:w="1417" w:type="dxa"/>
            <w:vAlign w:val="center"/>
          </w:tcPr>
          <w:p w:rsidR="002D41D7" w:rsidRDefault="003E4D50">
            <w:pPr>
              <w:jc w:val="center"/>
            </w:pPr>
            <w:r>
              <w:rPr>
                <w:color w:val="000000"/>
                <w:sz w:val="24"/>
              </w:rPr>
              <w:t>中联重科</w:t>
            </w:r>
          </w:p>
        </w:tc>
        <w:tc>
          <w:tcPr>
            <w:tcW w:w="1560" w:type="dxa"/>
            <w:vAlign w:val="center"/>
          </w:tcPr>
          <w:p w:rsidR="002D41D7" w:rsidRDefault="003E4D50">
            <w:pPr>
              <w:jc w:val="right"/>
            </w:pPr>
            <w:r>
              <w:rPr>
                <w:color w:val="000000"/>
                <w:sz w:val="24"/>
              </w:rPr>
              <w:t>1,879,500</w:t>
            </w:r>
          </w:p>
        </w:tc>
        <w:tc>
          <w:tcPr>
            <w:tcW w:w="2268" w:type="dxa"/>
            <w:vAlign w:val="center"/>
          </w:tcPr>
          <w:p w:rsidR="002D41D7" w:rsidRDefault="003E4D50">
            <w:pPr>
              <w:jc w:val="right"/>
            </w:pPr>
            <w:r>
              <w:rPr>
                <w:color w:val="000000"/>
                <w:sz w:val="24"/>
              </w:rPr>
              <w:t>10,713,150.00</w:t>
            </w:r>
          </w:p>
        </w:tc>
        <w:tc>
          <w:tcPr>
            <w:tcW w:w="1559" w:type="dxa"/>
            <w:vAlign w:val="center"/>
          </w:tcPr>
          <w:p w:rsidR="002D41D7" w:rsidRDefault="003E4D50">
            <w:pPr>
              <w:jc w:val="right"/>
            </w:pPr>
            <w:r>
              <w:rPr>
                <w:color w:val="000000"/>
                <w:sz w:val="24"/>
              </w:rPr>
              <w:t>3.04</w:t>
            </w:r>
          </w:p>
        </w:tc>
      </w:tr>
      <w:tr w:rsidR="002D41D7">
        <w:tc>
          <w:tcPr>
            <w:tcW w:w="817" w:type="dxa"/>
            <w:vAlign w:val="center"/>
          </w:tcPr>
          <w:p w:rsidR="002D41D7" w:rsidRDefault="003E4D50">
            <w:pPr>
              <w:jc w:val="center"/>
            </w:pPr>
            <w:r>
              <w:rPr>
                <w:color w:val="000000"/>
                <w:sz w:val="24"/>
              </w:rPr>
              <w:t>3</w:t>
            </w:r>
          </w:p>
        </w:tc>
        <w:tc>
          <w:tcPr>
            <w:tcW w:w="1276" w:type="dxa"/>
            <w:vAlign w:val="center"/>
          </w:tcPr>
          <w:p w:rsidR="002D41D7" w:rsidRDefault="003E4D50">
            <w:pPr>
              <w:jc w:val="center"/>
            </w:pPr>
            <w:r>
              <w:rPr>
                <w:color w:val="000000"/>
                <w:sz w:val="24"/>
              </w:rPr>
              <w:t>600332</w:t>
            </w:r>
          </w:p>
        </w:tc>
        <w:tc>
          <w:tcPr>
            <w:tcW w:w="1417" w:type="dxa"/>
            <w:vAlign w:val="center"/>
          </w:tcPr>
          <w:p w:rsidR="002D41D7" w:rsidRDefault="003E4D50">
            <w:pPr>
              <w:jc w:val="center"/>
            </w:pPr>
            <w:r>
              <w:rPr>
                <w:color w:val="000000"/>
                <w:sz w:val="24"/>
              </w:rPr>
              <w:t>白云山</w:t>
            </w:r>
          </w:p>
        </w:tc>
        <w:tc>
          <w:tcPr>
            <w:tcW w:w="1560" w:type="dxa"/>
            <w:vAlign w:val="center"/>
          </w:tcPr>
          <w:p w:rsidR="002D41D7" w:rsidRDefault="003E4D50">
            <w:pPr>
              <w:jc w:val="right"/>
            </w:pPr>
            <w:r>
              <w:rPr>
                <w:color w:val="000000"/>
                <w:sz w:val="24"/>
              </w:rPr>
              <w:t>287,911</w:t>
            </w:r>
          </w:p>
        </w:tc>
        <w:tc>
          <w:tcPr>
            <w:tcW w:w="2268" w:type="dxa"/>
            <w:vAlign w:val="center"/>
          </w:tcPr>
          <w:p w:rsidR="002D41D7" w:rsidRDefault="003E4D50">
            <w:pPr>
              <w:jc w:val="right"/>
            </w:pPr>
            <w:r>
              <w:rPr>
                <w:color w:val="000000"/>
                <w:sz w:val="24"/>
              </w:rPr>
              <w:t>9,990,511.70</w:t>
            </w:r>
          </w:p>
        </w:tc>
        <w:tc>
          <w:tcPr>
            <w:tcW w:w="1559" w:type="dxa"/>
            <w:vAlign w:val="center"/>
          </w:tcPr>
          <w:p w:rsidR="002D41D7" w:rsidRDefault="003E4D50">
            <w:pPr>
              <w:jc w:val="right"/>
            </w:pPr>
            <w:r>
              <w:rPr>
                <w:color w:val="000000"/>
                <w:sz w:val="24"/>
              </w:rPr>
              <w:t>2.83</w:t>
            </w:r>
          </w:p>
        </w:tc>
      </w:tr>
      <w:tr w:rsidR="002D41D7">
        <w:tc>
          <w:tcPr>
            <w:tcW w:w="817" w:type="dxa"/>
            <w:vAlign w:val="center"/>
          </w:tcPr>
          <w:p w:rsidR="002D41D7" w:rsidRDefault="003E4D50">
            <w:pPr>
              <w:jc w:val="center"/>
            </w:pPr>
            <w:r>
              <w:rPr>
                <w:color w:val="000000"/>
                <w:sz w:val="24"/>
              </w:rPr>
              <w:t>4</w:t>
            </w:r>
          </w:p>
        </w:tc>
        <w:tc>
          <w:tcPr>
            <w:tcW w:w="1276" w:type="dxa"/>
            <w:vAlign w:val="center"/>
          </w:tcPr>
          <w:p w:rsidR="002D41D7" w:rsidRDefault="003E4D50">
            <w:pPr>
              <w:jc w:val="center"/>
            </w:pPr>
            <w:r>
              <w:rPr>
                <w:color w:val="000000"/>
                <w:sz w:val="24"/>
              </w:rPr>
              <w:t>601601</w:t>
            </w:r>
          </w:p>
        </w:tc>
        <w:tc>
          <w:tcPr>
            <w:tcW w:w="1417" w:type="dxa"/>
            <w:vAlign w:val="center"/>
          </w:tcPr>
          <w:p w:rsidR="002D41D7" w:rsidRDefault="003E4D50">
            <w:pPr>
              <w:jc w:val="center"/>
            </w:pPr>
            <w:r>
              <w:rPr>
                <w:color w:val="000000"/>
                <w:sz w:val="24"/>
              </w:rPr>
              <w:t>中国太保</w:t>
            </w:r>
          </w:p>
        </w:tc>
        <w:tc>
          <w:tcPr>
            <w:tcW w:w="1560" w:type="dxa"/>
            <w:vAlign w:val="center"/>
          </w:tcPr>
          <w:p w:rsidR="002D41D7" w:rsidRDefault="003E4D50">
            <w:pPr>
              <w:jc w:val="right"/>
            </w:pPr>
            <w:r>
              <w:rPr>
                <w:color w:val="000000"/>
                <w:sz w:val="24"/>
              </w:rPr>
              <w:t>270,000</w:t>
            </w:r>
          </w:p>
        </w:tc>
        <w:tc>
          <w:tcPr>
            <w:tcW w:w="2268" w:type="dxa"/>
            <w:vAlign w:val="center"/>
          </w:tcPr>
          <w:p w:rsidR="002D41D7" w:rsidRDefault="003E4D50">
            <w:pPr>
              <w:jc w:val="right"/>
            </w:pPr>
            <w:r>
              <w:rPr>
                <w:color w:val="000000"/>
                <w:sz w:val="24"/>
              </w:rPr>
              <w:t>9,414,900.00</w:t>
            </w:r>
          </w:p>
        </w:tc>
        <w:tc>
          <w:tcPr>
            <w:tcW w:w="1559" w:type="dxa"/>
            <w:vAlign w:val="center"/>
          </w:tcPr>
          <w:p w:rsidR="002D41D7" w:rsidRDefault="003E4D50">
            <w:pPr>
              <w:jc w:val="right"/>
            </w:pPr>
            <w:r>
              <w:rPr>
                <w:color w:val="000000"/>
                <w:sz w:val="24"/>
              </w:rPr>
              <w:t>2.67</w:t>
            </w:r>
          </w:p>
        </w:tc>
      </w:tr>
      <w:tr w:rsidR="002D41D7">
        <w:tc>
          <w:tcPr>
            <w:tcW w:w="817" w:type="dxa"/>
            <w:vAlign w:val="center"/>
          </w:tcPr>
          <w:p w:rsidR="002D41D7" w:rsidRDefault="003E4D50">
            <w:pPr>
              <w:jc w:val="center"/>
            </w:pPr>
            <w:r>
              <w:rPr>
                <w:color w:val="000000"/>
                <w:sz w:val="24"/>
              </w:rPr>
              <w:t>5</w:t>
            </w:r>
          </w:p>
        </w:tc>
        <w:tc>
          <w:tcPr>
            <w:tcW w:w="1276" w:type="dxa"/>
            <w:vAlign w:val="center"/>
          </w:tcPr>
          <w:p w:rsidR="002D41D7" w:rsidRDefault="003E4D50">
            <w:pPr>
              <w:jc w:val="center"/>
            </w:pPr>
            <w:r>
              <w:rPr>
                <w:color w:val="000000"/>
                <w:sz w:val="24"/>
              </w:rPr>
              <w:t>300498</w:t>
            </w:r>
          </w:p>
        </w:tc>
        <w:tc>
          <w:tcPr>
            <w:tcW w:w="1417" w:type="dxa"/>
            <w:vAlign w:val="center"/>
          </w:tcPr>
          <w:p w:rsidR="002D41D7" w:rsidRDefault="003E4D50">
            <w:pPr>
              <w:jc w:val="center"/>
            </w:pPr>
            <w:r>
              <w:rPr>
                <w:color w:val="000000"/>
                <w:sz w:val="24"/>
              </w:rPr>
              <w:t>温氏股份</w:t>
            </w:r>
          </w:p>
        </w:tc>
        <w:tc>
          <w:tcPr>
            <w:tcW w:w="1560" w:type="dxa"/>
            <w:vAlign w:val="center"/>
          </w:tcPr>
          <w:p w:rsidR="002D41D7" w:rsidRDefault="003E4D50">
            <w:pPr>
              <w:jc w:val="right"/>
            </w:pPr>
            <w:r>
              <w:rPr>
                <w:color w:val="000000"/>
                <w:sz w:val="24"/>
              </w:rPr>
              <w:t>251,145</w:t>
            </w:r>
          </w:p>
        </w:tc>
        <w:tc>
          <w:tcPr>
            <w:tcW w:w="2268" w:type="dxa"/>
            <w:vAlign w:val="center"/>
          </w:tcPr>
          <w:p w:rsidR="002D41D7" w:rsidRDefault="003E4D50">
            <w:pPr>
              <w:jc w:val="right"/>
            </w:pPr>
            <w:r>
              <w:rPr>
                <w:color w:val="000000"/>
                <w:sz w:val="24"/>
              </w:rPr>
              <w:t>9,337,571.10</w:t>
            </w:r>
          </w:p>
        </w:tc>
        <w:tc>
          <w:tcPr>
            <w:tcW w:w="1559" w:type="dxa"/>
            <w:vAlign w:val="center"/>
          </w:tcPr>
          <w:p w:rsidR="002D41D7" w:rsidRDefault="003E4D50">
            <w:pPr>
              <w:jc w:val="right"/>
            </w:pPr>
            <w:r>
              <w:rPr>
                <w:color w:val="000000"/>
                <w:sz w:val="24"/>
              </w:rPr>
              <w:t>2.65</w:t>
            </w:r>
          </w:p>
        </w:tc>
      </w:tr>
      <w:tr w:rsidR="002D41D7">
        <w:tc>
          <w:tcPr>
            <w:tcW w:w="817" w:type="dxa"/>
            <w:vAlign w:val="center"/>
          </w:tcPr>
          <w:p w:rsidR="002D41D7" w:rsidRDefault="003E4D50">
            <w:pPr>
              <w:jc w:val="center"/>
            </w:pPr>
            <w:r>
              <w:rPr>
                <w:color w:val="000000"/>
                <w:sz w:val="24"/>
              </w:rPr>
              <w:t>6</w:t>
            </w:r>
          </w:p>
        </w:tc>
        <w:tc>
          <w:tcPr>
            <w:tcW w:w="1276" w:type="dxa"/>
            <w:vAlign w:val="center"/>
          </w:tcPr>
          <w:p w:rsidR="002D41D7" w:rsidRDefault="003E4D50">
            <w:pPr>
              <w:jc w:val="center"/>
            </w:pPr>
            <w:r>
              <w:rPr>
                <w:color w:val="000000"/>
                <w:sz w:val="24"/>
              </w:rPr>
              <w:t>601318</w:t>
            </w:r>
          </w:p>
        </w:tc>
        <w:tc>
          <w:tcPr>
            <w:tcW w:w="1417" w:type="dxa"/>
            <w:vAlign w:val="center"/>
          </w:tcPr>
          <w:p w:rsidR="002D41D7" w:rsidRDefault="003E4D50">
            <w:pPr>
              <w:jc w:val="center"/>
            </w:pPr>
            <w:r>
              <w:rPr>
                <w:color w:val="000000"/>
                <w:sz w:val="24"/>
              </w:rPr>
              <w:t>中国平安</w:t>
            </w:r>
          </w:p>
        </w:tc>
        <w:tc>
          <w:tcPr>
            <w:tcW w:w="1560" w:type="dxa"/>
            <w:vAlign w:val="center"/>
          </w:tcPr>
          <w:p w:rsidR="002D41D7" w:rsidRDefault="003E4D50">
            <w:pPr>
              <w:jc w:val="right"/>
            </w:pPr>
            <w:r>
              <w:rPr>
                <w:color w:val="000000"/>
                <w:sz w:val="24"/>
              </w:rPr>
              <w:t>105,400</w:t>
            </w:r>
          </w:p>
        </w:tc>
        <w:tc>
          <w:tcPr>
            <w:tcW w:w="2268" w:type="dxa"/>
            <w:vAlign w:val="center"/>
          </w:tcPr>
          <w:p w:rsidR="002D41D7" w:rsidRDefault="003E4D50">
            <w:pPr>
              <w:jc w:val="right"/>
            </w:pPr>
            <w:r>
              <w:rPr>
                <w:color w:val="000000"/>
                <w:sz w:val="24"/>
              </w:rPr>
              <w:t>9,174,016.00</w:t>
            </w:r>
          </w:p>
        </w:tc>
        <w:tc>
          <w:tcPr>
            <w:tcW w:w="1559" w:type="dxa"/>
            <w:vAlign w:val="center"/>
          </w:tcPr>
          <w:p w:rsidR="002D41D7" w:rsidRDefault="003E4D50">
            <w:pPr>
              <w:jc w:val="right"/>
            </w:pPr>
            <w:r>
              <w:rPr>
                <w:color w:val="000000"/>
                <w:sz w:val="24"/>
              </w:rPr>
              <w:t>2.60</w:t>
            </w:r>
          </w:p>
        </w:tc>
      </w:tr>
      <w:tr w:rsidR="002D41D7">
        <w:tc>
          <w:tcPr>
            <w:tcW w:w="817" w:type="dxa"/>
            <w:vAlign w:val="center"/>
          </w:tcPr>
          <w:p w:rsidR="002D41D7" w:rsidRDefault="003E4D50">
            <w:pPr>
              <w:jc w:val="center"/>
            </w:pPr>
            <w:r>
              <w:rPr>
                <w:color w:val="000000"/>
                <w:sz w:val="24"/>
              </w:rPr>
              <w:t>7</w:t>
            </w:r>
          </w:p>
        </w:tc>
        <w:tc>
          <w:tcPr>
            <w:tcW w:w="1276" w:type="dxa"/>
            <w:vAlign w:val="center"/>
          </w:tcPr>
          <w:p w:rsidR="002D41D7" w:rsidRDefault="003E4D50">
            <w:pPr>
              <w:jc w:val="center"/>
            </w:pPr>
            <w:r>
              <w:rPr>
                <w:color w:val="000000"/>
                <w:sz w:val="24"/>
              </w:rPr>
              <w:t>600606</w:t>
            </w:r>
          </w:p>
        </w:tc>
        <w:tc>
          <w:tcPr>
            <w:tcW w:w="1417" w:type="dxa"/>
            <w:vAlign w:val="center"/>
          </w:tcPr>
          <w:p w:rsidR="002D41D7" w:rsidRDefault="003E4D50">
            <w:pPr>
              <w:jc w:val="center"/>
            </w:pPr>
            <w:r>
              <w:rPr>
                <w:color w:val="000000"/>
                <w:sz w:val="24"/>
              </w:rPr>
              <w:t>绿地控股</w:t>
            </w:r>
          </w:p>
        </w:tc>
        <w:tc>
          <w:tcPr>
            <w:tcW w:w="1560" w:type="dxa"/>
            <w:vAlign w:val="center"/>
          </w:tcPr>
          <w:p w:rsidR="002D41D7" w:rsidRDefault="003E4D50">
            <w:pPr>
              <w:jc w:val="right"/>
            </w:pPr>
            <w:r>
              <w:rPr>
                <w:color w:val="000000"/>
                <w:sz w:val="24"/>
              </w:rPr>
              <w:t>1,275,776</w:t>
            </w:r>
          </w:p>
        </w:tc>
        <w:tc>
          <w:tcPr>
            <w:tcW w:w="2268" w:type="dxa"/>
            <w:vAlign w:val="center"/>
          </w:tcPr>
          <w:p w:rsidR="002D41D7" w:rsidRDefault="003E4D50">
            <w:pPr>
              <w:jc w:val="right"/>
            </w:pPr>
            <w:r>
              <w:rPr>
                <w:color w:val="000000"/>
                <w:sz w:val="24"/>
              </w:rPr>
              <w:t>9,006,978.56</w:t>
            </w:r>
          </w:p>
        </w:tc>
        <w:tc>
          <w:tcPr>
            <w:tcW w:w="1559" w:type="dxa"/>
            <w:vAlign w:val="center"/>
          </w:tcPr>
          <w:p w:rsidR="002D41D7" w:rsidRDefault="003E4D50">
            <w:pPr>
              <w:jc w:val="right"/>
            </w:pPr>
            <w:r>
              <w:rPr>
                <w:color w:val="000000"/>
                <w:sz w:val="24"/>
              </w:rPr>
              <w:t>2.55</w:t>
            </w:r>
          </w:p>
        </w:tc>
      </w:tr>
      <w:tr w:rsidR="002D41D7">
        <w:tc>
          <w:tcPr>
            <w:tcW w:w="817" w:type="dxa"/>
            <w:vAlign w:val="center"/>
          </w:tcPr>
          <w:p w:rsidR="002D41D7" w:rsidRDefault="003E4D50">
            <w:pPr>
              <w:jc w:val="center"/>
            </w:pPr>
            <w:r>
              <w:rPr>
                <w:color w:val="000000"/>
                <w:sz w:val="24"/>
              </w:rPr>
              <w:t>8</w:t>
            </w:r>
          </w:p>
        </w:tc>
        <w:tc>
          <w:tcPr>
            <w:tcW w:w="1276" w:type="dxa"/>
            <w:vAlign w:val="center"/>
          </w:tcPr>
          <w:p w:rsidR="002D41D7" w:rsidRDefault="003E4D50">
            <w:pPr>
              <w:jc w:val="center"/>
            </w:pPr>
            <w:r>
              <w:rPr>
                <w:color w:val="000000"/>
                <w:sz w:val="24"/>
              </w:rPr>
              <w:t>600000</w:t>
            </w:r>
          </w:p>
        </w:tc>
        <w:tc>
          <w:tcPr>
            <w:tcW w:w="1417" w:type="dxa"/>
            <w:vAlign w:val="center"/>
          </w:tcPr>
          <w:p w:rsidR="002D41D7" w:rsidRDefault="003E4D50">
            <w:pPr>
              <w:jc w:val="center"/>
            </w:pPr>
            <w:r>
              <w:rPr>
                <w:color w:val="000000"/>
                <w:sz w:val="24"/>
              </w:rPr>
              <w:t>浦发银行</w:t>
            </w:r>
          </w:p>
        </w:tc>
        <w:tc>
          <w:tcPr>
            <w:tcW w:w="1560" w:type="dxa"/>
            <w:vAlign w:val="center"/>
          </w:tcPr>
          <w:p w:rsidR="002D41D7" w:rsidRDefault="003E4D50">
            <w:pPr>
              <w:jc w:val="right"/>
            </w:pPr>
            <w:r>
              <w:rPr>
                <w:color w:val="000000"/>
                <w:sz w:val="24"/>
              </w:rPr>
              <w:t>742,766</w:t>
            </w:r>
          </w:p>
        </w:tc>
        <w:tc>
          <w:tcPr>
            <w:tcW w:w="2268" w:type="dxa"/>
            <w:vAlign w:val="center"/>
          </w:tcPr>
          <w:p w:rsidR="002D41D7" w:rsidRDefault="003E4D50">
            <w:pPr>
              <w:jc w:val="right"/>
            </w:pPr>
            <w:r>
              <w:rPr>
                <w:color w:val="000000"/>
                <w:sz w:val="24"/>
              </w:rPr>
              <w:t>8,794,349.44</w:t>
            </w:r>
          </w:p>
        </w:tc>
        <w:tc>
          <w:tcPr>
            <w:tcW w:w="1559" w:type="dxa"/>
            <w:vAlign w:val="center"/>
          </w:tcPr>
          <w:p w:rsidR="002D41D7" w:rsidRDefault="003E4D50">
            <w:pPr>
              <w:jc w:val="right"/>
            </w:pPr>
            <w:r>
              <w:rPr>
                <w:color w:val="000000"/>
                <w:sz w:val="24"/>
              </w:rPr>
              <w:t>2.49</w:t>
            </w:r>
          </w:p>
        </w:tc>
      </w:tr>
      <w:tr w:rsidR="002D41D7">
        <w:tc>
          <w:tcPr>
            <w:tcW w:w="817" w:type="dxa"/>
            <w:vAlign w:val="center"/>
          </w:tcPr>
          <w:p w:rsidR="002D41D7" w:rsidRDefault="003E4D50">
            <w:pPr>
              <w:jc w:val="center"/>
            </w:pPr>
            <w:r>
              <w:rPr>
                <w:color w:val="000000"/>
                <w:sz w:val="24"/>
              </w:rPr>
              <w:t>9</w:t>
            </w:r>
          </w:p>
        </w:tc>
        <w:tc>
          <w:tcPr>
            <w:tcW w:w="1276" w:type="dxa"/>
            <w:vAlign w:val="center"/>
          </w:tcPr>
          <w:p w:rsidR="002D41D7" w:rsidRDefault="003E4D50">
            <w:pPr>
              <w:jc w:val="center"/>
            </w:pPr>
            <w:r>
              <w:rPr>
                <w:color w:val="000000"/>
                <w:sz w:val="24"/>
              </w:rPr>
              <w:t>601336</w:t>
            </w:r>
          </w:p>
        </w:tc>
        <w:tc>
          <w:tcPr>
            <w:tcW w:w="1417" w:type="dxa"/>
            <w:vAlign w:val="center"/>
          </w:tcPr>
          <w:p w:rsidR="002D41D7" w:rsidRDefault="003E4D50">
            <w:pPr>
              <w:jc w:val="center"/>
            </w:pPr>
            <w:r>
              <w:rPr>
                <w:color w:val="000000"/>
                <w:sz w:val="24"/>
              </w:rPr>
              <w:t>新华保险</w:t>
            </w:r>
          </w:p>
        </w:tc>
        <w:tc>
          <w:tcPr>
            <w:tcW w:w="1560" w:type="dxa"/>
            <w:vAlign w:val="center"/>
          </w:tcPr>
          <w:p w:rsidR="002D41D7" w:rsidRDefault="003E4D50">
            <w:pPr>
              <w:jc w:val="right"/>
            </w:pPr>
            <w:r>
              <w:rPr>
                <w:color w:val="000000"/>
                <w:sz w:val="24"/>
              </w:rPr>
              <w:t>178,200</w:t>
            </w:r>
          </w:p>
        </w:tc>
        <w:tc>
          <w:tcPr>
            <w:tcW w:w="2268" w:type="dxa"/>
            <w:vAlign w:val="center"/>
          </w:tcPr>
          <w:p w:rsidR="002D41D7" w:rsidRDefault="003E4D50">
            <w:pPr>
              <w:jc w:val="right"/>
            </w:pPr>
            <w:r>
              <w:rPr>
                <w:color w:val="000000"/>
                <w:sz w:val="24"/>
              </w:rPr>
              <w:t>8,672,994.00</w:t>
            </w:r>
          </w:p>
        </w:tc>
        <w:tc>
          <w:tcPr>
            <w:tcW w:w="1559" w:type="dxa"/>
            <w:vAlign w:val="center"/>
          </w:tcPr>
          <w:p w:rsidR="002D41D7" w:rsidRDefault="003E4D50">
            <w:pPr>
              <w:jc w:val="right"/>
            </w:pPr>
            <w:r>
              <w:rPr>
                <w:color w:val="000000"/>
                <w:sz w:val="24"/>
              </w:rPr>
              <w:t>2.46</w:t>
            </w:r>
          </w:p>
        </w:tc>
      </w:tr>
      <w:tr w:rsidR="002D41D7">
        <w:tc>
          <w:tcPr>
            <w:tcW w:w="817" w:type="dxa"/>
            <w:vAlign w:val="center"/>
          </w:tcPr>
          <w:p w:rsidR="002D41D7" w:rsidRDefault="003E4D50">
            <w:pPr>
              <w:jc w:val="center"/>
            </w:pPr>
            <w:r>
              <w:rPr>
                <w:color w:val="000000"/>
                <w:sz w:val="24"/>
              </w:rPr>
              <w:t>10</w:t>
            </w:r>
          </w:p>
        </w:tc>
        <w:tc>
          <w:tcPr>
            <w:tcW w:w="1276" w:type="dxa"/>
            <w:vAlign w:val="center"/>
          </w:tcPr>
          <w:p w:rsidR="002D41D7" w:rsidRDefault="003E4D50">
            <w:pPr>
              <w:jc w:val="center"/>
            </w:pPr>
            <w:r>
              <w:rPr>
                <w:color w:val="000000"/>
                <w:sz w:val="24"/>
              </w:rPr>
              <w:t>601628</w:t>
            </w:r>
          </w:p>
        </w:tc>
        <w:tc>
          <w:tcPr>
            <w:tcW w:w="1417" w:type="dxa"/>
            <w:vAlign w:val="center"/>
          </w:tcPr>
          <w:p w:rsidR="002D41D7" w:rsidRDefault="003E4D50">
            <w:pPr>
              <w:jc w:val="center"/>
            </w:pPr>
            <w:r>
              <w:rPr>
                <w:color w:val="000000"/>
                <w:sz w:val="24"/>
              </w:rPr>
              <w:t>中国人寿</w:t>
            </w:r>
          </w:p>
        </w:tc>
        <w:tc>
          <w:tcPr>
            <w:tcW w:w="1560" w:type="dxa"/>
            <w:vAlign w:val="center"/>
          </w:tcPr>
          <w:p w:rsidR="002D41D7" w:rsidRDefault="003E4D50">
            <w:pPr>
              <w:jc w:val="right"/>
            </w:pPr>
            <w:r>
              <w:rPr>
                <w:color w:val="000000"/>
                <w:sz w:val="24"/>
              </w:rPr>
              <w:t>311,835</w:t>
            </w:r>
          </w:p>
        </w:tc>
        <w:tc>
          <w:tcPr>
            <w:tcW w:w="2268" w:type="dxa"/>
            <w:vAlign w:val="center"/>
          </w:tcPr>
          <w:p w:rsidR="002D41D7" w:rsidRDefault="003E4D50">
            <w:pPr>
              <w:jc w:val="right"/>
            </w:pPr>
            <w:r>
              <w:rPr>
                <w:color w:val="000000"/>
                <w:sz w:val="24"/>
              </w:rPr>
              <w:t>8,569,225.80</w:t>
            </w:r>
          </w:p>
        </w:tc>
        <w:tc>
          <w:tcPr>
            <w:tcW w:w="1559" w:type="dxa"/>
            <w:vAlign w:val="center"/>
          </w:tcPr>
          <w:p w:rsidR="002D41D7" w:rsidRDefault="003E4D50">
            <w:pPr>
              <w:jc w:val="right"/>
            </w:pPr>
            <w:r>
              <w:rPr>
                <w:color w:val="000000"/>
                <w:sz w:val="24"/>
              </w:rPr>
              <w:t>2.43</w:t>
            </w:r>
          </w:p>
        </w:tc>
      </w:tr>
    </w:tbl>
    <w:p w:rsidR="006A1153" w:rsidRPr="006A1153" w:rsidRDefault="00F016DD" w:rsidP="00B54884">
      <w:pPr>
        <w:autoSpaceDE w:val="0"/>
        <w:autoSpaceDN w:val="0"/>
        <w:adjustRightInd w:val="0"/>
        <w:spacing w:beforeLines="100" w:before="312" w:line="360" w:lineRule="auto"/>
        <w:jc w:val="left"/>
        <w:rPr>
          <w:rFonts w:eastAsiaTheme="minorEastAsia"/>
          <w:b/>
          <w:color w:val="000000" w:themeColor="text1"/>
          <w:kern w:val="0"/>
          <w:sz w:val="24"/>
        </w:rPr>
      </w:pPr>
      <w:r w:rsidRPr="0078105B">
        <w:rPr>
          <w:rFonts w:ascii="宋体" w:hAnsi="宋体" w:cs="Arial"/>
          <w:b/>
          <w:color w:val="000000"/>
          <w:kern w:val="0"/>
          <w:sz w:val="24"/>
        </w:rPr>
        <w:t xml:space="preserve">5.4 </w:t>
      </w:r>
      <w:r w:rsidRPr="0078105B">
        <w:rPr>
          <w:rFonts w:ascii="宋体" w:hAnsi="宋体" w:cs="Arial" w:hint="eastAsia"/>
          <w:b/>
          <w:color w:val="000000"/>
          <w:kern w:val="0"/>
          <w:sz w:val="24"/>
        </w:rPr>
        <w:t>报告期末按债券品种分类的债券投资组合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2835"/>
        <w:gridCol w:w="1616"/>
      </w:tblGrid>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序号</w:t>
            </w:r>
          </w:p>
        </w:tc>
        <w:tc>
          <w:tcPr>
            <w:tcW w:w="3260"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债券品种</w:t>
            </w:r>
          </w:p>
        </w:tc>
        <w:tc>
          <w:tcPr>
            <w:tcW w:w="2835"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公允价值</w:t>
            </w:r>
            <w:r w:rsidRPr="006A1153">
              <w:rPr>
                <w:rFonts w:eastAsiaTheme="minorEastAsia"/>
                <w:color w:val="000000" w:themeColor="text1"/>
                <w:sz w:val="24"/>
              </w:rPr>
              <w:t>(</w:t>
            </w:r>
            <w:r w:rsidRPr="006A1153">
              <w:rPr>
                <w:rFonts w:eastAsiaTheme="minorEastAsia"/>
                <w:color w:val="000000" w:themeColor="text1"/>
                <w:sz w:val="24"/>
              </w:rPr>
              <w:t>元</w:t>
            </w: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占基金资产净值比例</w:t>
            </w:r>
            <w:r w:rsidRPr="006A1153">
              <w:rPr>
                <w:rFonts w:eastAsiaTheme="minorEastAsia"/>
                <w:color w:val="000000" w:themeColor="text1"/>
                <w:sz w:val="24"/>
              </w:rPr>
              <w:t>(</w:t>
            </w:r>
            <w:r w:rsidRPr="006A1153">
              <w:rPr>
                <w:rFonts w:eastAsiaTheme="minorEastAsia"/>
                <w:color w:val="000000" w:themeColor="text1"/>
                <w:sz w:val="24"/>
              </w:rPr>
              <w:t>％</w:t>
            </w: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国家债券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lastRenderedPageBreak/>
              <w:t>2</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央行票据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3</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金融债券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其中：政策性金融债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4</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5</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企业短期融资券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6</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中期票据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7</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可转债</w:t>
            </w:r>
            <w:r w:rsidR="00524368" w:rsidRPr="00524368">
              <w:rPr>
                <w:rFonts w:eastAsiaTheme="minorEastAsia" w:hint="eastAsia"/>
                <w:color w:val="000000" w:themeColor="text1"/>
                <w:sz w:val="24"/>
              </w:rPr>
              <w:t>（可交换债）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22,999.40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0.01</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8</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同业存单</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9</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其他</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10</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合计</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22,999.40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0.01</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5.5 </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的前五名债券投资明细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
        <w:gridCol w:w="1559"/>
        <w:gridCol w:w="1985"/>
        <w:gridCol w:w="1559"/>
        <w:gridCol w:w="2126"/>
        <w:gridCol w:w="990"/>
      </w:tblGrid>
      <w:tr w:rsidR="00F016DD" w:rsidRPr="0078105B" w:rsidTr="00CA7FF7">
        <w:tc>
          <w:tcPr>
            <w:tcW w:w="802"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序号</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债券代码</w:t>
            </w:r>
          </w:p>
        </w:tc>
        <w:tc>
          <w:tcPr>
            <w:tcW w:w="1985"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债券名称</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数量（张）</w:t>
            </w:r>
          </w:p>
        </w:tc>
        <w:tc>
          <w:tcPr>
            <w:tcW w:w="2126"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公允价值</w:t>
            </w:r>
            <w:r w:rsidRPr="00FA472B">
              <w:rPr>
                <w:color w:val="000000"/>
                <w:kern w:val="0"/>
                <w:sz w:val="24"/>
              </w:rPr>
              <w:t>(</w:t>
            </w:r>
            <w:r w:rsidRPr="00FA472B">
              <w:rPr>
                <w:color w:val="000000"/>
                <w:kern w:val="0"/>
                <w:sz w:val="24"/>
              </w:rPr>
              <w:t>元</w:t>
            </w:r>
            <w:r w:rsidRPr="00FA472B">
              <w:rPr>
                <w:color w:val="000000"/>
                <w:kern w:val="0"/>
                <w:sz w:val="24"/>
              </w:rPr>
              <w:t>)</w:t>
            </w:r>
          </w:p>
        </w:tc>
        <w:tc>
          <w:tcPr>
            <w:tcW w:w="990"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占基金资产净值比例（％）</w:t>
            </w:r>
          </w:p>
        </w:tc>
      </w:tr>
      <w:tr w:rsidR="002D41D7">
        <w:tc>
          <w:tcPr>
            <w:tcW w:w="802" w:type="dxa"/>
            <w:vAlign w:val="center"/>
          </w:tcPr>
          <w:p w:rsidR="002D41D7" w:rsidRDefault="003E4D50">
            <w:pPr>
              <w:jc w:val="center"/>
            </w:pPr>
            <w:r>
              <w:rPr>
                <w:color w:val="000000"/>
                <w:sz w:val="24"/>
              </w:rPr>
              <w:t>1</w:t>
            </w:r>
          </w:p>
        </w:tc>
        <w:tc>
          <w:tcPr>
            <w:tcW w:w="1559" w:type="dxa"/>
            <w:vAlign w:val="center"/>
          </w:tcPr>
          <w:p w:rsidR="002D41D7" w:rsidRDefault="003E4D50">
            <w:pPr>
              <w:jc w:val="center"/>
            </w:pPr>
            <w:r>
              <w:rPr>
                <w:color w:val="000000"/>
                <w:sz w:val="24"/>
              </w:rPr>
              <w:t>113544</w:t>
            </w:r>
          </w:p>
        </w:tc>
        <w:tc>
          <w:tcPr>
            <w:tcW w:w="1985" w:type="dxa"/>
            <w:vAlign w:val="center"/>
          </w:tcPr>
          <w:p w:rsidR="002D41D7" w:rsidRDefault="003E4D50">
            <w:pPr>
              <w:jc w:val="center"/>
            </w:pPr>
            <w:r>
              <w:rPr>
                <w:color w:val="000000"/>
                <w:sz w:val="24"/>
              </w:rPr>
              <w:t>桃李转债</w:t>
            </w:r>
          </w:p>
        </w:tc>
        <w:tc>
          <w:tcPr>
            <w:tcW w:w="1559" w:type="dxa"/>
            <w:vAlign w:val="center"/>
          </w:tcPr>
          <w:p w:rsidR="002D41D7" w:rsidRDefault="003E4D50">
            <w:pPr>
              <w:jc w:val="right"/>
            </w:pPr>
            <w:r>
              <w:rPr>
                <w:color w:val="000000"/>
                <w:sz w:val="24"/>
              </w:rPr>
              <w:t>230</w:t>
            </w:r>
          </w:p>
        </w:tc>
        <w:tc>
          <w:tcPr>
            <w:tcW w:w="2126" w:type="dxa"/>
            <w:vAlign w:val="center"/>
          </w:tcPr>
          <w:p w:rsidR="002D41D7" w:rsidRDefault="003E4D50">
            <w:pPr>
              <w:jc w:val="right"/>
            </w:pPr>
            <w:r>
              <w:rPr>
                <w:color w:val="000000"/>
                <w:sz w:val="24"/>
              </w:rPr>
              <w:t>22,999.40</w:t>
            </w:r>
          </w:p>
        </w:tc>
        <w:tc>
          <w:tcPr>
            <w:tcW w:w="990" w:type="dxa"/>
            <w:vAlign w:val="center"/>
          </w:tcPr>
          <w:p w:rsidR="002D41D7" w:rsidRDefault="003E4D50">
            <w:pPr>
              <w:jc w:val="right"/>
            </w:pPr>
            <w:r>
              <w:rPr>
                <w:color w:val="000000"/>
                <w:sz w:val="24"/>
              </w:rPr>
              <w:t>0.01</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5.6</w:t>
      </w:r>
      <w:r w:rsidRPr="0078105B">
        <w:rPr>
          <w:rFonts w:ascii="宋体" w:hAnsi="宋体" w:cs="Arial" w:hint="eastAsia"/>
          <w:b/>
          <w:color w:val="000000"/>
          <w:kern w:val="0"/>
          <w:sz w:val="24"/>
        </w:rPr>
        <w:t xml:space="preserve">　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的前十名资产支持证券投资明细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本基金本报告期末未持有资产支持证券。</w:t>
      </w:r>
    </w:p>
    <w:p w:rsidR="00F016DD" w:rsidRPr="001D63BB" w:rsidRDefault="00F016DD" w:rsidP="006D462B">
      <w:pPr>
        <w:autoSpaceDE w:val="0"/>
        <w:autoSpaceDN w:val="0"/>
        <w:adjustRightInd w:val="0"/>
        <w:spacing w:line="360" w:lineRule="auto"/>
        <w:jc w:val="left"/>
        <w:rPr>
          <w:rFonts w:ascii="宋体"/>
          <w:b/>
          <w:bCs/>
          <w:color w:val="000000"/>
          <w:kern w:val="0"/>
          <w:sz w:val="24"/>
        </w:rPr>
      </w:pPr>
      <w:r w:rsidRPr="001B0A62">
        <w:rPr>
          <w:rFonts w:ascii="宋体" w:hAnsi="宋体"/>
          <w:b/>
          <w:bCs/>
          <w:color w:val="000000"/>
          <w:kern w:val="0"/>
          <w:sz w:val="24"/>
        </w:rPr>
        <w:t>5.</w:t>
      </w:r>
      <w:r w:rsidRPr="001B0A62">
        <w:rPr>
          <w:rFonts w:ascii="宋体"/>
          <w:b/>
          <w:bCs/>
          <w:color w:val="000000"/>
          <w:kern w:val="0"/>
          <w:sz w:val="24"/>
        </w:rPr>
        <w:t>7</w:t>
      </w:r>
      <w:r w:rsidRPr="001D63BB">
        <w:rPr>
          <w:rFonts w:ascii="宋体" w:hAnsi="宋体" w:hint="eastAsia"/>
          <w:b/>
          <w:bCs/>
          <w:color w:val="000000"/>
          <w:kern w:val="0"/>
          <w:sz w:val="24"/>
        </w:rPr>
        <w:t>报告期末按公允价值占基金资产净值比例大小排序的前五名贵金属投资明细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本基金本报告期末未持有贵金属。</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Pr>
          <w:rFonts w:ascii="宋体" w:hAnsi="宋体" w:cs="Arial"/>
          <w:b/>
          <w:color w:val="000000"/>
          <w:kern w:val="0"/>
          <w:sz w:val="24"/>
        </w:rPr>
        <w:t>5</w:t>
      </w:r>
      <w:r w:rsidRPr="0078105B">
        <w:rPr>
          <w:rFonts w:ascii="宋体" w:cs="Arial"/>
          <w:b/>
          <w:color w:val="000000"/>
          <w:kern w:val="0"/>
          <w:sz w:val="24"/>
        </w:rPr>
        <w:t>.</w:t>
      </w:r>
      <w:r>
        <w:rPr>
          <w:rFonts w:ascii="宋体" w:hAnsi="宋体" w:cs="Arial"/>
          <w:b/>
          <w:color w:val="000000"/>
          <w:kern w:val="0"/>
          <w:sz w:val="24"/>
        </w:rPr>
        <w:t>8</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的前五名权证投资明细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本基金本报告期末未持有权证。</w:t>
      </w:r>
    </w:p>
    <w:p w:rsidR="00F016DD" w:rsidRPr="00E85E29" w:rsidRDefault="00F016DD" w:rsidP="001D5CD0">
      <w:pPr>
        <w:adjustRightInd w:val="0"/>
        <w:snapToGrid w:val="0"/>
        <w:spacing w:line="360" w:lineRule="auto"/>
        <w:rPr>
          <w:rFonts w:ascii="宋体"/>
          <w:b/>
          <w:sz w:val="24"/>
        </w:rPr>
      </w:pPr>
      <w:r>
        <w:rPr>
          <w:rFonts w:ascii="宋体" w:hAnsi="宋体"/>
          <w:b/>
          <w:sz w:val="24"/>
        </w:rPr>
        <w:t>5.</w:t>
      </w:r>
      <w:r w:rsidRPr="00E85E29">
        <w:rPr>
          <w:rFonts w:ascii="宋体"/>
          <w:b/>
          <w:sz w:val="24"/>
        </w:rPr>
        <w:t>9</w:t>
      </w:r>
      <w:r w:rsidRPr="00E85E29">
        <w:rPr>
          <w:rFonts w:ascii="宋体" w:hAnsi="宋体" w:hint="eastAsia"/>
          <w:b/>
          <w:sz w:val="24"/>
        </w:rPr>
        <w:t>报告期末本基金投资的股指期货交易情况说明</w:t>
      </w:r>
    </w:p>
    <w:p w:rsidR="001F60E9" w:rsidRDefault="001F60E9" w:rsidP="001F60E9">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F016DD" w:rsidRPr="00E85E29" w:rsidRDefault="00F016DD" w:rsidP="001D5CD0">
      <w:pPr>
        <w:adjustRightInd w:val="0"/>
        <w:snapToGrid w:val="0"/>
        <w:spacing w:line="360" w:lineRule="auto"/>
        <w:rPr>
          <w:rFonts w:ascii="宋体"/>
          <w:b/>
          <w:sz w:val="24"/>
        </w:rPr>
      </w:pPr>
      <w:r w:rsidRPr="00E85E29">
        <w:rPr>
          <w:rFonts w:ascii="宋体" w:hAnsi="宋体"/>
          <w:b/>
          <w:sz w:val="24"/>
        </w:rPr>
        <w:t>5.10</w:t>
      </w:r>
      <w:r w:rsidRPr="00E85E29">
        <w:rPr>
          <w:rFonts w:ascii="宋体" w:hAnsi="宋体" w:hint="eastAsia"/>
          <w:b/>
          <w:sz w:val="24"/>
        </w:rPr>
        <w:t>报告期末本基金投资的国债期货交易情况说明</w:t>
      </w:r>
    </w:p>
    <w:p w:rsidR="00B249C0" w:rsidRDefault="00B249C0" w:rsidP="00B249C0">
      <w:pPr>
        <w:spacing w:line="360" w:lineRule="auto"/>
        <w:ind w:firstLineChars="200" w:firstLine="480"/>
      </w:pPr>
      <w:r>
        <w:rPr>
          <w:color w:val="000000"/>
          <w:sz w:val="24"/>
        </w:rPr>
        <w:t>本基金本报告期末未投资国债期货。</w:t>
      </w:r>
    </w:p>
    <w:p w:rsidR="00F016DD" w:rsidRPr="00E85E29" w:rsidRDefault="00F016DD" w:rsidP="001D5CD0">
      <w:pPr>
        <w:autoSpaceDE w:val="0"/>
        <w:autoSpaceDN w:val="0"/>
        <w:adjustRightInd w:val="0"/>
        <w:spacing w:line="360" w:lineRule="auto"/>
        <w:jc w:val="left"/>
        <w:rPr>
          <w:rFonts w:ascii="宋体" w:cs="Arial"/>
          <w:b/>
          <w:kern w:val="0"/>
          <w:sz w:val="24"/>
        </w:rPr>
      </w:pPr>
      <w:r w:rsidRPr="00E85E29">
        <w:rPr>
          <w:rFonts w:ascii="宋体" w:hAnsi="宋体" w:cs="Arial"/>
          <w:b/>
          <w:kern w:val="0"/>
          <w:sz w:val="24"/>
        </w:rPr>
        <w:t>5.11</w:t>
      </w:r>
      <w:r w:rsidRPr="00E85E29">
        <w:rPr>
          <w:rFonts w:ascii="宋体" w:hAnsi="宋体" w:cs="Arial" w:hint="eastAsia"/>
          <w:b/>
          <w:kern w:val="0"/>
          <w:sz w:val="24"/>
        </w:rPr>
        <w:t>投资组合报告附注</w:t>
      </w:r>
    </w:p>
    <w:p w:rsidR="00F016DD" w:rsidRPr="00414367" w:rsidRDefault="00F016DD" w:rsidP="006456D3">
      <w:pPr>
        <w:widowControl/>
        <w:spacing w:line="360" w:lineRule="auto"/>
        <w:rPr>
          <w:color w:val="000000"/>
          <w:sz w:val="24"/>
        </w:rPr>
      </w:pPr>
      <w:r w:rsidRPr="00414367">
        <w:rPr>
          <w:color w:val="000000"/>
          <w:sz w:val="24"/>
        </w:rPr>
        <w:t>5.11.12019</w:t>
      </w:r>
      <w:r w:rsidRPr="00414367">
        <w:rPr>
          <w:color w:val="000000"/>
          <w:sz w:val="24"/>
        </w:rPr>
        <w:t>年</w:t>
      </w:r>
      <w:r w:rsidRPr="00414367">
        <w:rPr>
          <w:color w:val="000000"/>
          <w:sz w:val="24"/>
        </w:rPr>
        <w:t>9</w:t>
      </w:r>
      <w:r w:rsidRPr="00414367">
        <w:rPr>
          <w:color w:val="000000"/>
          <w:sz w:val="24"/>
        </w:rPr>
        <w:t>月</w:t>
      </w:r>
      <w:r w:rsidRPr="00414367">
        <w:rPr>
          <w:color w:val="000000"/>
          <w:sz w:val="24"/>
        </w:rPr>
        <w:t>3</w:t>
      </w:r>
      <w:r w:rsidRPr="00414367">
        <w:rPr>
          <w:color w:val="000000"/>
          <w:sz w:val="24"/>
        </w:rPr>
        <w:t>日，北京银保监局对北京银行股份有限公司个人消费贷款被挪用于支付购房首付款或投资股权、个别个人商办用房贷款违反房地产调控政策、同业投</w:t>
      </w:r>
      <w:r w:rsidRPr="00414367">
        <w:rPr>
          <w:color w:val="000000"/>
          <w:sz w:val="24"/>
        </w:rPr>
        <w:lastRenderedPageBreak/>
        <w:t>资通过信托通道违规发放土地储备贷款的行为的违法违规事实，责令改正，并处罚款</w:t>
      </w:r>
      <w:r w:rsidRPr="00414367">
        <w:rPr>
          <w:color w:val="000000"/>
          <w:sz w:val="24"/>
        </w:rPr>
        <w:t>110</w:t>
      </w:r>
      <w:r w:rsidRPr="00414367">
        <w:rPr>
          <w:color w:val="000000"/>
          <w:sz w:val="24"/>
        </w:rPr>
        <w:t>万元人民币。</w:t>
      </w:r>
    </w:p>
    <w:p w:rsidR="002D41D7" w:rsidRDefault="003E4D50">
      <w:pPr>
        <w:widowControl/>
        <w:spacing w:line="360" w:lineRule="auto"/>
        <w:rPr>
          <w:color w:val="000000"/>
          <w:sz w:val="24"/>
        </w:rPr>
      </w:pPr>
      <w:r>
        <w:rPr>
          <w:color w:val="000000"/>
          <w:sz w:val="24"/>
        </w:rPr>
        <w:t>2019</w:t>
      </w:r>
      <w:r>
        <w:rPr>
          <w:color w:val="000000"/>
          <w:sz w:val="24"/>
        </w:rPr>
        <w:t>年</w:t>
      </w:r>
      <w:r>
        <w:rPr>
          <w:color w:val="000000"/>
          <w:sz w:val="24"/>
        </w:rPr>
        <w:t>9</w:t>
      </w:r>
      <w:r>
        <w:rPr>
          <w:color w:val="000000"/>
          <w:sz w:val="24"/>
        </w:rPr>
        <w:t>月</w:t>
      </w:r>
      <w:r>
        <w:rPr>
          <w:color w:val="000000"/>
          <w:sz w:val="24"/>
        </w:rPr>
        <w:t>25</w:t>
      </w:r>
      <w:r>
        <w:rPr>
          <w:color w:val="000000"/>
          <w:sz w:val="24"/>
        </w:rPr>
        <w:t>日，北京银保监局对北京银行股份有限公司员工大额消费贷款违规行为长期未有效整改、同业业务专营部门制改革不到位、同业投资违规接受第三方金融机构信用担保的违法违规事实，责令改正，并给予合计</w:t>
      </w:r>
      <w:r>
        <w:rPr>
          <w:color w:val="000000"/>
          <w:sz w:val="24"/>
        </w:rPr>
        <w:t>100</w:t>
      </w:r>
      <w:r>
        <w:rPr>
          <w:color w:val="000000"/>
          <w:sz w:val="24"/>
        </w:rPr>
        <w:t>万元罚款的行政处罚。</w:t>
      </w:r>
    </w:p>
    <w:p w:rsidR="002D41D7" w:rsidRDefault="003E4D50">
      <w:pPr>
        <w:widowControl/>
        <w:spacing w:line="360" w:lineRule="auto"/>
        <w:rPr>
          <w:color w:val="000000"/>
          <w:sz w:val="24"/>
        </w:rPr>
      </w:pPr>
      <w:r>
        <w:rPr>
          <w:color w:val="000000"/>
          <w:sz w:val="24"/>
        </w:rPr>
        <w:t>2019</w:t>
      </w:r>
      <w:r>
        <w:rPr>
          <w:color w:val="000000"/>
          <w:sz w:val="24"/>
        </w:rPr>
        <w:t>年</w:t>
      </w:r>
      <w:r>
        <w:rPr>
          <w:color w:val="000000"/>
          <w:sz w:val="24"/>
        </w:rPr>
        <w:t>6</w:t>
      </w:r>
      <w:r>
        <w:rPr>
          <w:color w:val="000000"/>
          <w:sz w:val="24"/>
        </w:rPr>
        <w:t>月</w:t>
      </w:r>
      <w:r>
        <w:rPr>
          <w:color w:val="000000"/>
          <w:sz w:val="24"/>
        </w:rPr>
        <w:t>24</w:t>
      </w:r>
      <w:r>
        <w:rPr>
          <w:color w:val="000000"/>
          <w:sz w:val="24"/>
        </w:rPr>
        <w:t>日，中国银行保</w:t>
      </w:r>
      <w:r>
        <w:rPr>
          <w:color w:val="000000"/>
          <w:sz w:val="24"/>
        </w:rPr>
        <w:t>险监督管理委员会对上海浦东发展银行股份有限公司关于以下违法违规事实：（一）对成都分行授信业务及整改情况严重失察；（二）重大审计发现未向监管部门报告；（三）轮岗制度执行不力，处以罚款</w:t>
      </w:r>
      <w:r>
        <w:rPr>
          <w:color w:val="000000"/>
          <w:sz w:val="24"/>
        </w:rPr>
        <w:t>130</w:t>
      </w:r>
      <w:r>
        <w:rPr>
          <w:color w:val="000000"/>
          <w:sz w:val="24"/>
        </w:rPr>
        <w:t>万元人民币。</w:t>
      </w:r>
    </w:p>
    <w:p w:rsidR="002D41D7" w:rsidRDefault="003E4D50">
      <w:pPr>
        <w:widowControl/>
        <w:spacing w:line="360" w:lineRule="auto"/>
        <w:rPr>
          <w:color w:val="000000"/>
          <w:sz w:val="24"/>
        </w:rPr>
      </w:pPr>
      <w:r>
        <w:rPr>
          <w:color w:val="000000"/>
          <w:sz w:val="24"/>
        </w:rPr>
        <w:t>2019</w:t>
      </w:r>
      <w:r>
        <w:rPr>
          <w:color w:val="000000"/>
          <w:sz w:val="24"/>
        </w:rPr>
        <w:t>年</w:t>
      </w:r>
      <w:r>
        <w:rPr>
          <w:color w:val="000000"/>
          <w:sz w:val="24"/>
        </w:rPr>
        <w:t>7</w:t>
      </w:r>
      <w:r>
        <w:rPr>
          <w:color w:val="000000"/>
          <w:sz w:val="24"/>
        </w:rPr>
        <w:t>月</w:t>
      </w:r>
      <w:r>
        <w:rPr>
          <w:color w:val="000000"/>
          <w:sz w:val="24"/>
        </w:rPr>
        <w:t>8</w:t>
      </w:r>
      <w:r>
        <w:rPr>
          <w:color w:val="000000"/>
          <w:sz w:val="24"/>
        </w:rPr>
        <w:t>日，中国银行保险监督管理委员会上海监管局对上海浦东发展银行股份有限公司信用卡中心</w:t>
      </w:r>
      <w:r>
        <w:rPr>
          <w:color w:val="000000"/>
          <w:sz w:val="24"/>
        </w:rPr>
        <w:t>2015</w:t>
      </w:r>
      <w:r>
        <w:rPr>
          <w:color w:val="000000"/>
          <w:sz w:val="24"/>
        </w:rPr>
        <w:t>年至</w:t>
      </w:r>
      <w:r>
        <w:rPr>
          <w:color w:val="000000"/>
          <w:sz w:val="24"/>
        </w:rPr>
        <w:t>2018</w:t>
      </w:r>
      <w:r>
        <w:rPr>
          <w:color w:val="000000"/>
          <w:sz w:val="24"/>
        </w:rPr>
        <w:t>年</w:t>
      </w:r>
      <w:r>
        <w:rPr>
          <w:color w:val="000000"/>
          <w:sz w:val="24"/>
        </w:rPr>
        <w:t>6</w:t>
      </w:r>
      <w:r>
        <w:rPr>
          <w:color w:val="000000"/>
          <w:sz w:val="24"/>
        </w:rPr>
        <w:t>月在为部分客户办理信用卡业务时，对申请人收入核定严重不审慎的违法违规事实，责令改正，并处罚款</w:t>
      </w:r>
      <w:r>
        <w:rPr>
          <w:color w:val="000000"/>
          <w:sz w:val="24"/>
        </w:rPr>
        <w:t>30</w:t>
      </w:r>
      <w:r>
        <w:rPr>
          <w:color w:val="000000"/>
          <w:sz w:val="24"/>
        </w:rPr>
        <w:t>万元</w:t>
      </w:r>
    </w:p>
    <w:p w:rsidR="002D41D7" w:rsidRDefault="003E4D50">
      <w:pPr>
        <w:widowControl/>
        <w:spacing w:line="360" w:lineRule="auto"/>
        <w:rPr>
          <w:color w:val="000000"/>
          <w:sz w:val="24"/>
        </w:rPr>
      </w:pPr>
      <w:r>
        <w:rPr>
          <w:color w:val="000000"/>
          <w:sz w:val="24"/>
        </w:rPr>
        <w:t>本基金投资上述股票的投资决策程序符合公司投资制度的规定。除北京银行、浦发银行外，本基金投资</w:t>
      </w:r>
      <w:r>
        <w:rPr>
          <w:color w:val="000000"/>
          <w:sz w:val="24"/>
        </w:rPr>
        <w:t>的前十名证券的发行主体本期没有出现被监管部门立案调查，或在报告编制日前一年内受到公开谴责、处罚的情形。</w:t>
      </w:r>
    </w:p>
    <w:p w:rsidR="00F016DD" w:rsidRPr="00414367" w:rsidRDefault="00F016DD" w:rsidP="006456D3">
      <w:pPr>
        <w:widowControl/>
        <w:spacing w:line="360" w:lineRule="auto"/>
        <w:rPr>
          <w:color w:val="000000"/>
          <w:sz w:val="24"/>
        </w:rPr>
      </w:pPr>
      <w:r w:rsidRPr="00414367">
        <w:rPr>
          <w:color w:val="000000"/>
          <w:sz w:val="24"/>
        </w:rPr>
        <w:t>5.11.2</w:t>
      </w:r>
      <w:r w:rsidRPr="00414367">
        <w:rPr>
          <w:color w:val="000000"/>
          <w:sz w:val="24"/>
        </w:rPr>
        <w:t>本基金投资的前十名股票没有超出基金合同规定的备选股票库。</w:t>
      </w:r>
    </w:p>
    <w:p w:rsidR="00F016DD" w:rsidRPr="00414367" w:rsidRDefault="00F016DD" w:rsidP="001D5CD0">
      <w:pPr>
        <w:autoSpaceDE w:val="0"/>
        <w:autoSpaceDN w:val="0"/>
        <w:adjustRightInd w:val="0"/>
        <w:spacing w:line="360" w:lineRule="auto"/>
        <w:rPr>
          <w:kern w:val="0"/>
          <w:sz w:val="24"/>
        </w:rPr>
      </w:pPr>
      <w:r w:rsidRPr="00414367">
        <w:rPr>
          <w:kern w:val="0"/>
          <w:sz w:val="24"/>
        </w:rPr>
        <w:t>5.11.3</w:t>
      </w:r>
      <w:r w:rsidRPr="00414367">
        <w:rPr>
          <w:kern w:val="0"/>
          <w:sz w:val="24"/>
        </w:rPr>
        <w:t>其他资产构成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
        <w:gridCol w:w="2761"/>
        <w:gridCol w:w="4808"/>
      </w:tblGrid>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序号</w:t>
            </w:r>
          </w:p>
        </w:tc>
        <w:tc>
          <w:tcPr>
            <w:tcW w:w="2761"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名称</w:t>
            </w:r>
          </w:p>
        </w:tc>
        <w:tc>
          <w:tcPr>
            <w:tcW w:w="4808"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金额</w:t>
            </w:r>
            <w:r w:rsidRPr="00FA472B">
              <w:rPr>
                <w:color w:val="000000"/>
                <w:kern w:val="0"/>
                <w:sz w:val="24"/>
              </w:rPr>
              <w:t>(</w:t>
            </w:r>
            <w:r w:rsidRPr="00FA472B">
              <w:rPr>
                <w:color w:val="000000"/>
                <w:kern w:val="0"/>
                <w:sz w:val="24"/>
              </w:rPr>
              <w:t>元</w:t>
            </w: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kern w:val="0"/>
                <w:sz w:val="24"/>
              </w:rPr>
            </w:pPr>
            <w:r w:rsidRPr="00FA472B">
              <w:rPr>
                <w:color w:val="000000"/>
                <w:sz w:val="24"/>
              </w:rPr>
              <w:t>1</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存出保证金</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45,864.52</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2</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应收证券清算款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572,427.81</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3</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应收股利</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4</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应收利息</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4,816.92</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5</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应收申购款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23,116.90</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6</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其他应收款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7</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sz w:val="24"/>
              </w:rPr>
            </w:pPr>
            <w:r w:rsidRPr="00FA472B">
              <w:rPr>
                <w:color w:val="000000"/>
                <w:sz w:val="24"/>
              </w:rPr>
              <w:t>待摊费用</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sz w:val="24"/>
              </w:rPr>
            </w:pPr>
            <w:r w:rsidRPr="00FA472B">
              <w:rPr>
                <w:color w:val="00000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8</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9</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合计</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646,226.15</w:t>
            </w:r>
          </w:p>
        </w:tc>
      </w:tr>
    </w:tbl>
    <w:p w:rsidR="00F016DD" w:rsidRPr="00E7356F" w:rsidRDefault="00F016DD" w:rsidP="001D5CD0">
      <w:pPr>
        <w:autoSpaceDE w:val="0"/>
        <w:autoSpaceDN w:val="0"/>
        <w:adjustRightInd w:val="0"/>
        <w:spacing w:line="360" w:lineRule="auto"/>
        <w:jc w:val="left"/>
        <w:rPr>
          <w:rFonts w:ascii="宋体" w:cs="Arial"/>
          <w:kern w:val="0"/>
          <w:sz w:val="24"/>
        </w:rPr>
      </w:pPr>
      <w:r w:rsidRPr="00E7356F">
        <w:rPr>
          <w:rFonts w:ascii="宋体" w:hAnsi="宋体" w:cs="Arial"/>
          <w:kern w:val="0"/>
          <w:sz w:val="24"/>
        </w:rPr>
        <w:t>5.11.4</w:t>
      </w:r>
      <w:r w:rsidRPr="00E7356F">
        <w:rPr>
          <w:rFonts w:ascii="宋体" w:hAnsi="宋体" w:cs="Arial" w:hint="eastAsia"/>
          <w:kern w:val="0"/>
          <w:sz w:val="24"/>
        </w:rPr>
        <w:t>报告期末持有的处于转股期的可转换债券明细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本基金本报告期末未持有处于转股期的可转换债券。</w:t>
      </w:r>
    </w:p>
    <w:p w:rsidR="00F016DD" w:rsidRPr="00E7356F" w:rsidRDefault="00F016DD" w:rsidP="001D5CD0">
      <w:pPr>
        <w:autoSpaceDE w:val="0"/>
        <w:autoSpaceDN w:val="0"/>
        <w:adjustRightInd w:val="0"/>
        <w:spacing w:line="360" w:lineRule="auto"/>
        <w:jc w:val="left"/>
        <w:rPr>
          <w:rFonts w:ascii="宋体"/>
          <w:bCs/>
          <w:sz w:val="24"/>
        </w:rPr>
      </w:pPr>
      <w:r w:rsidRPr="00E7356F">
        <w:rPr>
          <w:rFonts w:ascii="宋体" w:hAnsi="宋体" w:cs="Arial"/>
          <w:kern w:val="0"/>
          <w:sz w:val="24"/>
        </w:rPr>
        <w:t>5.11.5</w:t>
      </w:r>
      <w:r w:rsidRPr="00E7356F">
        <w:rPr>
          <w:rFonts w:ascii="宋体" w:hAnsi="宋体" w:hint="eastAsia"/>
          <w:bCs/>
          <w:sz w:val="24"/>
        </w:rPr>
        <w:t>报告期末前十名股票中存在流通受限情况的说明</w:t>
      </w:r>
    </w:p>
    <w:p w:rsidR="00F016DD" w:rsidRPr="00DF18FE" w:rsidRDefault="00F016DD" w:rsidP="00DF18FE">
      <w:pPr>
        <w:spacing w:line="360" w:lineRule="auto"/>
        <w:ind w:firstLineChars="200" w:firstLine="480"/>
        <w:rPr>
          <w:color w:val="000000"/>
          <w:sz w:val="24"/>
        </w:rPr>
      </w:pPr>
      <w:r w:rsidRPr="00DF18FE">
        <w:rPr>
          <w:color w:val="000000"/>
          <w:sz w:val="24"/>
        </w:rPr>
        <w:lastRenderedPageBreak/>
        <w:t>本基金本报告期末前十名股票中不存在流通受限情况。</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6  </w:t>
      </w:r>
      <w:r w:rsidRPr="0078105B">
        <w:rPr>
          <w:rFonts w:ascii="宋体" w:hAnsi="宋体" w:cs="Arial" w:hint="eastAsia"/>
          <w:color w:val="000000"/>
          <w:kern w:val="0"/>
          <w:sz w:val="24"/>
          <w:szCs w:val="24"/>
        </w:rPr>
        <w:t>开放式基金份额变动</w:t>
      </w:r>
    </w:p>
    <w:p w:rsidR="00F016DD" w:rsidRPr="00FA472B" w:rsidRDefault="00F016DD" w:rsidP="00302187">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单位：份</w:t>
      </w:r>
    </w:p>
    <w:tbl>
      <w:tblPr>
        <w:tblW w:w="0" w:type="auto"/>
        <w:tblInd w:w="-106" w:type="dxa"/>
        <w:tblLayout w:type="fixed"/>
        <w:tblLook w:val="0000" w:firstRow="0" w:lastRow="0" w:firstColumn="0" w:lastColumn="0" w:noHBand="0" w:noVBand="0"/>
      </w:tblPr>
      <w:tblGrid>
        <w:gridCol w:w="3900"/>
        <w:gridCol w:w="2367"/>
        <w:gridCol w:w="2367"/>
      </w:tblGrid>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84643">
            <w:pPr>
              <w:autoSpaceDE w:val="0"/>
              <w:autoSpaceDN w:val="0"/>
              <w:adjustRightInd w:val="0"/>
              <w:spacing w:before="29" w:line="360" w:lineRule="auto"/>
              <w:ind w:left="17"/>
              <w:jc w:val="center"/>
              <w:rPr>
                <w:color w:val="000000"/>
                <w:kern w:val="0"/>
                <w:sz w:val="24"/>
              </w:rPr>
            </w:pPr>
            <w:r w:rsidRPr="00FA472B">
              <w:rPr>
                <w:color w:val="000000"/>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sz w:val="24"/>
              </w:rPr>
              <w:t>易方达易百智能量化策略混合</w:t>
            </w:r>
            <w:r w:rsidRPr="00FA472B">
              <w:rPr>
                <w:sz w:val="24"/>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sz w:val="24"/>
              </w:rPr>
              <w:t>易方达易百智能量化策略混合</w:t>
            </w:r>
            <w:r w:rsidRPr="00FA472B">
              <w:rPr>
                <w:sz w:val="24"/>
              </w:rPr>
              <w:t>C</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438,430,144.59</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5,900,735.27</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1,087,701.80</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426,956.33</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减：报告期基金总赎回份额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53,772,222.02</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645,528.80</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57BCF">
            <w:pPr>
              <w:autoSpaceDE w:val="0"/>
              <w:autoSpaceDN w:val="0"/>
              <w:adjustRightInd w:val="0"/>
              <w:spacing w:before="29" w:line="360" w:lineRule="auto"/>
              <w:ind w:left="17"/>
              <w:jc w:val="right"/>
              <w:rPr>
                <w:color w:val="000000"/>
                <w:sz w:val="24"/>
              </w:rPr>
            </w:pPr>
            <w:r w:rsidRPr="00FA472B">
              <w:rPr>
                <w:color w:val="000000"/>
                <w:sz w:val="24"/>
              </w:rPr>
              <w:t>385,745,624.37</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5,682,162.80</w:t>
            </w:r>
          </w:p>
        </w:tc>
      </w:tr>
    </w:tbl>
    <w:p w:rsidR="00F016DD" w:rsidRDefault="00F016DD" w:rsidP="00B54884">
      <w:pPr>
        <w:pStyle w:val="1"/>
        <w:tabs>
          <w:tab w:val="center" w:pos="4156"/>
          <w:tab w:val="right" w:pos="8312"/>
        </w:tabs>
        <w:spacing w:beforeLines="100" w:before="312" w:afterLines="100" w:after="312" w:line="360" w:lineRule="auto"/>
        <w:jc w:val="center"/>
        <w:rPr>
          <w:rFonts w:ascii="方正仿宋简体"/>
          <w:sz w:val="24"/>
          <w:szCs w:val="24"/>
        </w:rPr>
      </w:pPr>
      <w:r w:rsidRPr="00AB67DE">
        <w:rPr>
          <w:rFonts w:ascii="宋体" w:hAnsi="宋体" w:cs="Arial" w:hint="eastAsia"/>
          <w:color w:val="000000"/>
          <w:kern w:val="0"/>
          <w:sz w:val="24"/>
          <w:szCs w:val="24"/>
        </w:rPr>
        <w:t>§</w:t>
      </w:r>
      <w:r w:rsidRPr="00AB67DE">
        <w:rPr>
          <w:rFonts w:ascii="宋体" w:cs="Arial"/>
          <w:color w:val="000000"/>
          <w:kern w:val="0"/>
          <w:sz w:val="24"/>
          <w:szCs w:val="24"/>
        </w:rPr>
        <w:t>7</w:t>
      </w:r>
      <w:r w:rsidR="0066098B" w:rsidRPr="0078105B">
        <w:rPr>
          <w:rFonts w:ascii="宋体" w:hAnsi="宋体" w:cs="Arial"/>
          <w:color w:val="000000"/>
          <w:kern w:val="0"/>
          <w:sz w:val="24"/>
          <w:szCs w:val="24"/>
        </w:rPr>
        <w:t xml:space="preserve">  </w:t>
      </w:r>
      <w:r w:rsidRPr="0016464C">
        <w:rPr>
          <w:rFonts w:ascii="方正仿宋简体" w:hint="eastAsia"/>
          <w:sz w:val="24"/>
          <w:szCs w:val="24"/>
        </w:rPr>
        <w:t>基金管理人运用固有资金投资本基金情况</w:t>
      </w:r>
    </w:p>
    <w:p w:rsidR="00F016DD" w:rsidRPr="00B76BBB" w:rsidRDefault="00F016DD" w:rsidP="00935FB1">
      <w:pPr>
        <w:spacing w:line="360" w:lineRule="auto"/>
        <w:jc w:val="left"/>
        <w:rPr>
          <w:sz w:val="24"/>
        </w:rPr>
      </w:pPr>
      <w:r>
        <w:rPr>
          <w:b/>
          <w:sz w:val="24"/>
        </w:rPr>
        <w:t xml:space="preserve">7.1 </w:t>
      </w:r>
      <w:r>
        <w:rPr>
          <w:rFonts w:hint="eastAsia"/>
          <w:b/>
          <w:sz w:val="24"/>
        </w:rPr>
        <w:t>基</w:t>
      </w:r>
      <w:r w:rsidRPr="00B404F1">
        <w:rPr>
          <w:rFonts w:hint="eastAsia"/>
          <w:b/>
          <w:sz w:val="24"/>
        </w:rPr>
        <w:t>金管理人持有本基金份额变动情况</w:t>
      </w:r>
    </w:p>
    <w:p w:rsidR="00F016DD" w:rsidRPr="00DF18FE" w:rsidRDefault="00CC78C7" w:rsidP="00DF18FE">
      <w:pPr>
        <w:spacing w:line="360" w:lineRule="auto"/>
        <w:ind w:firstLineChars="200" w:firstLine="480"/>
        <w:rPr>
          <w:color w:val="000000"/>
          <w:sz w:val="24"/>
        </w:rPr>
      </w:pPr>
      <w:r w:rsidRPr="00DF18FE">
        <w:rPr>
          <w:color w:val="000000"/>
          <w:sz w:val="24"/>
        </w:rPr>
        <w:t>本报告期内基金管理人未持有本基金份额。</w:t>
      </w:r>
    </w:p>
    <w:p w:rsidR="00F016DD" w:rsidRPr="00B76BBB" w:rsidRDefault="00F016DD" w:rsidP="00935FB1">
      <w:pPr>
        <w:spacing w:line="360" w:lineRule="auto"/>
        <w:jc w:val="left"/>
        <w:rPr>
          <w:sz w:val="24"/>
        </w:rPr>
      </w:pPr>
      <w:r>
        <w:rPr>
          <w:b/>
          <w:sz w:val="24"/>
        </w:rPr>
        <w:t xml:space="preserve">7.2 </w:t>
      </w:r>
      <w:r>
        <w:rPr>
          <w:rFonts w:hint="eastAsia"/>
          <w:b/>
          <w:sz w:val="24"/>
        </w:rPr>
        <w:t>基</w:t>
      </w:r>
      <w:r w:rsidRPr="00B404F1">
        <w:rPr>
          <w:rFonts w:hint="eastAsia"/>
          <w:b/>
          <w:sz w:val="24"/>
        </w:rPr>
        <w:t>金管理人运用固有资金投资本基金交易明细</w:t>
      </w:r>
    </w:p>
    <w:p w:rsidR="00F016DD" w:rsidRPr="00DF18FE" w:rsidRDefault="00F016DD" w:rsidP="00DF18FE">
      <w:pPr>
        <w:spacing w:line="360" w:lineRule="auto"/>
        <w:ind w:firstLineChars="200" w:firstLine="480"/>
        <w:rPr>
          <w:color w:val="000000"/>
          <w:sz w:val="24"/>
        </w:rPr>
      </w:pPr>
      <w:r w:rsidRPr="00DF18FE">
        <w:rPr>
          <w:color w:val="000000"/>
          <w:sz w:val="24"/>
        </w:rPr>
        <w:t>本报告期内基金管理人未运用固有资金申购、赎回、买卖本基金份额。</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8</w:t>
      </w:r>
      <w:r w:rsidR="0066098B" w:rsidRPr="0078105B">
        <w:rPr>
          <w:rFonts w:ascii="宋体" w:hAnsi="宋体" w:cs="Arial"/>
          <w:color w:val="000000"/>
          <w:kern w:val="0"/>
          <w:sz w:val="24"/>
          <w:szCs w:val="24"/>
        </w:rPr>
        <w:t xml:space="preserve">  </w:t>
      </w:r>
      <w:r w:rsidRPr="0078105B">
        <w:rPr>
          <w:rFonts w:ascii="宋体" w:hAnsi="宋体" w:cs="Arial" w:hint="eastAsia"/>
          <w:color w:val="000000"/>
          <w:kern w:val="0"/>
          <w:sz w:val="24"/>
          <w:szCs w:val="24"/>
        </w:rPr>
        <w:t>备查文件目录</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8.1</w:t>
      </w:r>
      <w:r w:rsidRPr="00E8153C">
        <w:rPr>
          <w:color w:val="000000"/>
          <w:kern w:val="0"/>
          <w:sz w:val="24"/>
        </w:rPr>
        <w:t>备查文件目录</w:t>
      </w:r>
    </w:p>
    <w:p w:rsidR="002D41D7" w:rsidRDefault="003E4D50">
      <w:pPr>
        <w:spacing w:line="360" w:lineRule="auto"/>
        <w:ind w:firstLineChars="200" w:firstLine="480"/>
        <w:rPr>
          <w:color w:val="000000"/>
          <w:sz w:val="24"/>
        </w:rPr>
      </w:pPr>
      <w:r>
        <w:rPr>
          <w:color w:val="000000"/>
          <w:sz w:val="24"/>
        </w:rPr>
        <w:t>1.</w:t>
      </w:r>
      <w:r>
        <w:rPr>
          <w:color w:val="000000"/>
          <w:sz w:val="24"/>
        </w:rPr>
        <w:t>中国证监会准予易方达易百智能量化策略灵活配置混合型证券投资基金注册的文件；</w:t>
      </w:r>
    </w:p>
    <w:p w:rsidR="002D41D7" w:rsidRDefault="003E4D50">
      <w:pPr>
        <w:spacing w:line="360" w:lineRule="auto"/>
        <w:ind w:firstLineChars="200" w:firstLine="480"/>
        <w:rPr>
          <w:color w:val="000000"/>
          <w:sz w:val="24"/>
        </w:rPr>
      </w:pPr>
      <w:r>
        <w:rPr>
          <w:color w:val="000000"/>
          <w:sz w:val="24"/>
        </w:rPr>
        <w:t>2.</w:t>
      </w:r>
      <w:r>
        <w:rPr>
          <w:color w:val="000000"/>
          <w:sz w:val="24"/>
        </w:rPr>
        <w:t>《易方达易百智能量化策略灵活配置混合型证券投资基金基金合同》；</w:t>
      </w:r>
    </w:p>
    <w:p w:rsidR="002D41D7" w:rsidRDefault="003E4D50">
      <w:pPr>
        <w:spacing w:line="360" w:lineRule="auto"/>
        <w:ind w:firstLineChars="200" w:firstLine="480"/>
        <w:rPr>
          <w:color w:val="000000"/>
          <w:sz w:val="24"/>
        </w:rPr>
      </w:pPr>
      <w:r>
        <w:rPr>
          <w:color w:val="000000"/>
          <w:sz w:val="24"/>
        </w:rPr>
        <w:t>3.</w:t>
      </w:r>
      <w:r>
        <w:rPr>
          <w:color w:val="000000"/>
          <w:sz w:val="24"/>
        </w:rPr>
        <w:t>《易方达易百智能量化策略灵活配置混合型证券投资基金托管协议》；</w:t>
      </w:r>
    </w:p>
    <w:p w:rsidR="002D41D7" w:rsidRDefault="003E4D50">
      <w:pPr>
        <w:spacing w:line="360" w:lineRule="auto"/>
        <w:ind w:firstLineChars="200" w:firstLine="480"/>
        <w:rPr>
          <w:color w:val="000000"/>
          <w:sz w:val="24"/>
        </w:rPr>
      </w:pPr>
      <w:r>
        <w:rPr>
          <w:color w:val="000000"/>
          <w:sz w:val="24"/>
        </w:rPr>
        <w:t>4.</w:t>
      </w:r>
      <w:r>
        <w:rPr>
          <w:color w:val="000000"/>
          <w:sz w:val="24"/>
        </w:rPr>
        <w:t>《易方达基金管理有限公司开放式基金业务规则》；</w:t>
      </w:r>
    </w:p>
    <w:p w:rsidR="00F016DD" w:rsidRPr="00E8153C" w:rsidRDefault="00F016DD" w:rsidP="00DF18FE">
      <w:pPr>
        <w:spacing w:line="360" w:lineRule="auto"/>
        <w:ind w:firstLineChars="200" w:firstLine="480"/>
        <w:rPr>
          <w:color w:val="000000"/>
          <w:sz w:val="24"/>
        </w:rPr>
      </w:pPr>
      <w:r w:rsidRPr="00E8153C">
        <w:rPr>
          <w:color w:val="000000"/>
          <w:sz w:val="24"/>
        </w:rPr>
        <w:t>5.</w:t>
      </w:r>
      <w:r w:rsidRPr="00E8153C">
        <w:rPr>
          <w:color w:val="000000"/>
          <w:sz w:val="24"/>
        </w:rPr>
        <w:t>基金管理人业务资格批件、营业执照。</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8.2</w:t>
      </w:r>
      <w:r w:rsidRPr="00E8153C">
        <w:rPr>
          <w:color w:val="000000"/>
          <w:kern w:val="0"/>
          <w:sz w:val="24"/>
        </w:rPr>
        <w:t>存放地点</w:t>
      </w:r>
    </w:p>
    <w:p w:rsidR="00F016DD" w:rsidRPr="00E8153C" w:rsidRDefault="00F016DD" w:rsidP="00DF18FE">
      <w:pPr>
        <w:spacing w:line="360" w:lineRule="auto"/>
        <w:ind w:firstLineChars="200" w:firstLine="480"/>
        <w:rPr>
          <w:color w:val="000000"/>
          <w:sz w:val="24"/>
        </w:rPr>
      </w:pPr>
      <w:r w:rsidRPr="00E8153C">
        <w:rPr>
          <w:color w:val="000000"/>
          <w:sz w:val="24"/>
        </w:rPr>
        <w:t>广州市天河区珠江新城珠江东路</w:t>
      </w:r>
      <w:r w:rsidRPr="00E8153C">
        <w:rPr>
          <w:color w:val="000000"/>
          <w:sz w:val="24"/>
        </w:rPr>
        <w:t>30</w:t>
      </w:r>
      <w:r w:rsidRPr="00E8153C">
        <w:rPr>
          <w:color w:val="000000"/>
          <w:sz w:val="24"/>
        </w:rPr>
        <w:t>号广州银行大厦</w:t>
      </w:r>
      <w:r w:rsidRPr="00E8153C">
        <w:rPr>
          <w:color w:val="000000"/>
          <w:sz w:val="24"/>
        </w:rPr>
        <w:t>40-43</w:t>
      </w:r>
      <w:r w:rsidRPr="00E8153C">
        <w:rPr>
          <w:color w:val="000000"/>
          <w:sz w:val="24"/>
        </w:rPr>
        <w:t>楼。</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lastRenderedPageBreak/>
        <w:t>8.3</w:t>
      </w:r>
      <w:r w:rsidRPr="00E8153C">
        <w:rPr>
          <w:color w:val="000000"/>
          <w:kern w:val="0"/>
          <w:sz w:val="24"/>
        </w:rPr>
        <w:t>查阅方式</w:t>
      </w:r>
    </w:p>
    <w:p w:rsidR="00F016DD" w:rsidRPr="00E8153C" w:rsidRDefault="00F016DD" w:rsidP="00DF18FE">
      <w:pPr>
        <w:spacing w:line="360" w:lineRule="auto"/>
        <w:ind w:firstLineChars="200" w:firstLine="480"/>
        <w:rPr>
          <w:color w:val="000000"/>
          <w:sz w:val="24"/>
        </w:rPr>
      </w:pPr>
      <w:r w:rsidRPr="00E8153C">
        <w:rPr>
          <w:color w:val="000000"/>
          <w:sz w:val="24"/>
        </w:rPr>
        <w:t>投资者可在营业时间免费查阅，也可按工本费购买复印件。</w:t>
      </w:r>
    </w:p>
    <w:p w:rsidR="00F016DD" w:rsidRPr="0078105B" w:rsidRDefault="00F016DD" w:rsidP="00FB3C94">
      <w:pPr>
        <w:spacing w:line="360" w:lineRule="auto"/>
        <w:ind w:left="840"/>
        <w:jc w:val="right"/>
        <w:rPr>
          <w:rFonts w:ascii="宋体"/>
          <w:color w:val="000000"/>
          <w:sz w:val="24"/>
        </w:rPr>
      </w:pPr>
    </w:p>
    <w:p w:rsidR="00F016DD" w:rsidRPr="0078105B" w:rsidRDefault="00F016DD" w:rsidP="00053FFD">
      <w:pPr>
        <w:spacing w:line="360" w:lineRule="auto"/>
        <w:ind w:left="840"/>
        <w:jc w:val="center"/>
        <w:rPr>
          <w:rFonts w:ascii="宋体"/>
          <w:b/>
          <w:color w:val="000000"/>
          <w:sz w:val="24"/>
        </w:rPr>
      </w:pP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易方达基金管理有限公司</w:t>
      </w: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二〇一九年十月二十四日</w:t>
      </w:r>
    </w:p>
    <w:sectPr w:rsidR="00F016DD" w:rsidRPr="0078105B" w:rsidSect="00A8324F">
      <w:footerReference w:type="even" r:id="rId11"/>
      <w:footerReference w:type="default" r:id="rId12"/>
      <w:pgSz w:w="11906" w:h="16838"/>
      <w:pgMar w:top="1440" w:right="128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926" w:rsidRDefault="00236926">
      <w:r>
        <w:separator/>
      </w:r>
    </w:p>
  </w:endnote>
  <w:endnote w:type="continuationSeparator" w:id="0">
    <w:p w:rsidR="00236926" w:rsidRDefault="00236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FangSong">
    <w:altName w:val="Arial"/>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方正仿宋简体">
    <w:altName w:val="Arial Unicode MS"/>
    <w:charset w:val="86"/>
    <w:family w:val="auto"/>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1D0DB0" w:rsidRDefault="00611CB2" w:rsidP="00F7094A">
    <w:pPr>
      <w:pStyle w:val="a6"/>
      <w:jc w:val="center"/>
    </w:pPr>
    <w:r>
      <w:rPr>
        <w:rFonts w:hint="eastAsia"/>
        <w:szCs w:val="21"/>
      </w:rPr>
      <w:t>第</w:t>
    </w:r>
    <w:r w:rsidR="00F85FCB">
      <w:rPr>
        <w:szCs w:val="21"/>
      </w:rPr>
      <w:fldChar w:fldCharType="begin"/>
    </w:r>
    <w:r>
      <w:rPr>
        <w:szCs w:val="21"/>
      </w:rPr>
      <w:instrText xml:space="preserve"> PAGE </w:instrText>
    </w:r>
    <w:r w:rsidR="00F85FCB">
      <w:rPr>
        <w:szCs w:val="21"/>
      </w:rPr>
      <w:fldChar w:fldCharType="separate"/>
    </w:r>
    <w:r w:rsidR="003E4D50">
      <w:rPr>
        <w:noProof/>
        <w:szCs w:val="21"/>
      </w:rPr>
      <w:t>1</w:t>
    </w:r>
    <w:r w:rsidR="00F85FCB">
      <w:rPr>
        <w:szCs w:val="21"/>
      </w:rPr>
      <w:fldChar w:fldCharType="end"/>
    </w:r>
    <w:r>
      <w:rPr>
        <w:rFonts w:hint="eastAsia"/>
        <w:szCs w:val="21"/>
      </w:rPr>
      <w:t>页共</w:t>
    </w:r>
    <w:r w:rsidR="00F85FCB">
      <w:rPr>
        <w:szCs w:val="21"/>
      </w:rPr>
      <w:fldChar w:fldCharType="begin"/>
    </w:r>
    <w:r>
      <w:rPr>
        <w:szCs w:val="21"/>
      </w:rPr>
      <w:instrText xml:space="preserve"> NUMPAGES </w:instrText>
    </w:r>
    <w:r w:rsidR="00F85FCB">
      <w:rPr>
        <w:szCs w:val="21"/>
      </w:rPr>
      <w:fldChar w:fldCharType="separate"/>
    </w:r>
    <w:r w:rsidR="003E4D50">
      <w:rPr>
        <w:noProof/>
        <w:szCs w:val="21"/>
      </w:rPr>
      <w:t>3</w:t>
    </w:r>
    <w:r w:rsidR="00F85FCB">
      <w:rPr>
        <w:szCs w:val="21"/>
      </w:rPr>
      <w:fldChar w:fldCharType="end"/>
    </w:r>
    <w:r>
      <w:rPr>
        <w:rFonts w:hint="eastAsia"/>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end"/>
    </w:r>
  </w:p>
  <w:p w:rsidR="00611CB2" w:rsidRDefault="00611CB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separate"/>
    </w:r>
    <w:r w:rsidR="003E4D50">
      <w:rPr>
        <w:rStyle w:val="a7"/>
        <w:noProof/>
      </w:rPr>
      <w:t>13</w:t>
    </w:r>
    <w:r>
      <w:rPr>
        <w:rStyle w:val="a7"/>
      </w:rPr>
      <w:fldChar w:fldCharType="end"/>
    </w:r>
  </w:p>
  <w:p w:rsidR="00611CB2" w:rsidRDefault="00611CB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926" w:rsidRDefault="00236926">
      <w:r>
        <w:separator/>
      </w:r>
    </w:p>
  </w:footnote>
  <w:footnote w:type="continuationSeparator" w:id="0">
    <w:p w:rsidR="00236926" w:rsidRDefault="00236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DA451D" w:rsidRDefault="00611CB2" w:rsidP="001207F2">
    <w:pPr>
      <w:pStyle w:val="a9"/>
      <w:pBdr>
        <w:bottom w:val="single" w:sz="6" w:space="0" w:color="auto"/>
      </w:pBdr>
      <w:jc w:val="right"/>
    </w:pPr>
    <w:r w:rsidRPr="00DA451D">
      <w:t>易方达易百智能量化策略灵活配置混合型证券投资基金</w:t>
    </w:r>
    <w:r w:rsidRPr="00DA451D">
      <w:t>2019</w:t>
    </w:r>
    <w:r w:rsidRPr="00DA451D">
      <w:t>年第</w:t>
    </w:r>
    <w:r w:rsidRPr="00DA451D">
      <w:t>3</w:t>
    </w:r>
    <w:r w:rsidRPr="00DA451D">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lvlOverride w:ilvl="2">
      <w:lvl w:ilvl="2">
        <w:start w:val="1"/>
        <w:numFmt w:val="decimal"/>
        <w:lvlText w:val="%1.%2.%3"/>
        <w:lvlJc w:val="left"/>
        <w:pPr>
          <w:tabs>
            <w:tab w:val="num" w:pos="1418"/>
          </w:tabs>
          <w:ind w:left="1418" w:hanging="567"/>
        </w:pPr>
        <w:rPr>
          <w:rFonts w:cs="Times New Roman"/>
        </w:r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02187"/>
    <w:rsid w:val="0000059C"/>
    <w:rsid w:val="000008B1"/>
    <w:rsid w:val="0000403B"/>
    <w:rsid w:val="00007441"/>
    <w:rsid w:val="00007F1F"/>
    <w:rsid w:val="000108A5"/>
    <w:rsid w:val="00010A83"/>
    <w:rsid w:val="000137C1"/>
    <w:rsid w:val="0001579C"/>
    <w:rsid w:val="00016551"/>
    <w:rsid w:val="00020737"/>
    <w:rsid w:val="00020C27"/>
    <w:rsid w:val="000219D5"/>
    <w:rsid w:val="00022396"/>
    <w:rsid w:val="00023073"/>
    <w:rsid w:val="00023B86"/>
    <w:rsid w:val="00023B97"/>
    <w:rsid w:val="00024836"/>
    <w:rsid w:val="000252D8"/>
    <w:rsid w:val="0003338D"/>
    <w:rsid w:val="0003564A"/>
    <w:rsid w:val="00037B55"/>
    <w:rsid w:val="00037C73"/>
    <w:rsid w:val="00042065"/>
    <w:rsid w:val="00043FD2"/>
    <w:rsid w:val="00045558"/>
    <w:rsid w:val="00045BA9"/>
    <w:rsid w:val="00047D87"/>
    <w:rsid w:val="000510AB"/>
    <w:rsid w:val="00053FFD"/>
    <w:rsid w:val="00056D5C"/>
    <w:rsid w:val="00061B0B"/>
    <w:rsid w:val="00061E09"/>
    <w:rsid w:val="00062C69"/>
    <w:rsid w:val="00062E1F"/>
    <w:rsid w:val="00064601"/>
    <w:rsid w:val="00064AE3"/>
    <w:rsid w:val="00064F4B"/>
    <w:rsid w:val="00065ABE"/>
    <w:rsid w:val="0006750A"/>
    <w:rsid w:val="000776C0"/>
    <w:rsid w:val="00077849"/>
    <w:rsid w:val="000803AD"/>
    <w:rsid w:val="000813D6"/>
    <w:rsid w:val="00081D05"/>
    <w:rsid w:val="000827CC"/>
    <w:rsid w:val="000871DB"/>
    <w:rsid w:val="000922C5"/>
    <w:rsid w:val="0009314F"/>
    <w:rsid w:val="00093A23"/>
    <w:rsid w:val="00097169"/>
    <w:rsid w:val="000A08FC"/>
    <w:rsid w:val="000A15F1"/>
    <w:rsid w:val="000A1617"/>
    <w:rsid w:val="000A40A5"/>
    <w:rsid w:val="000A457E"/>
    <w:rsid w:val="000A549A"/>
    <w:rsid w:val="000A5A81"/>
    <w:rsid w:val="000A6D8C"/>
    <w:rsid w:val="000A72F2"/>
    <w:rsid w:val="000A7BFD"/>
    <w:rsid w:val="000B000E"/>
    <w:rsid w:val="000B1CB9"/>
    <w:rsid w:val="000B24AF"/>
    <w:rsid w:val="000B251E"/>
    <w:rsid w:val="000B3E43"/>
    <w:rsid w:val="000B4E99"/>
    <w:rsid w:val="000B5B16"/>
    <w:rsid w:val="000B648A"/>
    <w:rsid w:val="000C45E7"/>
    <w:rsid w:val="000C5956"/>
    <w:rsid w:val="000C757F"/>
    <w:rsid w:val="000C7DD4"/>
    <w:rsid w:val="000D1164"/>
    <w:rsid w:val="000D1BBE"/>
    <w:rsid w:val="000D3773"/>
    <w:rsid w:val="000D4DE9"/>
    <w:rsid w:val="000D6660"/>
    <w:rsid w:val="000D6BA0"/>
    <w:rsid w:val="000D7ECA"/>
    <w:rsid w:val="000E2F81"/>
    <w:rsid w:val="000E3726"/>
    <w:rsid w:val="000E39DB"/>
    <w:rsid w:val="000F0558"/>
    <w:rsid w:val="000F0AC3"/>
    <w:rsid w:val="000F1611"/>
    <w:rsid w:val="000F175F"/>
    <w:rsid w:val="000F17D1"/>
    <w:rsid w:val="000F1CC9"/>
    <w:rsid w:val="000F5ABD"/>
    <w:rsid w:val="000F60FF"/>
    <w:rsid w:val="000F6F7C"/>
    <w:rsid w:val="001005BB"/>
    <w:rsid w:val="00103B0E"/>
    <w:rsid w:val="001040EA"/>
    <w:rsid w:val="00112BCF"/>
    <w:rsid w:val="00114E7E"/>
    <w:rsid w:val="00117465"/>
    <w:rsid w:val="00117F22"/>
    <w:rsid w:val="00120280"/>
    <w:rsid w:val="001207F2"/>
    <w:rsid w:val="00121533"/>
    <w:rsid w:val="0012304E"/>
    <w:rsid w:val="00123051"/>
    <w:rsid w:val="0012558C"/>
    <w:rsid w:val="001257C7"/>
    <w:rsid w:val="00125E66"/>
    <w:rsid w:val="001262F4"/>
    <w:rsid w:val="001263E1"/>
    <w:rsid w:val="00126AC0"/>
    <w:rsid w:val="00126C2B"/>
    <w:rsid w:val="00127A01"/>
    <w:rsid w:val="00130D77"/>
    <w:rsid w:val="00131EF6"/>
    <w:rsid w:val="0013251D"/>
    <w:rsid w:val="00134734"/>
    <w:rsid w:val="00134CBE"/>
    <w:rsid w:val="00140C30"/>
    <w:rsid w:val="001427AE"/>
    <w:rsid w:val="00142C74"/>
    <w:rsid w:val="001453EF"/>
    <w:rsid w:val="00145E5B"/>
    <w:rsid w:val="00147319"/>
    <w:rsid w:val="00147551"/>
    <w:rsid w:val="0015012F"/>
    <w:rsid w:val="00150C2E"/>
    <w:rsid w:val="0015170D"/>
    <w:rsid w:val="001517AE"/>
    <w:rsid w:val="00154FA5"/>
    <w:rsid w:val="0015531A"/>
    <w:rsid w:val="00156F9D"/>
    <w:rsid w:val="001602E3"/>
    <w:rsid w:val="00160539"/>
    <w:rsid w:val="00161548"/>
    <w:rsid w:val="00162D92"/>
    <w:rsid w:val="0016464C"/>
    <w:rsid w:val="0017176A"/>
    <w:rsid w:val="00172B54"/>
    <w:rsid w:val="00174038"/>
    <w:rsid w:val="00174D16"/>
    <w:rsid w:val="00176874"/>
    <w:rsid w:val="0017725A"/>
    <w:rsid w:val="0018052A"/>
    <w:rsid w:val="00180952"/>
    <w:rsid w:val="0018191A"/>
    <w:rsid w:val="00185B68"/>
    <w:rsid w:val="00186199"/>
    <w:rsid w:val="001874E3"/>
    <w:rsid w:val="001878B0"/>
    <w:rsid w:val="00194155"/>
    <w:rsid w:val="001A0417"/>
    <w:rsid w:val="001A0B71"/>
    <w:rsid w:val="001A1389"/>
    <w:rsid w:val="001A3016"/>
    <w:rsid w:val="001A3914"/>
    <w:rsid w:val="001A5FA6"/>
    <w:rsid w:val="001B053A"/>
    <w:rsid w:val="001B08B3"/>
    <w:rsid w:val="001B0A62"/>
    <w:rsid w:val="001B0C78"/>
    <w:rsid w:val="001B151C"/>
    <w:rsid w:val="001B1A13"/>
    <w:rsid w:val="001B22BA"/>
    <w:rsid w:val="001B3C1C"/>
    <w:rsid w:val="001B4983"/>
    <w:rsid w:val="001C2045"/>
    <w:rsid w:val="001C5040"/>
    <w:rsid w:val="001C715A"/>
    <w:rsid w:val="001D0DB0"/>
    <w:rsid w:val="001D0F6A"/>
    <w:rsid w:val="001D2FA5"/>
    <w:rsid w:val="001D3394"/>
    <w:rsid w:val="001D3D57"/>
    <w:rsid w:val="001D4980"/>
    <w:rsid w:val="001D5045"/>
    <w:rsid w:val="001D5A44"/>
    <w:rsid w:val="001D5CD0"/>
    <w:rsid w:val="001D63BB"/>
    <w:rsid w:val="001D724B"/>
    <w:rsid w:val="001E023C"/>
    <w:rsid w:val="001E0BA5"/>
    <w:rsid w:val="001F03E1"/>
    <w:rsid w:val="001F1F19"/>
    <w:rsid w:val="001F2BD1"/>
    <w:rsid w:val="001F3080"/>
    <w:rsid w:val="001F3CC6"/>
    <w:rsid w:val="001F5F5F"/>
    <w:rsid w:val="001F60E9"/>
    <w:rsid w:val="002035B9"/>
    <w:rsid w:val="00205064"/>
    <w:rsid w:val="0020548A"/>
    <w:rsid w:val="002079FA"/>
    <w:rsid w:val="00211668"/>
    <w:rsid w:val="002118A6"/>
    <w:rsid w:val="002122FF"/>
    <w:rsid w:val="002125F7"/>
    <w:rsid w:val="0021288A"/>
    <w:rsid w:val="002150AC"/>
    <w:rsid w:val="0021650B"/>
    <w:rsid w:val="00221938"/>
    <w:rsid w:val="00222262"/>
    <w:rsid w:val="00222ABD"/>
    <w:rsid w:val="002230A8"/>
    <w:rsid w:val="00227D20"/>
    <w:rsid w:val="00231BCE"/>
    <w:rsid w:val="0023336A"/>
    <w:rsid w:val="002359EB"/>
    <w:rsid w:val="0023649E"/>
    <w:rsid w:val="00236926"/>
    <w:rsid w:val="00241740"/>
    <w:rsid w:val="002424E4"/>
    <w:rsid w:val="00243122"/>
    <w:rsid w:val="002437F5"/>
    <w:rsid w:val="00244DB1"/>
    <w:rsid w:val="00244FDA"/>
    <w:rsid w:val="00245012"/>
    <w:rsid w:val="0024504E"/>
    <w:rsid w:val="0024651F"/>
    <w:rsid w:val="00246874"/>
    <w:rsid w:val="00246D81"/>
    <w:rsid w:val="00250869"/>
    <w:rsid w:val="00251920"/>
    <w:rsid w:val="00253D3C"/>
    <w:rsid w:val="00254A7E"/>
    <w:rsid w:val="00255292"/>
    <w:rsid w:val="00256047"/>
    <w:rsid w:val="0025722F"/>
    <w:rsid w:val="00257E84"/>
    <w:rsid w:val="00260200"/>
    <w:rsid w:val="00263106"/>
    <w:rsid w:val="002642F2"/>
    <w:rsid w:val="00264AE1"/>
    <w:rsid w:val="00264E55"/>
    <w:rsid w:val="00266645"/>
    <w:rsid w:val="00267386"/>
    <w:rsid w:val="00267C2E"/>
    <w:rsid w:val="00267DA9"/>
    <w:rsid w:val="00273E5C"/>
    <w:rsid w:val="0027576B"/>
    <w:rsid w:val="00275FD0"/>
    <w:rsid w:val="00280514"/>
    <w:rsid w:val="002810D8"/>
    <w:rsid w:val="002819E7"/>
    <w:rsid w:val="00282FF2"/>
    <w:rsid w:val="00283483"/>
    <w:rsid w:val="002844B5"/>
    <w:rsid w:val="0028459B"/>
    <w:rsid w:val="00285618"/>
    <w:rsid w:val="002872F8"/>
    <w:rsid w:val="002953E8"/>
    <w:rsid w:val="00296E4A"/>
    <w:rsid w:val="00297260"/>
    <w:rsid w:val="002976E5"/>
    <w:rsid w:val="002A1F14"/>
    <w:rsid w:val="002A2678"/>
    <w:rsid w:val="002A3369"/>
    <w:rsid w:val="002A3965"/>
    <w:rsid w:val="002A4B8A"/>
    <w:rsid w:val="002A5161"/>
    <w:rsid w:val="002A5C0F"/>
    <w:rsid w:val="002A6385"/>
    <w:rsid w:val="002A7929"/>
    <w:rsid w:val="002B41D7"/>
    <w:rsid w:val="002B5240"/>
    <w:rsid w:val="002B6A13"/>
    <w:rsid w:val="002C0904"/>
    <w:rsid w:val="002C0F67"/>
    <w:rsid w:val="002C1E84"/>
    <w:rsid w:val="002C36C3"/>
    <w:rsid w:val="002C77CC"/>
    <w:rsid w:val="002D2A00"/>
    <w:rsid w:val="002D41D7"/>
    <w:rsid w:val="002D5199"/>
    <w:rsid w:val="002E2862"/>
    <w:rsid w:val="002E2BEF"/>
    <w:rsid w:val="002E356A"/>
    <w:rsid w:val="002E4C01"/>
    <w:rsid w:val="002F0516"/>
    <w:rsid w:val="002F22D2"/>
    <w:rsid w:val="002F778A"/>
    <w:rsid w:val="00302187"/>
    <w:rsid w:val="003028D8"/>
    <w:rsid w:val="0030290F"/>
    <w:rsid w:val="00302DE9"/>
    <w:rsid w:val="00302FAB"/>
    <w:rsid w:val="00303869"/>
    <w:rsid w:val="00303F1D"/>
    <w:rsid w:val="00305084"/>
    <w:rsid w:val="00305153"/>
    <w:rsid w:val="00311ABF"/>
    <w:rsid w:val="00314A81"/>
    <w:rsid w:val="00314DD2"/>
    <w:rsid w:val="00315A7C"/>
    <w:rsid w:val="00317705"/>
    <w:rsid w:val="00320453"/>
    <w:rsid w:val="003204E9"/>
    <w:rsid w:val="003232AA"/>
    <w:rsid w:val="00323A10"/>
    <w:rsid w:val="00323E6A"/>
    <w:rsid w:val="00323F25"/>
    <w:rsid w:val="00324A71"/>
    <w:rsid w:val="003303E3"/>
    <w:rsid w:val="00334656"/>
    <w:rsid w:val="00337A86"/>
    <w:rsid w:val="0034147B"/>
    <w:rsid w:val="00341889"/>
    <w:rsid w:val="003426CE"/>
    <w:rsid w:val="00343016"/>
    <w:rsid w:val="0034447B"/>
    <w:rsid w:val="00351704"/>
    <w:rsid w:val="003570C8"/>
    <w:rsid w:val="00367770"/>
    <w:rsid w:val="00371424"/>
    <w:rsid w:val="00371FF4"/>
    <w:rsid w:val="00372209"/>
    <w:rsid w:val="003771ED"/>
    <w:rsid w:val="0037768B"/>
    <w:rsid w:val="00381791"/>
    <w:rsid w:val="00382E6F"/>
    <w:rsid w:val="00387C00"/>
    <w:rsid w:val="00397960"/>
    <w:rsid w:val="00397F75"/>
    <w:rsid w:val="003A2008"/>
    <w:rsid w:val="003A3BC4"/>
    <w:rsid w:val="003A4AA3"/>
    <w:rsid w:val="003B405E"/>
    <w:rsid w:val="003B4843"/>
    <w:rsid w:val="003B494E"/>
    <w:rsid w:val="003C6E9E"/>
    <w:rsid w:val="003C792F"/>
    <w:rsid w:val="003D117A"/>
    <w:rsid w:val="003D36B2"/>
    <w:rsid w:val="003D42D5"/>
    <w:rsid w:val="003D656E"/>
    <w:rsid w:val="003D7783"/>
    <w:rsid w:val="003D78B5"/>
    <w:rsid w:val="003E0BD4"/>
    <w:rsid w:val="003E45B9"/>
    <w:rsid w:val="003E4D50"/>
    <w:rsid w:val="003E654C"/>
    <w:rsid w:val="003F0DE5"/>
    <w:rsid w:val="003F0E22"/>
    <w:rsid w:val="003F1058"/>
    <w:rsid w:val="003F13CD"/>
    <w:rsid w:val="003F46FC"/>
    <w:rsid w:val="003F4AA5"/>
    <w:rsid w:val="003F697D"/>
    <w:rsid w:val="003F7C45"/>
    <w:rsid w:val="00400500"/>
    <w:rsid w:val="0040132C"/>
    <w:rsid w:val="00404257"/>
    <w:rsid w:val="00407F66"/>
    <w:rsid w:val="004113B4"/>
    <w:rsid w:val="0041220A"/>
    <w:rsid w:val="00413B96"/>
    <w:rsid w:val="00413C2C"/>
    <w:rsid w:val="00414367"/>
    <w:rsid w:val="00415168"/>
    <w:rsid w:val="00415A8A"/>
    <w:rsid w:val="00415B04"/>
    <w:rsid w:val="00416A6B"/>
    <w:rsid w:val="0042044C"/>
    <w:rsid w:val="00421624"/>
    <w:rsid w:val="00424151"/>
    <w:rsid w:val="00425208"/>
    <w:rsid w:val="00425A5A"/>
    <w:rsid w:val="00425FB6"/>
    <w:rsid w:val="004268BB"/>
    <w:rsid w:val="0042785F"/>
    <w:rsid w:val="004314FF"/>
    <w:rsid w:val="004408EC"/>
    <w:rsid w:val="00440F74"/>
    <w:rsid w:val="00441FEC"/>
    <w:rsid w:val="004425E8"/>
    <w:rsid w:val="00443C8F"/>
    <w:rsid w:val="00447BC6"/>
    <w:rsid w:val="004501CE"/>
    <w:rsid w:val="00452481"/>
    <w:rsid w:val="00454A0F"/>
    <w:rsid w:val="0046335D"/>
    <w:rsid w:val="00463C2C"/>
    <w:rsid w:val="00471D81"/>
    <w:rsid w:val="004733AC"/>
    <w:rsid w:val="00483271"/>
    <w:rsid w:val="00490F85"/>
    <w:rsid w:val="0049210E"/>
    <w:rsid w:val="0049297D"/>
    <w:rsid w:val="0049327D"/>
    <w:rsid w:val="0049405D"/>
    <w:rsid w:val="0049455C"/>
    <w:rsid w:val="00495A03"/>
    <w:rsid w:val="004A135B"/>
    <w:rsid w:val="004A1BE1"/>
    <w:rsid w:val="004A3251"/>
    <w:rsid w:val="004A4980"/>
    <w:rsid w:val="004A4F68"/>
    <w:rsid w:val="004A63CB"/>
    <w:rsid w:val="004A67B0"/>
    <w:rsid w:val="004A6FB2"/>
    <w:rsid w:val="004B0847"/>
    <w:rsid w:val="004B0E6D"/>
    <w:rsid w:val="004B16E8"/>
    <w:rsid w:val="004B67DB"/>
    <w:rsid w:val="004C0541"/>
    <w:rsid w:val="004C3A16"/>
    <w:rsid w:val="004C634A"/>
    <w:rsid w:val="004C660B"/>
    <w:rsid w:val="004D050C"/>
    <w:rsid w:val="004D23D9"/>
    <w:rsid w:val="004D29A9"/>
    <w:rsid w:val="004D3537"/>
    <w:rsid w:val="004D4D4E"/>
    <w:rsid w:val="004D614E"/>
    <w:rsid w:val="004D650F"/>
    <w:rsid w:val="004E2133"/>
    <w:rsid w:val="004E4E04"/>
    <w:rsid w:val="004E6CBA"/>
    <w:rsid w:val="004F521C"/>
    <w:rsid w:val="00502CD8"/>
    <w:rsid w:val="0050361C"/>
    <w:rsid w:val="00503BF4"/>
    <w:rsid w:val="00506A40"/>
    <w:rsid w:val="0051064F"/>
    <w:rsid w:val="00513461"/>
    <w:rsid w:val="00513A0E"/>
    <w:rsid w:val="00515D7B"/>
    <w:rsid w:val="00515F29"/>
    <w:rsid w:val="0052009E"/>
    <w:rsid w:val="00523F04"/>
    <w:rsid w:val="00524368"/>
    <w:rsid w:val="0052438C"/>
    <w:rsid w:val="00530161"/>
    <w:rsid w:val="00532DB7"/>
    <w:rsid w:val="00536F71"/>
    <w:rsid w:val="00544342"/>
    <w:rsid w:val="005450F7"/>
    <w:rsid w:val="00545A0B"/>
    <w:rsid w:val="0054672F"/>
    <w:rsid w:val="00547FA4"/>
    <w:rsid w:val="005536D4"/>
    <w:rsid w:val="00553EC8"/>
    <w:rsid w:val="005564EE"/>
    <w:rsid w:val="00557D4A"/>
    <w:rsid w:val="0056176B"/>
    <w:rsid w:val="00561889"/>
    <w:rsid w:val="005621F6"/>
    <w:rsid w:val="0056291C"/>
    <w:rsid w:val="005668D3"/>
    <w:rsid w:val="00566EBD"/>
    <w:rsid w:val="00571535"/>
    <w:rsid w:val="0057154B"/>
    <w:rsid w:val="0057278A"/>
    <w:rsid w:val="005742DB"/>
    <w:rsid w:val="00575C75"/>
    <w:rsid w:val="00577209"/>
    <w:rsid w:val="005800A9"/>
    <w:rsid w:val="00581139"/>
    <w:rsid w:val="00581645"/>
    <w:rsid w:val="0058694E"/>
    <w:rsid w:val="005875F9"/>
    <w:rsid w:val="00593A35"/>
    <w:rsid w:val="00593C74"/>
    <w:rsid w:val="00594934"/>
    <w:rsid w:val="005954CF"/>
    <w:rsid w:val="00597D8B"/>
    <w:rsid w:val="005A46FF"/>
    <w:rsid w:val="005A557E"/>
    <w:rsid w:val="005A63FD"/>
    <w:rsid w:val="005B462A"/>
    <w:rsid w:val="005B5137"/>
    <w:rsid w:val="005B6047"/>
    <w:rsid w:val="005C0ED7"/>
    <w:rsid w:val="005C5409"/>
    <w:rsid w:val="005C62A5"/>
    <w:rsid w:val="005C6FF7"/>
    <w:rsid w:val="005C7D00"/>
    <w:rsid w:val="005D01A4"/>
    <w:rsid w:val="005D0BAB"/>
    <w:rsid w:val="005D1893"/>
    <w:rsid w:val="005D26E9"/>
    <w:rsid w:val="005D2CAA"/>
    <w:rsid w:val="005D4B66"/>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101F5"/>
    <w:rsid w:val="00610DA5"/>
    <w:rsid w:val="00611663"/>
    <w:rsid w:val="00611CB2"/>
    <w:rsid w:val="0061321C"/>
    <w:rsid w:val="00613F44"/>
    <w:rsid w:val="006160BD"/>
    <w:rsid w:val="00620EDB"/>
    <w:rsid w:val="0062386E"/>
    <w:rsid w:val="00624C10"/>
    <w:rsid w:val="006253EF"/>
    <w:rsid w:val="00626075"/>
    <w:rsid w:val="0062680E"/>
    <w:rsid w:val="00630C47"/>
    <w:rsid w:val="00631158"/>
    <w:rsid w:val="00632923"/>
    <w:rsid w:val="006341E6"/>
    <w:rsid w:val="00634439"/>
    <w:rsid w:val="006366C6"/>
    <w:rsid w:val="00636B55"/>
    <w:rsid w:val="00636EB1"/>
    <w:rsid w:val="006373D6"/>
    <w:rsid w:val="006403D4"/>
    <w:rsid w:val="00642CBC"/>
    <w:rsid w:val="0064454A"/>
    <w:rsid w:val="00645293"/>
    <w:rsid w:val="006456D3"/>
    <w:rsid w:val="00651B78"/>
    <w:rsid w:val="0065237A"/>
    <w:rsid w:val="00652FF5"/>
    <w:rsid w:val="0065303C"/>
    <w:rsid w:val="00653246"/>
    <w:rsid w:val="00654382"/>
    <w:rsid w:val="006548FA"/>
    <w:rsid w:val="0066098B"/>
    <w:rsid w:val="00661244"/>
    <w:rsid w:val="006640DF"/>
    <w:rsid w:val="00666A3C"/>
    <w:rsid w:val="00667519"/>
    <w:rsid w:val="006676A0"/>
    <w:rsid w:val="00670857"/>
    <w:rsid w:val="00670868"/>
    <w:rsid w:val="00673D69"/>
    <w:rsid w:val="00676431"/>
    <w:rsid w:val="00677A9C"/>
    <w:rsid w:val="0068050D"/>
    <w:rsid w:val="00684C6B"/>
    <w:rsid w:val="00685FFC"/>
    <w:rsid w:val="00686943"/>
    <w:rsid w:val="00686EDE"/>
    <w:rsid w:val="00687AD5"/>
    <w:rsid w:val="00690A31"/>
    <w:rsid w:val="006911CE"/>
    <w:rsid w:val="00692002"/>
    <w:rsid w:val="00695251"/>
    <w:rsid w:val="00695B58"/>
    <w:rsid w:val="006A1153"/>
    <w:rsid w:val="006A4828"/>
    <w:rsid w:val="006A7C09"/>
    <w:rsid w:val="006B046C"/>
    <w:rsid w:val="006B252F"/>
    <w:rsid w:val="006B3940"/>
    <w:rsid w:val="006B4B1E"/>
    <w:rsid w:val="006B7FA5"/>
    <w:rsid w:val="006C168D"/>
    <w:rsid w:val="006C21E6"/>
    <w:rsid w:val="006C4033"/>
    <w:rsid w:val="006C5BC9"/>
    <w:rsid w:val="006C642C"/>
    <w:rsid w:val="006C7247"/>
    <w:rsid w:val="006D462B"/>
    <w:rsid w:val="006D7386"/>
    <w:rsid w:val="006E0DAD"/>
    <w:rsid w:val="006E313F"/>
    <w:rsid w:val="006E6CA2"/>
    <w:rsid w:val="006F1F1A"/>
    <w:rsid w:val="006F5AC2"/>
    <w:rsid w:val="006F6C28"/>
    <w:rsid w:val="007007EB"/>
    <w:rsid w:val="00701109"/>
    <w:rsid w:val="00701F57"/>
    <w:rsid w:val="00701FD8"/>
    <w:rsid w:val="00703E8A"/>
    <w:rsid w:val="00706046"/>
    <w:rsid w:val="007112F0"/>
    <w:rsid w:val="00711343"/>
    <w:rsid w:val="00714309"/>
    <w:rsid w:val="0071450F"/>
    <w:rsid w:val="00717772"/>
    <w:rsid w:val="00720B42"/>
    <w:rsid w:val="00721DBE"/>
    <w:rsid w:val="007226EC"/>
    <w:rsid w:val="00722B5E"/>
    <w:rsid w:val="00724F6D"/>
    <w:rsid w:val="0072678C"/>
    <w:rsid w:val="00732D1D"/>
    <w:rsid w:val="00734119"/>
    <w:rsid w:val="007350D4"/>
    <w:rsid w:val="00736034"/>
    <w:rsid w:val="00740707"/>
    <w:rsid w:val="0074120F"/>
    <w:rsid w:val="00743764"/>
    <w:rsid w:val="00743B2D"/>
    <w:rsid w:val="00747930"/>
    <w:rsid w:val="0075060E"/>
    <w:rsid w:val="00752E8B"/>
    <w:rsid w:val="007541BB"/>
    <w:rsid w:val="00754D62"/>
    <w:rsid w:val="00756CFF"/>
    <w:rsid w:val="00757FD7"/>
    <w:rsid w:val="00761B7A"/>
    <w:rsid w:val="007651E5"/>
    <w:rsid w:val="00765256"/>
    <w:rsid w:val="007661D4"/>
    <w:rsid w:val="007661FD"/>
    <w:rsid w:val="00766A7C"/>
    <w:rsid w:val="00767A27"/>
    <w:rsid w:val="0077111A"/>
    <w:rsid w:val="00775419"/>
    <w:rsid w:val="007763A5"/>
    <w:rsid w:val="0078105B"/>
    <w:rsid w:val="00782B50"/>
    <w:rsid w:val="007836C2"/>
    <w:rsid w:val="00784FE0"/>
    <w:rsid w:val="007858B1"/>
    <w:rsid w:val="0078648E"/>
    <w:rsid w:val="00790803"/>
    <w:rsid w:val="00791A3A"/>
    <w:rsid w:val="00791D9C"/>
    <w:rsid w:val="007A391B"/>
    <w:rsid w:val="007A4409"/>
    <w:rsid w:val="007A4F37"/>
    <w:rsid w:val="007A5241"/>
    <w:rsid w:val="007A59B8"/>
    <w:rsid w:val="007B06C7"/>
    <w:rsid w:val="007B3D06"/>
    <w:rsid w:val="007B42F5"/>
    <w:rsid w:val="007B5157"/>
    <w:rsid w:val="007B5CD8"/>
    <w:rsid w:val="007C1122"/>
    <w:rsid w:val="007C19EC"/>
    <w:rsid w:val="007C364E"/>
    <w:rsid w:val="007C5359"/>
    <w:rsid w:val="007C6701"/>
    <w:rsid w:val="007D16ED"/>
    <w:rsid w:val="007D2398"/>
    <w:rsid w:val="007D440B"/>
    <w:rsid w:val="007D62F9"/>
    <w:rsid w:val="007D63A4"/>
    <w:rsid w:val="007D732D"/>
    <w:rsid w:val="007D7C43"/>
    <w:rsid w:val="007E0F19"/>
    <w:rsid w:val="007E2A84"/>
    <w:rsid w:val="007E5ECB"/>
    <w:rsid w:val="007F063D"/>
    <w:rsid w:val="007F0D73"/>
    <w:rsid w:val="007F153F"/>
    <w:rsid w:val="007F3137"/>
    <w:rsid w:val="007F432A"/>
    <w:rsid w:val="007F63AA"/>
    <w:rsid w:val="008006B7"/>
    <w:rsid w:val="008032FD"/>
    <w:rsid w:val="00806461"/>
    <w:rsid w:val="008064CE"/>
    <w:rsid w:val="0080673A"/>
    <w:rsid w:val="00807A94"/>
    <w:rsid w:val="00810B79"/>
    <w:rsid w:val="00810EAD"/>
    <w:rsid w:val="00814530"/>
    <w:rsid w:val="00815386"/>
    <w:rsid w:val="00821F9C"/>
    <w:rsid w:val="00825570"/>
    <w:rsid w:val="00826403"/>
    <w:rsid w:val="00827990"/>
    <w:rsid w:val="00834CA6"/>
    <w:rsid w:val="0083623B"/>
    <w:rsid w:val="00836C5A"/>
    <w:rsid w:val="00837E59"/>
    <w:rsid w:val="00840AC0"/>
    <w:rsid w:val="00842100"/>
    <w:rsid w:val="008428A9"/>
    <w:rsid w:val="0084308F"/>
    <w:rsid w:val="00846C2B"/>
    <w:rsid w:val="0085139A"/>
    <w:rsid w:val="008524F6"/>
    <w:rsid w:val="008532F3"/>
    <w:rsid w:val="00854B3F"/>
    <w:rsid w:val="00861C2C"/>
    <w:rsid w:val="00863744"/>
    <w:rsid w:val="00865CFA"/>
    <w:rsid w:val="008668B8"/>
    <w:rsid w:val="0086748F"/>
    <w:rsid w:val="00867B4D"/>
    <w:rsid w:val="00867CF3"/>
    <w:rsid w:val="00874AA3"/>
    <w:rsid w:val="00874AB5"/>
    <w:rsid w:val="00877671"/>
    <w:rsid w:val="00877A13"/>
    <w:rsid w:val="008811F8"/>
    <w:rsid w:val="008869BC"/>
    <w:rsid w:val="00887DDD"/>
    <w:rsid w:val="00887DE6"/>
    <w:rsid w:val="00887E9F"/>
    <w:rsid w:val="008908AA"/>
    <w:rsid w:val="00890E08"/>
    <w:rsid w:val="008927F0"/>
    <w:rsid w:val="00894DCA"/>
    <w:rsid w:val="00896602"/>
    <w:rsid w:val="00897D88"/>
    <w:rsid w:val="008A00BE"/>
    <w:rsid w:val="008A1539"/>
    <w:rsid w:val="008A2C5D"/>
    <w:rsid w:val="008A3BE2"/>
    <w:rsid w:val="008A6957"/>
    <w:rsid w:val="008A6B30"/>
    <w:rsid w:val="008B05E7"/>
    <w:rsid w:val="008B0758"/>
    <w:rsid w:val="008B1875"/>
    <w:rsid w:val="008B4146"/>
    <w:rsid w:val="008B5312"/>
    <w:rsid w:val="008B59CE"/>
    <w:rsid w:val="008B6078"/>
    <w:rsid w:val="008B6085"/>
    <w:rsid w:val="008B7110"/>
    <w:rsid w:val="008B7F4A"/>
    <w:rsid w:val="008C04E1"/>
    <w:rsid w:val="008C04FE"/>
    <w:rsid w:val="008C2F50"/>
    <w:rsid w:val="008C3109"/>
    <w:rsid w:val="008C32F7"/>
    <w:rsid w:val="008C383A"/>
    <w:rsid w:val="008C5312"/>
    <w:rsid w:val="008C5DBD"/>
    <w:rsid w:val="008C61D6"/>
    <w:rsid w:val="008C7498"/>
    <w:rsid w:val="008D49AF"/>
    <w:rsid w:val="008D4A2B"/>
    <w:rsid w:val="008D4A9F"/>
    <w:rsid w:val="008D6294"/>
    <w:rsid w:val="008E1FE0"/>
    <w:rsid w:val="008E3939"/>
    <w:rsid w:val="008E3DDD"/>
    <w:rsid w:val="008F23F4"/>
    <w:rsid w:val="008F61C4"/>
    <w:rsid w:val="008F7763"/>
    <w:rsid w:val="009007CB"/>
    <w:rsid w:val="009010F0"/>
    <w:rsid w:val="00901162"/>
    <w:rsid w:val="00901C2E"/>
    <w:rsid w:val="00901D46"/>
    <w:rsid w:val="009028E2"/>
    <w:rsid w:val="00903692"/>
    <w:rsid w:val="00904E07"/>
    <w:rsid w:val="00906059"/>
    <w:rsid w:val="00912BAF"/>
    <w:rsid w:val="0091311E"/>
    <w:rsid w:val="00914EAB"/>
    <w:rsid w:val="0091541F"/>
    <w:rsid w:val="00920D98"/>
    <w:rsid w:val="0092108C"/>
    <w:rsid w:val="00922D49"/>
    <w:rsid w:val="009238DB"/>
    <w:rsid w:val="00925E37"/>
    <w:rsid w:val="00925EDD"/>
    <w:rsid w:val="0092665C"/>
    <w:rsid w:val="00930079"/>
    <w:rsid w:val="00930966"/>
    <w:rsid w:val="00932F64"/>
    <w:rsid w:val="00935FB1"/>
    <w:rsid w:val="00936075"/>
    <w:rsid w:val="00936D40"/>
    <w:rsid w:val="00937ABF"/>
    <w:rsid w:val="00937DB1"/>
    <w:rsid w:val="009463CC"/>
    <w:rsid w:val="0094687A"/>
    <w:rsid w:val="00950413"/>
    <w:rsid w:val="0095078E"/>
    <w:rsid w:val="00952404"/>
    <w:rsid w:val="00952A72"/>
    <w:rsid w:val="009542B3"/>
    <w:rsid w:val="009550A8"/>
    <w:rsid w:val="00955FF2"/>
    <w:rsid w:val="0095693D"/>
    <w:rsid w:val="00956B0D"/>
    <w:rsid w:val="0096224F"/>
    <w:rsid w:val="0096260B"/>
    <w:rsid w:val="009631C1"/>
    <w:rsid w:val="00970C69"/>
    <w:rsid w:val="00973B57"/>
    <w:rsid w:val="00973E0D"/>
    <w:rsid w:val="0097403F"/>
    <w:rsid w:val="00976797"/>
    <w:rsid w:val="00980C0C"/>
    <w:rsid w:val="00982E47"/>
    <w:rsid w:val="00983E7D"/>
    <w:rsid w:val="00991642"/>
    <w:rsid w:val="0099260C"/>
    <w:rsid w:val="009942F4"/>
    <w:rsid w:val="00995B3C"/>
    <w:rsid w:val="00996BCA"/>
    <w:rsid w:val="00997454"/>
    <w:rsid w:val="009A045B"/>
    <w:rsid w:val="009A0513"/>
    <w:rsid w:val="009A1119"/>
    <w:rsid w:val="009A2283"/>
    <w:rsid w:val="009A31AF"/>
    <w:rsid w:val="009A3507"/>
    <w:rsid w:val="009A529F"/>
    <w:rsid w:val="009A5C1D"/>
    <w:rsid w:val="009A6018"/>
    <w:rsid w:val="009A7C28"/>
    <w:rsid w:val="009B0273"/>
    <w:rsid w:val="009B4286"/>
    <w:rsid w:val="009B5BF9"/>
    <w:rsid w:val="009B5DAF"/>
    <w:rsid w:val="009B5F83"/>
    <w:rsid w:val="009B61C5"/>
    <w:rsid w:val="009B769E"/>
    <w:rsid w:val="009C03E5"/>
    <w:rsid w:val="009C3F17"/>
    <w:rsid w:val="009C4D19"/>
    <w:rsid w:val="009C5FDB"/>
    <w:rsid w:val="009C65AF"/>
    <w:rsid w:val="009C70CB"/>
    <w:rsid w:val="009C74DD"/>
    <w:rsid w:val="009D0312"/>
    <w:rsid w:val="009D27AA"/>
    <w:rsid w:val="009D2AD9"/>
    <w:rsid w:val="009D514E"/>
    <w:rsid w:val="009D5A40"/>
    <w:rsid w:val="009D5C39"/>
    <w:rsid w:val="009D6FED"/>
    <w:rsid w:val="009E0A95"/>
    <w:rsid w:val="009E0D47"/>
    <w:rsid w:val="009E549D"/>
    <w:rsid w:val="009E54AF"/>
    <w:rsid w:val="009E5C59"/>
    <w:rsid w:val="009E6BB8"/>
    <w:rsid w:val="009F0FB1"/>
    <w:rsid w:val="009F1CC3"/>
    <w:rsid w:val="009F26F2"/>
    <w:rsid w:val="009F3E1E"/>
    <w:rsid w:val="009F4CC5"/>
    <w:rsid w:val="009F6550"/>
    <w:rsid w:val="00A003BE"/>
    <w:rsid w:val="00A02F51"/>
    <w:rsid w:val="00A0520F"/>
    <w:rsid w:val="00A05ACE"/>
    <w:rsid w:val="00A06788"/>
    <w:rsid w:val="00A104A4"/>
    <w:rsid w:val="00A10D63"/>
    <w:rsid w:val="00A115BC"/>
    <w:rsid w:val="00A11776"/>
    <w:rsid w:val="00A1276C"/>
    <w:rsid w:val="00A14098"/>
    <w:rsid w:val="00A14304"/>
    <w:rsid w:val="00A14399"/>
    <w:rsid w:val="00A14C46"/>
    <w:rsid w:val="00A15524"/>
    <w:rsid w:val="00A15EE9"/>
    <w:rsid w:val="00A16675"/>
    <w:rsid w:val="00A1724E"/>
    <w:rsid w:val="00A17E5B"/>
    <w:rsid w:val="00A20263"/>
    <w:rsid w:val="00A2168F"/>
    <w:rsid w:val="00A248B1"/>
    <w:rsid w:val="00A26437"/>
    <w:rsid w:val="00A30E4D"/>
    <w:rsid w:val="00A32410"/>
    <w:rsid w:val="00A32B48"/>
    <w:rsid w:val="00A35D6F"/>
    <w:rsid w:val="00A36D00"/>
    <w:rsid w:val="00A42462"/>
    <w:rsid w:val="00A43389"/>
    <w:rsid w:val="00A4642E"/>
    <w:rsid w:val="00A47AF8"/>
    <w:rsid w:val="00A52D75"/>
    <w:rsid w:val="00A53013"/>
    <w:rsid w:val="00A54BD6"/>
    <w:rsid w:val="00A5643A"/>
    <w:rsid w:val="00A57678"/>
    <w:rsid w:val="00A6090C"/>
    <w:rsid w:val="00A6200E"/>
    <w:rsid w:val="00A62D1E"/>
    <w:rsid w:val="00A65C6D"/>
    <w:rsid w:val="00A670C7"/>
    <w:rsid w:val="00A716B9"/>
    <w:rsid w:val="00A720D8"/>
    <w:rsid w:val="00A72216"/>
    <w:rsid w:val="00A733F2"/>
    <w:rsid w:val="00A75705"/>
    <w:rsid w:val="00A75BE1"/>
    <w:rsid w:val="00A8187C"/>
    <w:rsid w:val="00A82C9E"/>
    <w:rsid w:val="00A8324F"/>
    <w:rsid w:val="00A84193"/>
    <w:rsid w:val="00A85142"/>
    <w:rsid w:val="00A875B4"/>
    <w:rsid w:val="00A95B37"/>
    <w:rsid w:val="00A96B6F"/>
    <w:rsid w:val="00AA0CE8"/>
    <w:rsid w:val="00AA35FD"/>
    <w:rsid w:val="00AA3DB7"/>
    <w:rsid w:val="00AA5EF2"/>
    <w:rsid w:val="00AA5F63"/>
    <w:rsid w:val="00AA7EBD"/>
    <w:rsid w:val="00AB0590"/>
    <w:rsid w:val="00AB1112"/>
    <w:rsid w:val="00AB67DE"/>
    <w:rsid w:val="00AB69EF"/>
    <w:rsid w:val="00AC11DC"/>
    <w:rsid w:val="00AC23B0"/>
    <w:rsid w:val="00AC3E87"/>
    <w:rsid w:val="00AC469F"/>
    <w:rsid w:val="00AD0611"/>
    <w:rsid w:val="00AD0E4F"/>
    <w:rsid w:val="00AD26D7"/>
    <w:rsid w:val="00AD3905"/>
    <w:rsid w:val="00AD4555"/>
    <w:rsid w:val="00AD4A31"/>
    <w:rsid w:val="00AD5638"/>
    <w:rsid w:val="00AD7214"/>
    <w:rsid w:val="00AE1066"/>
    <w:rsid w:val="00AE12A4"/>
    <w:rsid w:val="00AE2480"/>
    <w:rsid w:val="00AE2E1B"/>
    <w:rsid w:val="00AE5129"/>
    <w:rsid w:val="00AE5645"/>
    <w:rsid w:val="00AE68BC"/>
    <w:rsid w:val="00AF1D6B"/>
    <w:rsid w:val="00AF24AA"/>
    <w:rsid w:val="00AF3AF9"/>
    <w:rsid w:val="00AF3E5F"/>
    <w:rsid w:val="00AF44C1"/>
    <w:rsid w:val="00AF4F09"/>
    <w:rsid w:val="00AF643E"/>
    <w:rsid w:val="00AF79C8"/>
    <w:rsid w:val="00B00FA8"/>
    <w:rsid w:val="00B011B0"/>
    <w:rsid w:val="00B0391C"/>
    <w:rsid w:val="00B047F6"/>
    <w:rsid w:val="00B06019"/>
    <w:rsid w:val="00B06246"/>
    <w:rsid w:val="00B0700F"/>
    <w:rsid w:val="00B1493B"/>
    <w:rsid w:val="00B15119"/>
    <w:rsid w:val="00B17169"/>
    <w:rsid w:val="00B23996"/>
    <w:rsid w:val="00B23CB2"/>
    <w:rsid w:val="00B249C0"/>
    <w:rsid w:val="00B24A18"/>
    <w:rsid w:val="00B255C5"/>
    <w:rsid w:val="00B25807"/>
    <w:rsid w:val="00B268DD"/>
    <w:rsid w:val="00B32AE1"/>
    <w:rsid w:val="00B35FEC"/>
    <w:rsid w:val="00B37780"/>
    <w:rsid w:val="00B37813"/>
    <w:rsid w:val="00B37EEF"/>
    <w:rsid w:val="00B404F1"/>
    <w:rsid w:val="00B41C1D"/>
    <w:rsid w:val="00B43917"/>
    <w:rsid w:val="00B4515C"/>
    <w:rsid w:val="00B46220"/>
    <w:rsid w:val="00B464EA"/>
    <w:rsid w:val="00B47574"/>
    <w:rsid w:val="00B5430C"/>
    <w:rsid w:val="00B54884"/>
    <w:rsid w:val="00B56A90"/>
    <w:rsid w:val="00B5711C"/>
    <w:rsid w:val="00B57BCF"/>
    <w:rsid w:val="00B57E36"/>
    <w:rsid w:val="00B60209"/>
    <w:rsid w:val="00B606A3"/>
    <w:rsid w:val="00B625CB"/>
    <w:rsid w:val="00B63F2B"/>
    <w:rsid w:val="00B64D3A"/>
    <w:rsid w:val="00B65D6F"/>
    <w:rsid w:val="00B673F3"/>
    <w:rsid w:val="00B67A25"/>
    <w:rsid w:val="00B7354A"/>
    <w:rsid w:val="00B7435B"/>
    <w:rsid w:val="00B74446"/>
    <w:rsid w:val="00B74B59"/>
    <w:rsid w:val="00B75F09"/>
    <w:rsid w:val="00B76BBB"/>
    <w:rsid w:val="00B77142"/>
    <w:rsid w:val="00B8024E"/>
    <w:rsid w:val="00B80C3A"/>
    <w:rsid w:val="00B84643"/>
    <w:rsid w:val="00B90452"/>
    <w:rsid w:val="00B90780"/>
    <w:rsid w:val="00B916D6"/>
    <w:rsid w:val="00B91AD8"/>
    <w:rsid w:val="00B9209B"/>
    <w:rsid w:val="00B9240D"/>
    <w:rsid w:val="00B95753"/>
    <w:rsid w:val="00B97E42"/>
    <w:rsid w:val="00BA0425"/>
    <w:rsid w:val="00BA0C05"/>
    <w:rsid w:val="00BA54D0"/>
    <w:rsid w:val="00BA7E30"/>
    <w:rsid w:val="00BB04BF"/>
    <w:rsid w:val="00BB1013"/>
    <w:rsid w:val="00BB4515"/>
    <w:rsid w:val="00BB7B89"/>
    <w:rsid w:val="00BC1A9B"/>
    <w:rsid w:val="00BC2A22"/>
    <w:rsid w:val="00BC4986"/>
    <w:rsid w:val="00BC5E2E"/>
    <w:rsid w:val="00BC6379"/>
    <w:rsid w:val="00BC6C3E"/>
    <w:rsid w:val="00BC7EEF"/>
    <w:rsid w:val="00BD2308"/>
    <w:rsid w:val="00BD43BB"/>
    <w:rsid w:val="00BD72C1"/>
    <w:rsid w:val="00BD7ADE"/>
    <w:rsid w:val="00BE1A85"/>
    <w:rsid w:val="00BE46ED"/>
    <w:rsid w:val="00BE4FD1"/>
    <w:rsid w:val="00BE642D"/>
    <w:rsid w:val="00BE6D7A"/>
    <w:rsid w:val="00BF07C4"/>
    <w:rsid w:val="00BF2511"/>
    <w:rsid w:val="00BF377F"/>
    <w:rsid w:val="00BF3F88"/>
    <w:rsid w:val="00BF416F"/>
    <w:rsid w:val="00BF57BE"/>
    <w:rsid w:val="00C0042B"/>
    <w:rsid w:val="00C02E58"/>
    <w:rsid w:val="00C030B6"/>
    <w:rsid w:val="00C04B38"/>
    <w:rsid w:val="00C067B7"/>
    <w:rsid w:val="00C10A09"/>
    <w:rsid w:val="00C121BC"/>
    <w:rsid w:val="00C12FA4"/>
    <w:rsid w:val="00C14D92"/>
    <w:rsid w:val="00C16739"/>
    <w:rsid w:val="00C17F3F"/>
    <w:rsid w:val="00C23BA2"/>
    <w:rsid w:val="00C260A2"/>
    <w:rsid w:val="00C30CFF"/>
    <w:rsid w:val="00C30DEC"/>
    <w:rsid w:val="00C31142"/>
    <w:rsid w:val="00C31DEF"/>
    <w:rsid w:val="00C338EB"/>
    <w:rsid w:val="00C35BB7"/>
    <w:rsid w:val="00C36B35"/>
    <w:rsid w:val="00C400CD"/>
    <w:rsid w:val="00C41617"/>
    <w:rsid w:val="00C4309A"/>
    <w:rsid w:val="00C43F23"/>
    <w:rsid w:val="00C43FF1"/>
    <w:rsid w:val="00C45494"/>
    <w:rsid w:val="00C52D18"/>
    <w:rsid w:val="00C559CE"/>
    <w:rsid w:val="00C55E19"/>
    <w:rsid w:val="00C563AD"/>
    <w:rsid w:val="00C563BF"/>
    <w:rsid w:val="00C56EF8"/>
    <w:rsid w:val="00C57512"/>
    <w:rsid w:val="00C57607"/>
    <w:rsid w:val="00C61133"/>
    <w:rsid w:val="00C64009"/>
    <w:rsid w:val="00C7016D"/>
    <w:rsid w:val="00C754C7"/>
    <w:rsid w:val="00C767B3"/>
    <w:rsid w:val="00C76C07"/>
    <w:rsid w:val="00C80F23"/>
    <w:rsid w:val="00C850A3"/>
    <w:rsid w:val="00C87568"/>
    <w:rsid w:val="00C9167A"/>
    <w:rsid w:val="00C92451"/>
    <w:rsid w:val="00C9272C"/>
    <w:rsid w:val="00C97764"/>
    <w:rsid w:val="00C97C9B"/>
    <w:rsid w:val="00CA2211"/>
    <w:rsid w:val="00CA28FE"/>
    <w:rsid w:val="00CA344C"/>
    <w:rsid w:val="00CA7FF7"/>
    <w:rsid w:val="00CB142D"/>
    <w:rsid w:val="00CB29F6"/>
    <w:rsid w:val="00CB2BBF"/>
    <w:rsid w:val="00CB481C"/>
    <w:rsid w:val="00CB4C8C"/>
    <w:rsid w:val="00CB62E1"/>
    <w:rsid w:val="00CB6EFE"/>
    <w:rsid w:val="00CC16F9"/>
    <w:rsid w:val="00CC28A9"/>
    <w:rsid w:val="00CC4183"/>
    <w:rsid w:val="00CC70A4"/>
    <w:rsid w:val="00CC78C7"/>
    <w:rsid w:val="00CD4A0C"/>
    <w:rsid w:val="00CD5CEF"/>
    <w:rsid w:val="00CE06EC"/>
    <w:rsid w:val="00CE592E"/>
    <w:rsid w:val="00CE5BB5"/>
    <w:rsid w:val="00CE5BC5"/>
    <w:rsid w:val="00CF16A4"/>
    <w:rsid w:val="00CF299F"/>
    <w:rsid w:val="00CF3357"/>
    <w:rsid w:val="00CF58DF"/>
    <w:rsid w:val="00D00BC3"/>
    <w:rsid w:val="00D03538"/>
    <w:rsid w:val="00D04410"/>
    <w:rsid w:val="00D05EE7"/>
    <w:rsid w:val="00D06394"/>
    <w:rsid w:val="00D06A9D"/>
    <w:rsid w:val="00D07C15"/>
    <w:rsid w:val="00D11D4F"/>
    <w:rsid w:val="00D13A01"/>
    <w:rsid w:val="00D15733"/>
    <w:rsid w:val="00D20364"/>
    <w:rsid w:val="00D207B2"/>
    <w:rsid w:val="00D2130C"/>
    <w:rsid w:val="00D26746"/>
    <w:rsid w:val="00D26DDD"/>
    <w:rsid w:val="00D27BDC"/>
    <w:rsid w:val="00D3194F"/>
    <w:rsid w:val="00D33751"/>
    <w:rsid w:val="00D36169"/>
    <w:rsid w:val="00D37343"/>
    <w:rsid w:val="00D37495"/>
    <w:rsid w:val="00D41727"/>
    <w:rsid w:val="00D427E4"/>
    <w:rsid w:val="00D45F1B"/>
    <w:rsid w:val="00D47A9E"/>
    <w:rsid w:val="00D52289"/>
    <w:rsid w:val="00D55A37"/>
    <w:rsid w:val="00D55B7E"/>
    <w:rsid w:val="00D564C7"/>
    <w:rsid w:val="00D64354"/>
    <w:rsid w:val="00D66685"/>
    <w:rsid w:val="00D70D35"/>
    <w:rsid w:val="00D71351"/>
    <w:rsid w:val="00D71997"/>
    <w:rsid w:val="00D753E9"/>
    <w:rsid w:val="00D777B9"/>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4B22"/>
    <w:rsid w:val="00D958D3"/>
    <w:rsid w:val="00D9594F"/>
    <w:rsid w:val="00D97213"/>
    <w:rsid w:val="00DA134E"/>
    <w:rsid w:val="00DA13F3"/>
    <w:rsid w:val="00DA2DE3"/>
    <w:rsid w:val="00DA451D"/>
    <w:rsid w:val="00DA64AF"/>
    <w:rsid w:val="00DB1F4F"/>
    <w:rsid w:val="00DB2AC7"/>
    <w:rsid w:val="00DB704C"/>
    <w:rsid w:val="00DC693B"/>
    <w:rsid w:val="00DC7C77"/>
    <w:rsid w:val="00DD0F5D"/>
    <w:rsid w:val="00DD426D"/>
    <w:rsid w:val="00DD74FC"/>
    <w:rsid w:val="00DE117F"/>
    <w:rsid w:val="00DE1769"/>
    <w:rsid w:val="00DE1A17"/>
    <w:rsid w:val="00DE44C8"/>
    <w:rsid w:val="00DE64CC"/>
    <w:rsid w:val="00DE6AA9"/>
    <w:rsid w:val="00DE7B30"/>
    <w:rsid w:val="00DF0C0B"/>
    <w:rsid w:val="00DF18FE"/>
    <w:rsid w:val="00DF20C7"/>
    <w:rsid w:val="00DF4D0C"/>
    <w:rsid w:val="00DF5C20"/>
    <w:rsid w:val="00DF7D81"/>
    <w:rsid w:val="00E02DEB"/>
    <w:rsid w:val="00E042A1"/>
    <w:rsid w:val="00E0476C"/>
    <w:rsid w:val="00E0576B"/>
    <w:rsid w:val="00E067EA"/>
    <w:rsid w:val="00E06D18"/>
    <w:rsid w:val="00E104FA"/>
    <w:rsid w:val="00E12F1F"/>
    <w:rsid w:val="00E1320D"/>
    <w:rsid w:val="00E139F8"/>
    <w:rsid w:val="00E16022"/>
    <w:rsid w:val="00E1738C"/>
    <w:rsid w:val="00E174FF"/>
    <w:rsid w:val="00E205AA"/>
    <w:rsid w:val="00E22296"/>
    <w:rsid w:val="00E270C6"/>
    <w:rsid w:val="00E27360"/>
    <w:rsid w:val="00E27C04"/>
    <w:rsid w:val="00E27C82"/>
    <w:rsid w:val="00E30713"/>
    <w:rsid w:val="00E30EDF"/>
    <w:rsid w:val="00E312D7"/>
    <w:rsid w:val="00E316AF"/>
    <w:rsid w:val="00E31FBA"/>
    <w:rsid w:val="00E328E2"/>
    <w:rsid w:val="00E336BB"/>
    <w:rsid w:val="00E3384E"/>
    <w:rsid w:val="00E34B63"/>
    <w:rsid w:val="00E374C8"/>
    <w:rsid w:val="00E40156"/>
    <w:rsid w:val="00E4042D"/>
    <w:rsid w:val="00E4135D"/>
    <w:rsid w:val="00E43750"/>
    <w:rsid w:val="00E508EB"/>
    <w:rsid w:val="00E521E3"/>
    <w:rsid w:val="00E53B7A"/>
    <w:rsid w:val="00E550C9"/>
    <w:rsid w:val="00E55405"/>
    <w:rsid w:val="00E5645D"/>
    <w:rsid w:val="00E627A4"/>
    <w:rsid w:val="00E6280E"/>
    <w:rsid w:val="00E62C9C"/>
    <w:rsid w:val="00E630EE"/>
    <w:rsid w:val="00E67A61"/>
    <w:rsid w:val="00E70455"/>
    <w:rsid w:val="00E73221"/>
    <w:rsid w:val="00E7356F"/>
    <w:rsid w:val="00E75116"/>
    <w:rsid w:val="00E763EB"/>
    <w:rsid w:val="00E80A5B"/>
    <w:rsid w:val="00E8153C"/>
    <w:rsid w:val="00E8342F"/>
    <w:rsid w:val="00E84632"/>
    <w:rsid w:val="00E847EE"/>
    <w:rsid w:val="00E85E29"/>
    <w:rsid w:val="00E876F9"/>
    <w:rsid w:val="00E90508"/>
    <w:rsid w:val="00E90B39"/>
    <w:rsid w:val="00E94FFB"/>
    <w:rsid w:val="00E96A72"/>
    <w:rsid w:val="00E96B52"/>
    <w:rsid w:val="00EA01F7"/>
    <w:rsid w:val="00EA083F"/>
    <w:rsid w:val="00EA1D33"/>
    <w:rsid w:val="00EA1F5A"/>
    <w:rsid w:val="00EA375F"/>
    <w:rsid w:val="00EA6415"/>
    <w:rsid w:val="00EA7104"/>
    <w:rsid w:val="00EA7533"/>
    <w:rsid w:val="00EB067F"/>
    <w:rsid w:val="00EB2419"/>
    <w:rsid w:val="00EB45F5"/>
    <w:rsid w:val="00EB58F5"/>
    <w:rsid w:val="00EB6E6B"/>
    <w:rsid w:val="00EC010F"/>
    <w:rsid w:val="00EC224D"/>
    <w:rsid w:val="00EC2E3A"/>
    <w:rsid w:val="00EC3CCB"/>
    <w:rsid w:val="00EC54CD"/>
    <w:rsid w:val="00EC5A74"/>
    <w:rsid w:val="00EC737D"/>
    <w:rsid w:val="00ED2154"/>
    <w:rsid w:val="00ED4277"/>
    <w:rsid w:val="00ED576D"/>
    <w:rsid w:val="00ED7C8C"/>
    <w:rsid w:val="00ED7DDB"/>
    <w:rsid w:val="00ED7FDD"/>
    <w:rsid w:val="00EE0DEA"/>
    <w:rsid w:val="00EE431B"/>
    <w:rsid w:val="00EE4874"/>
    <w:rsid w:val="00EE53E5"/>
    <w:rsid w:val="00EE6654"/>
    <w:rsid w:val="00EE73FB"/>
    <w:rsid w:val="00EE7BF0"/>
    <w:rsid w:val="00EF2674"/>
    <w:rsid w:val="00EF556F"/>
    <w:rsid w:val="00EF7BE0"/>
    <w:rsid w:val="00EF7D07"/>
    <w:rsid w:val="00F016DD"/>
    <w:rsid w:val="00F0181C"/>
    <w:rsid w:val="00F03512"/>
    <w:rsid w:val="00F0433A"/>
    <w:rsid w:val="00F0519B"/>
    <w:rsid w:val="00F059D4"/>
    <w:rsid w:val="00F11783"/>
    <w:rsid w:val="00F119AF"/>
    <w:rsid w:val="00F1480B"/>
    <w:rsid w:val="00F1498D"/>
    <w:rsid w:val="00F20065"/>
    <w:rsid w:val="00F22211"/>
    <w:rsid w:val="00F22341"/>
    <w:rsid w:val="00F22F1D"/>
    <w:rsid w:val="00F22F9F"/>
    <w:rsid w:val="00F24039"/>
    <w:rsid w:val="00F24E0E"/>
    <w:rsid w:val="00F26693"/>
    <w:rsid w:val="00F33991"/>
    <w:rsid w:val="00F3477D"/>
    <w:rsid w:val="00F347FE"/>
    <w:rsid w:val="00F34859"/>
    <w:rsid w:val="00F356F7"/>
    <w:rsid w:val="00F40055"/>
    <w:rsid w:val="00F40868"/>
    <w:rsid w:val="00F44FDE"/>
    <w:rsid w:val="00F4518C"/>
    <w:rsid w:val="00F46467"/>
    <w:rsid w:val="00F4715C"/>
    <w:rsid w:val="00F47FF8"/>
    <w:rsid w:val="00F50707"/>
    <w:rsid w:val="00F529B5"/>
    <w:rsid w:val="00F52AA4"/>
    <w:rsid w:val="00F56162"/>
    <w:rsid w:val="00F56B7E"/>
    <w:rsid w:val="00F6052F"/>
    <w:rsid w:val="00F60F44"/>
    <w:rsid w:val="00F62FDE"/>
    <w:rsid w:val="00F645D2"/>
    <w:rsid w:val="00F654E6"/>
    <w:rsid w:val="00F662CD"/>
    <w:rsid w:val="00F67E39"/>
    <w:rsid w:val="00F703A8"/>
    <w:rsid w:val="00F707F1"/>
    <w:rsid w:val="00F7094A"/>
    <w:rsid w:val="00F710BE"/>
    <w:rsid w:val="00F72579"/>
    <w:rsid w:val="00F804B9"/>
    <w:rsid w:val="00F80AE2"/>
    <w:rsid w:val="00F8265F"/>
    <w:rsid w:val="00F83FF9"/>
    <w:rsid w:val="00F85FCB"/>
    <w:rsid w:val="00F870C3"/>
    <w:rsid w:val="00F91B52"/>
    <w:rsid w:val="00F97478"/>
    <w:rsid w:val="00F97B71"/>
    <w:rsid w:val="00F97B9E"/>
    <w:rsid w:val="00FA0527"/>
    <w:rsid w:val="00FA085E"/>
    <w:rsid w:val="00FA0947"/>
    <w:rsid w:val="00FA2D49"/>
    <w:rsid w:val="00FA472B"/>
    <w:rsid w:val="00FA4B52"/>
    <w:rsid w:val="00FA4D4F"/>
    <w:rsid w:val="00FA4D5B"/>
    <w:rsid w:val="00FA54E8"/>
    <w:rsid w:val="00FA6245"/>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7F43"/>
    <w:rsid w:val="00FD7D41"/>
    <w:rsid w:val="00FE0072"/>
    <w:rsid w:val="00FE0C71"/>
    <w:rsid w:val="00FE1E47"/>
    <w:rsid w:val="00FE275D"/>
    <w:rsid w:val="00FE4F1A"/>
    <w:rsid w:val="00FE65AC"/>
    <w:rsid w:val="00FE7FBD"/>
    <w:rsid w:val="00FF10BC"/>
    <w:rsid w:val="00FF5DCF"/>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562B3ADB-0ACC-4932-939C-016BC7EE6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iPriority="0"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uiPriority w:val="99"/>
    <w:qFormat/>
    <w:rsid w:val="00180952"/>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6A4828"/>
    <w:pPr>
      <w:keepNext/>
      <w:keepLines/>
      <w:spacing w:before="260" w:after="260" w:line="360"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180952"/>
    <w:rPr>
      <w:b/>
      <w:kern w:val="44"/>
      <w:sz w:val="44"/>
    </w:rPr>
  </w:style>
  <w:style w:type="character" w:customStyle="1" w:styleId="2Char">
    <w:name w:val="标题 2 Char"/>
    <w:link w:val="2"/>
    <w:uiPriority w:val="99"/>
    <w:semiHidden/>
    <w:locked/>
    <w:rsid w:val="00AB1112"/>
    <w:rPr>
      <w:rFonts w:ascii="Cambria" w:eastAsia="宋体" w:hAnsi="Cambria"/>
      <w:b/>
      <w:sz w:val="32"/>
    </w:rPr>
  </w:style>
  <w:style w:type="paragraph" w:styleId="a0">
    <w:name w:val="Normal Indent"/>
    <w:basedOn w:val="a"/>
    <w:uiPriority w:val="99"/>
    <w:rsid w:val="006A4828"/>
    <w:pPr>
      <w:ind w:firstLineChars="200" w:firstLine="420"/>
    </w:pPr>
  </w:style>
  <w:style w:type="paragraph" w:styleId="a4">
    <w:name w:val="Body Text Indent"/>
    <w:basedOn w:val="a"/>
    <w:link w:val="Char"/>
    <w:uiPriority w:val="99"/>
    <w:rsid w:val="006A4828"/>
    <w:pPr>
      <w:widowControl/>
      <w:spacing w:before="100" w:beforeAutospacing="1" w:after="100" w:afterAutospacing="1"/>
      <w:jc w:val="left"/>
    </w:pPr>
    <w:rPr>
      <w:kern w:val="0"/>
      <w:sz w:val="24"/>
    </w:rPr>
  </w:style>
  <w:style w:type="character" w:customStyle="1" w:styleId="Char">
    <w:name w:val="正文文本缩进 Char"/>
    <w:link w:val="a4"/>
    <w:uiPriority w:val="99"/>
    <w:semiHidden/>
    <w:locked/>
    <w:rsid w:val="00AB1112"/>
    <w:rPr>
      <w:sz w:val="24"/>
    </w:rPr>
  </w:style>
  <w:style w:type="paragraph" w:styleId="a5">
    <w:name w:val="Plain Text"/>
    <w:basedOn w:val="a"/>
    <w:link w:val="Char0"/>
    <w:uiPriority w:val="99"/>
    <w:rsid w:val="006A4828"/>
    <w:rPr>
      <w:rFonts w:ascii="宋体" w:hAnsi="Courier New"/>
      <w:szCs w:val="21"/>
    </w:rPr>
  </w:style>
  <w:style w:type="character" w:customStyle="1" w:styleId="Char0">
    <w:name w:val="纯文本 Char"/>
    <w:link w:val="a5"/>
    <w:uiPriority w:val="99"/>
    <w:locked/>
    <w:rsid w:val="009A045B"/>
    <w:rPr>
      <w:rFonts w:ascii="宋体" w:hAnsi="Courier New"/>
      <w:kern w:val="2"/>
      <w:sz w:val="21"/>
    </w:rPr>
  </w:style>
  <w:style w:type="paragraph" w:styleId="20">
    <w:name w:val="Body Text Indent 2"/>
    <w:basedOn w:val="a"/>
    <w:link w:val="2Char0"/>
    <w:uiPriority w:val="99"/>
    <w:rsid w:val="006A4828"/>
    <w:pPr>
      <w:spacing w:line="560" w:lineRule="exact"/>
      <w:ind w:firstLineChars="200" w:firstLine="480"/>
    </w:pPr>
    <w:rPr>
      <w:kern w:val="0"/>
      <w:sz w:val="24"/>
    </w:rPr>
  </w:style>
  <w:style w:type="character" w:customStyle="1" w:styleId="2Char0">
    <w:name w:val="正文文本缩进 2 Char"/>
    <w:link w:val="20"/>
    <w:uiPriority w:val="99"/>
    <w:semiHidden/>
    <w:locked/>
    <w:rsid w:val="00AB1112"/>
    <w:rPr>
      <w:sz w:val="24"/>
    </w:rPr>
  </w:style>
  <w:style w:type="paragraph" w:styleId="a6">
    <w:name w:val="footer"/>
    <w:basedOn w:val="a"/>
    <w:link w:val="Char1"/>
    <w:uiPriority w:val="99"/>
    <w:rsid w:val="006A4828"/>
    <w:pPr>
      <w:tabs>
        <w:tab w:val="center" w:pos="4153"/>
        <w:tab w:val="right" w:pos="8306"/>
      </w:tabs>
      <w:snapToGrid w:val="0"/>
      <w:jc w:val="left"/>
    </w:pPr>
    <w:rPr>
      <w:kern w:val="0"/>
      <w:sz w:val="18"/>
      <w:szCs w:val="18"/>
    </w:rPr>
  </w:style>
  <w:style w:type="character" w:customStyle="1" w:styleId="Char1">
    <w:name w:val="页脚 Char"/>
    <w:link w:val="a6"/>
    <w:uiPriority w:val="99"/>
    <w:semiHidden/>
    <w:locked/>
    <w:rsid w:val="00AB1112"/>
    <w:rPr>
      <w:sz w:val="18"/>
    </w:rPr>
  </w:style>
  <w:style w:type="character" w:styleId="a7">
    <w:name w:val="page number"/>
    <w:uiPriority w:val="99"/>
    <w:rsid w:val="006A4828"/>
    <w:rPr>
      <w:rFonts w:cs="Times New Roman"/>
    </w:rPr>
  </w:style>
  <w:style w:type="character" w:styleId="a8">
    <w:name w:val="Hyperlink"/>
    <w:uiPriority w:val="99"/>
    <w:rsid w:val="006A4828"/>
    <w:rPr>
      <w:rFonts w:cs="Times New Roman"/>
      <w:color w:val="0000FF"/>
      <w:u w:val="single"/>
    </w:rPr>
  </w:style>
  <w:style w:type="paragraph" w:styleId="3">
    <w:name w:val="Body Text Indent 3"/>
    <w:basedOn w:val="a"/>
    <w:link w:val="3Char"/>
    <w:uiPriority w:val="99"/>
    <w:rsid w:val="006A4828"/>
    <w:pPr>
      <w:spacing w:line="560" w:lineRule="exact"/>
      <w:ind w:firstLineChars="200" w:firstLine="420"/>
    </w:pPr>
    <w:rPr>
      <w:kern w:val="0"/>
      <w:sz w:val="16"/>
      <w:szCs w:val="16"/>
    </w:rPr>
  </w:style>
  <w:style w:type="character" w:customStyle="1" w:styleId="3Char">
    <w:name w:val="正文文本缩进 3 Char"/>
    <w:link w:val="3"/>
    <w:uiPriority w:val="99"/>
    <w:semiHidden/>
    <w:locked/>
    <w:rsid w:val="00AB1112"/>
    <w:rPr>
      <w:sz w:val="16"/>
    </w:rPr>
  </w:style>
  <w:style w:type="paragraph" w:styleId="a9">
    <w:name w:val="header"/>
    <w:basedOn w:val="a"/>
    <w:link w:val="Char2"/>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1207F2"/>
    <w:rPr>
      <w:kern w:val="2"/>
      <w:sz w:val="18"/>
    </w:rPr>
  </w:style>
  <w:style w:type="character" w:customStyle="1" w:styleId="10">
    <w:name w:val="已访问的超链接1"/>
    <w:uiPriority w:val="99"/>
    <w:rsid w:val="006A4828"/>
    <w:rPr>
      <w:color w:val="800080"/>
      <w:u w:val="single"/>
    </w:rPr>
  </w:style>
  <w:style w:type="paragraph" w:styleId="aa">
    <w:name w:val="List"/>
    <w:basedOn w:val="ab"/>
    <w:uiPriority w:val="99"/>
    <w:rsid w:val="006A4828"/>
    <w:pPr>
      <w:spacing w:after="220" w:line="220" w:lineRule="atLeast"/>
      <w:ind w:left="1440" w:hanging="360"/>
    </w:pPr>
    <w:rPr>
      <w:szCs w:val="20"/>
    </w:rPr>
  </w:style>
  <w:style w:type="paragraph" w:styleId="ab">
    <w:name w:val="Body Text"/>
    <w:basedOn w:val="a"/>
    <w:link w:val="Char3"/>
    <w:uiPriority w:val="99"/>
    <w:rsid w:val="006A4828"/>
    <w:pPr>
      <w:spacing w:after="120"/>
    </w:pPr>
    <w:rPr>
      <w:kern w:val="0"/>
      <w:sz w:val="24"/>
    </w:rPr>
  </w:style>
  <w:style w:type="character" w:customStyle="1" w:styleId="Char3">
    <w:name w:val="正文文本 Char"/>
    <w:link w:val="ab"/>
    <w:uiPriority w:val="99"/>
    <w:semiHidden/>
    <w:locked/>
    <w:rsid w:val="00AB1112"/>
    <w:rPr>
      <w:sz w:val="24"/>
    </w:rPr>
  </w:style>
  <w:style w:type="paragraph" w:styleId="ac">
    <w:name w:val="Date"/>
    <w:basedOn w:val="a"/>
    <w:next w:val="a"/>
    <w:link w:val="Char4"/>
    <w:uiPriority w:val="99"/>
    <w:rsid w:val="006A4828"/>
    <w:rPr>
      <w:sz w:val="24"/>
      <w:szCs w:val="20"/>
    </w:rPr>
  </w:style>
  <w:style w:type="character" w:customStyle="1" w:styleId="Char4">
    <w:name w:val="日期 Char"/>
    <w:link w:val="ac"/>
    <w:uiPriority w:val="99"/>
    <w:locked/>
    <w:rsid w:val="00D66685"/>
    <w:rPr>
      <w:kern w:val="2"/>
      <w:sz w:val="24"/>
    </w:rPr>
  </w:style>
  <w:style w:type="character" w:customStyle="1" w:styleId="c1">
    <w:name w:val="c1"/>
    <w:uiPriority w:val="99"/>
    <w:rsid w:val="006A4828"/>
    <w:rPr>
      <w:color w:val="000000"/>
      <w:sz w:val="18"/>
    </w:rPr>
  </w:style>
  <w:style w:type="paragraph" w:styleId="11">
    <w:name w:val="index 1"/>
    <w:basedOn w:val="a"/>
    <w:next w:val="a"/>
    <w:autoRedefine/>
    <w:uiPriority w:val="99"/>
    <w:semiHidden/>
    <w:rsid w:val="006A4828"/>
    <w:pPr>
      <w:jc w:val="right"/>
    </w:pPr>
    <w:rPr>
      <w:color w:val="008000"/>
    </w:rPr>
  </w:style>
  <w:style w:type="paragraph" w:customStyle="1" w:styleId="font5">
    <w:name w:val="font5"/>
    <w:basedOn w:val="a"/>
    <w:uiPriority w:val="99"/>
    <w:rsid w:val="006A4828"/>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link w:val="Char5"/>
    <w:uiPriority w:val="99"/>
    <w:semiHidden/>
    <w:rsid w:val="006A4828"/>
    <w:rPr>
      <w:kern w:val="0"/>
      <w:sz w:val="2"/>
      <w:szCs w:val="20"/>
    </w:rPr>
  </w:style>
  <w:style w:type="character" w:customStyle="1" w:styleId="Char5">
    <w:name w:val="批注框文本 Char"/>
    <w:link w:val="ad"/>
    <w:uiPriority w:val="99"/>
    <w:semiHidden/>
    <w:locked/>
    <w:rsid w:val="00AB1112"/>
    <w:rPr>
      <w:sz w:val="2"/>
    </w:rPr>
  </w:style>
  <w:style w:type="character" w:styleId="ae">
    <w:name w:val="annotation reference"/>
    <w:semiHidden/>
    <w:rsid w:val="006A4828"/>
    <w:rPr>
      <w:rFonts w:cs="Times New Roman"/>
      <w:sz w:val="21"/>
    </w:rPr>
  </w:style>
  <w:style w:type="paragraph" w:styleId="af">
    <w:name w:val="annotation text"/>
    <w:basedOn w:val="a"/>
    <w:link w:val="Char6"/>
    <w:semiHidden/>
    <w:rsid w:val="006A4828"/>
    <w:pPr>
      <w:jc w:val="left"/>
    </w:pPr>
    <w:rPr>
      <w:kern w:val="0"/>
      <w:sz w:val="24"/>
    </w:rPr>
  </w:style>
  <w:style w:type="character" w:customStyle="1" w:styleId="Char6">
    <w:name w:val="批注文字 Char"/>
    <w:link w:val="af"/>
    <w:uiPriority w:val="99"/>
    <w:semiHidden/>
    <w:locked/>
    <w:rsid w:val="00AB1112"/>
    <w:rPr>
      <w:sz w:val="24"/>
    </w:rPr>
  </w:style>
  <w:style w:type="paragraph" w:styleId="af0">
    <w:name w:val="annotation subject"/>
    <w:basedOn w:val="af"/>
    <w:next w:val="af"/>
    <w:link w:val="Char7"/>
    <w:uiPriority w:val="99"/>
    <w:semiHidden/>
    <w:rsid w:val="006A4828"/>
    <w:rPr>
      <w:b/>
      <w:bCs/>
    </w:rPr>
  </w:style>
  <w:style w:type="character" w:customStyle="1" w:styleId="Char7">
    <w:name w:val="批注主题 Char"/>
    <w:link w:val="af0"/>
    <w:uiPriority w:val="99"/>
    <w:semiHidden/>
    <w:locked/>
    <w:rsid w:val="00AB1112"/>
    <w:rPr>
      <w:b/>
      <w:sz w:val="24"/>
    </w:rPr>
  </w:style>
  <w:style w:type="paragraph" w:customStyle="1" w:styleId="Char8">
    <w:name w:val="Char"/>
    <w:basedOn w:val="a"/>
    <w:uiPriority w:val="99"/>
    <w:rsid w:val="006A4828"/>
  </w:style>
  <w:style w:type="paragraph" w:styleId="af1">
    <w:name w:val="Document Map"/>
    <w:basedOn w:val="a"/>
    <w:link w:val="Char9"/>
    <w:uiPriority w:val="99"/>
    <w:semiHidden/>
    <w:rsid w:val="000A549A"/>
    <w:pPr>
      <w:shd w:val="clear" w:color="auto" w:fill="000080"/>
    </w:pPr>
    <w:rPr>
      <w:kern w:val="0"/>
      <w:sz w:val="2"/>
      <w:szCs w:val="20"/>
    </w:rPr>
  </w:style>
  <w:style w:type="character" w:customStyle="1" w:styleId="Char9">
    <w:name w:val="文档结构图 Char"/>
    <w:link w:val="af1"/>
    <w:uiPriority w:val="99"/>
    <w:semiHidden/>
    <w:locked/>
    <w:rsid w:val="00AB1112"/>
    <w:rPr>
      <w:sz w:val="2"/>
    </w:rPr>
  </w:style>
  <w:style w:type="table" w:styleId="af2">
    <w:name w:val="Table Grid"/>
    <w:basedOn w:val="a2"/>
    <w:qFormat/>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a"/>
    <w:uiPriority w:val="99"/>
    <w:rsid w:val="000B251E"/>
    <w:pPr>
      <w:snapToGrid w:val="0"/>
      <w:jc w:val="left"/>
    </w:pPr>
    <w:rPr>
      <w:sz w:val="18"/>
      <w:szCs w:val="18"/>
    </w:rPr>
  </w:style>
  <w:style w:type="character" w:customStyle="1" w:styleId="Chara">
    <w:name w:val="脚注文本 Char"/>
    <w:link w:val="af3"/>
    <w:uiPriority w:val="99"/>
    <w:locked/>
    <w:rsid w:val="00CB481C"/>
    <w:rPr>
      <w:kern w:val="2"/>
      <w:sz w:val="18"/>
    </w:rPr>
  </w:style>
  <w:style w:type="character" w:styleId="af4">
    <w:name w:val="footnote reference"/>
    <w:uiPriority w:val="99"/>
    <w:rsid w:val="000B251E"/>
    <w:rPr>
      <w:rFonts w:cs="Times New Roman"/>
      <w:vertAlign w:val="superscript"/>
    </w:rPr>
  </w:style>
  <w:style w:type="paragraph" w:styleId="af5">
    <w:name w:val="Normal (Web)"/>
    <w:basedOn w:val="a"/>
    <w:uiPriority w:val="99"/>
    <w:rsid w:val="00B25807"/>
    <w:pPr>
      <w:widowControl/>
      <w:spacing w:before="100" w:beforeAutospacing="1" w:after="100" w:afterAutospacing="1"/>
      <w:jc w:val="left"/>
    </w:pPr>
    <w:rPr>
      <w:rFonts w:ascii="宋体" w:hAnsi="宋体"/>
      <w:kern w:val="0"/>
      <w:sz w:val="24"/>
    </w:rPr>
  </w:style>
  <w:style w:type="paragraph" w:customStyle="1" w:styleId="Char10">
    <w:name w:val="Char1"/>
    <w:basedOn w:val="a"/>
    <w:uiPriority w:val="99"/>
    <w:rsid w:val="00D97213"/>
  </w:style>
  <w:style w:type="character" w:customStyle="1" w:styleId="t1">
    <w:name w:val="t1"/>
    <w:uiPriority w:val="99"/>
    <w:rsid w:val="002D2A00"/>
    <w:rPr>
      <w:color w:val="990000"/>
    </w:rPr>
  </w:style>
  <w:style w:type="paragraph" w:customStyle="1" w:styleId="Default">
    <w:name w:val="Default"/>
    <w:uiPriority w:val="99"/>
    <w:rsid w:val="00CB481C"/>
    <w:pPr>
      <w:widowControl w:val="0"/>
      <w:autoSpaceDE w:val="0"/>
      <w:autoSpaceDN w:val="0"/>
      <w:adjustRightInd w:val="0"/>
    </w:pPr>
    <w:rPr>
      <w:rFonts w:ascii="FangSong" w:hAnsi="FangSong" w:cs="FangSong"/>
      <w:color w:val="000000"/>
      <w:sz w:val="24"/>
      <w:szCs w:val="24"/>
    </w:rPr>
  </w:style>
  <w:style w:type="numbering" w:customStyle="1" w:styleId="5">
    <w:name w:val="样式5"/>
    <w:rsid w:val="00C00FED"/>
    <w:pPr>
      <w:numPr>
        <w:numId w:val="8"/>
      </w:numPr>
    </w:pPr>
  </w:style>
  <w:style w:type="character" w:styleId="af6">
    <w:name w:val="Strong"/>
    <w:uiPriority w:val="22"/>
    <w:qFormat/>
    <w:locked/>
    <w:rsid w:val="00AE24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423083">
      <w:marLeft w:val="0"/>
      <w:marRight w:val="0"/>
      <w:marTop w:val="0"/>
      <w:marBottom w:val="0"/>
      <w:divBdr>
        <w:top w:val="none" w:sz="0" w:space="0" w:color="auto"/>
        <w:left w:val="none" w:sz="0" w:space="0" w:color="auto"/>
        <w:bottom w:val="none" w:sz="0" w:space="0" w:color="auto"/>
        <w:right w:val="none" w:sz="0" w:space="0" w:color="auto"/>
      </w:divBdr>
    </w:div>
    <w:div w:id="888423084">
      <w:marLeft w:val="0"/>
      <w:marRight w:val="0"/>
      <w:marTop w:val="0"/>
      <w:marBottom w:val="0"/>
      <w:divBdr>
        <w:top w:val="none" w:sz="0" w:space="0" w:color="auto"/>
        <w:left w:val="none" w:sz="0" w:space="0" w:color="auto"/>
        <w:bottom w:val="none" w:sz="0" w:space="0" w:color="auto"/>
        <w:right w:val="none" w:sz="0" w:space="0" w:color="auto"/>
      </w:divBdr>
    </w:div>
    <w:div w:id="888423085">
      <w:marLeft w:val="0"/>
      <w:marRight w:val="0"/>
      <w:marTop w:val="0"/>
      <w:marBottom w:val="0"/>
      <w:divBdr>
        <w:top w:val="none" w:sz="0" w:space="0" w:color="auto"/>
        <w:left w:val="none" w:sz="0" w:space="0" w:color="auto"/>
        <w:bottom w:val="none" w:sz="0" w:space="0" w:color="auto"/>
        <w:right w:val="none" w:sz="0" w:space="0" w:color="auto"/>
      </w:divBdr>
    </w:div>
    <w:div w:id="888423086">
      <w:marLeft w:val="0"/>
      <w:marRight w:val="0"/>
      <w:marTop w:val="0"/>
      <w:marBottom w:val="0"/>
      <w:divBdr>
        <w:top w:val="none" w:sz="0" w:space="0" w:color="auto"/>
        <w:left w:val="none" w:sz="0" w:space="0" w:color="auto"/>
        <w:bottom w:val="none" w:sz="0" w:space="0" w:color="auto"/>
        <w:right w:val="none" w:sz="0" w:space="0" w:color="auto"/>
      </w:divBdr>
    </w:div>
    <w:div w:id="888423087">
      <w:marLeft w:val="0"/>
      <w:marRight w:val="0"/>
      <w:marTop w:val="0"/>
      <w:marBottom w:val="0"/>
      <w:divBdr>
        <w:top w:val="none" w:sz="0" w:space="0" w:color="auto"/>
        <w:left w:val="none" w:sz="0" w:space="0" w:color="auto"/>
        <w:bottom w:val="none" w:sz="0" w:space="0" w:color="auto"/>
        <w:right w:val="none" w:sz="0" w:space="0" w:color="auto"/>
      </w:divBdr>
    </w:div>
    <w:div w:id="888423088">
      <w:marLeft w:val="0"/>
      <w:marRight w:val="0"/>
      <w:marTop w:val="0"/>
      <w:marBottom w:val="0"/>
      <w:divBdr>
        <w:top w:val="none" w:sz="0" w:space="0" w:color="auto"/>
        <w:left w:val="none" w:sz="0" w:space="0" w:color="auto"/>
        <w:bottom w:val="none" w:sz="0" w:space="0" w:color="auto"/>
        <w:right w:val="none" w:sz="0" w:space="0" w:color="auto"/>
      </w:divBdr>
    </w:div>
    <w:div w:id="888423089">
      <w:marLeft w:val="0"/>
      <w:marRight w:val="0"/>
      <w:marTop w:val="0"/>
      <w:marBottom w:val="0"/>
      <w:divBdr>
        <w:top w:val="none" w:sz="0" w:space="0" w:color="auto"/>
        <w:left w:val="none" w:sz="0" w:space="0" w:color="auto"/>
        <w:bottom w:val="none" w:sz="0" w:space="0" w:color="auto"/>
        <w:right w:val="none" w:sz="0" w:space="0" w:color="auto"/>
      </w:divBdr>
    </w:div>
    <w:div w:id="888423090">
      <w:marLeft w:val="0"/>
      <w:marRight w:val="0"/>
      <w:marTop w:val="0"/>
      <w:marBottom w:val="0"/>
      <w:divBdr>
        <w:top w:val="none" w:sz="0" w:space="0" w:color="auto"/>
        <w:left w:val="none" w:sz="0" w:space="0" w:color="auto"/>
        <w:bottom w:val="none" w:sz="0" w:space="0" w:color="auto"/>
        <w:right w:val="none" w:sz="0" w:space="0" w:color="auto"/>
      </w:divBdr>
    </w:div>
    <w:div w:id="888423091">
      <w:marLeft w:val="0"/>
      <w:marRight w:val="0"/>
      <w:marTop w:val="0"/>
      <w:marBottom w:val="0"/>
      <w:divBdr>
        <w:top w:val="none" w:sz="0" w:space="0" w:color="auto"/>
        <w:left w:val="none" w:sz="0" w:space="0" w:color="auto"/>
        <w:bottom w:val="none" w:sz="0" w:space="0" w:color="auto"/>
        <w:right w:val="none" w:sz="0" w:space="0" w:color="auto"/>
      </w:divBdr>
    </w:div>
    <w:div w:id="888423092">
      <w:marLeft w:val="0"/>
      <w:marRight w:val="0"/>
      <w:marTop w:val="0"/>
      <w:marBottom w:val="0"/>
      <w:divBdr>
        <w:top w:val="none" w:sz="0" w:space="0" w:color="auto"/>
        <w:left w:val="none" w:sz="0" w:space="0" w:color="auto"/>
        <w:bottom w:val="none" w:sz="0" w:space="0" w:color="auto"/>
        <w:right w:val="none" w:sz="0" w:space="0" w:color="auto"/>
      </w:divBdr>
    </w:div>
    <w:div w:id="888423093">
      <w:marLeft w:val="0"/>
      <w:marRight w:val="0"/>
      <w:marTop w:val="0"/>
      <w:marBottom w:val="0"/>
      <w:divBdr>
        <w:top w:val="none" w:sz="0" w:space="0" w:color="auto"/>
        <w:left w:val="none" w:sz="0" w:space="0" w:color="auto"/>
        <w:bottom w:val="none" w:sz="0" w:space="0" w:color="auto"/>
        <w:right w:val="none" w:sz="0" w:space="0" w:color="auto"/>
      </w:divBdr>
    </w:div>
    <w:div w:id="888423095">
      <w:marLeft w:val="0"/>
      <w:marRight w:val="0"/>
      <w:marTop w:val="0"/>
      <w:marBottom w:val="0"/>
      <w:divBdr>
        <w:top w:val="none" w:sz="0" w:space="0" w:color="auto"/>
        <w:left w:val="none" w:sz="0" w:space="0" w:color="auto"/>
        <w:bottom w:val="none" w:sz="0" w:space="0" w:color="auto"/>
        <w:right w:val="none" w:sz="0" w:space="0" w:color="auto"/>
      </w:divBdr>
    </w:div>
    <w:div w:id="888423096">
      <w:marLeft w:val="0"/>
      <w:marRight w:val="0"/>
      <w:marTop w:val="0"/>
      <w:marBottom w:val="0"/>
      <w:divBdr>
        <w:top w:val="none" w:sz="0" w:space="0" w:color="auto"/>
        <w:left w:val="none" w:sz="0" w:space="0" w:color="auto"/>
        <w:bottom w:val="none" w:sz="0" w:space="0" w:color="auto"/>
        <w:right w:val="none" w:sz="0" w:space="0" w:color="auto"/>
      </w:divBdr>
    </w:div>
    <w:div w:id="888423097">
      <w:marLeft w:val="0"/>
      <w:marRight w:val="0"/>
      <w:marTop w:val="0"/>
      <w:marBottom w:val="0"/>
      <w:divBdr>
        <w:top w:val="none" w:sz="0" w:space="0" w:color="auto"/>
        <w:left w:val="none" w:sz="0" w:space="0" w:color="auto"/>
        <w:bottom w:val="none" w:sz="0" w:space="0" w:color="auto"/>
        <w:right w:val="none" w:sz="0" w:space="0" w:color="auto"/>
      </w:divBdr>
    </w:div>
    <w:div w:id="888423098">
      <w:marLeft w:val="0"/>
      <w:marRight w:val="0"/>
      <w:marTop w:val="0"/>
      <w:marBottom w:val="0"/>
      <w:divBdr>
        <w:top w:val="none" w:sz="0" w:space="0" w:color="auto"/>
        <w:left w:val="none" w:sz="0" w:space="0" w:color="auto"/>
        <w:bottom w:val="none" w:sz="0" w:space="0" w:color="auto"/>
        <w:right w:val="none" w:sz="0" w:space="0" w:color="auto"/>
      </w:divBdr>
    </w:div>
    <w:div w:id="888423099">
      <w:marLeft w:val="0"/>
      <w:marRight w:val="0"/>
      <w:marTop w:val="0"/>
      <w:marBottom w:val="0"/>
      <w:divBdr>
        <w:top w:val="none" w:sz="0" w:space="0" w:color="auto"/>
        <w:left w:val="none" w:sz="0" w:space="0" w:color="auto"/>
        <w:bottom w:val="none" w:sz="0" w:space="0" w:color="auto"/>
        <w:right w:val="none" w:sz="0" w:space="0" w:color="auto"/>
      </w:divBdr>
    </w:div>
    <w:div w:id="888423100">
      <w:marLeft w:val="150"/>
      <w:marRight w:val="150"/>
      <w:marTop w:val="150"/>
      <w:marBottom w:val="150"/>
      <w:divBdr>
        <w:top w:val="none" w:sz="0" w:space="0" w:color="auto"/>
        <w:left w:val="none" w:sz="0" w:space="0" w:color="auto"/>
        <w:bottom w:val="none" w:sz="0" w:space="0" w:color="auto"/>
        <w:right w:val="none" w:sz="0" w:space="0" w:color="auto"/>
      </w:divBdr>
      <w:divsChild>
        <w:div w:id="888423094">
          <w:marLeft w:val="0"/>
          <w:marRight w:val="0"/>
          <w:marTop w:val="0"/>
          <w:marBottom w:val="0"/>
          <w:divBdr>
            <w:top w:val="none" w:sz="0" w:space="0" w:color="auto"/>
            <w:left w:val="none" w:sz="0" w:space="0" w:color="auto"/>
            <w:bottom w:val="none" w:sz="0" w:space="0" w:color="auto"/>
            <w:right w:val="none" w:sz="0" w:space="0" w:color="auto"/>
          </w:divBdr>
        </w:div>
      </w:divsChild>
    </w:div>
    <w:div w:id="1691950885">
      <w:bodyDiv w:val="1"/>
      <w:marLeft w:val="0"/>
      <w:marRight w:val="0"/>
      <w:marTop w:val="0"/>
      <w:marBottom w:val="0"/>
      <w:divBdr>
        <w:top w:val="none" w:sz="0" w:space="0" w:color="auto"/>
        <w:left w:val="none" w:sz="0" w:space="0" w:color="auto"/>
        <w:bottom w:val="none" w:sz="0" w:space="0" w:color="auto"/>
        <w:right w:val="none" w:sz="0" w:space="0" w:color="auto"/>
      </w:divBdr>
    </w:div>
    <w:div w:id="170401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abc季报.dot</Template>
  <TotalTime>387</TotalTime>
  <Pages>3</Pages>
  <Words>1089</Words>
  <Characters>6210</Characters>
  <Application>Microsoft Office Word</Application>
  <DocSecurity>0</DocSecurity>
  <Lines>51</Lines>
  <Paragraphs>14</Paragraphs>
  <ScaleCrop>false</ScaleCrop>
  <Company>TRT. Ltd. Co.</Company>
  <LinksUpToDate>false</LinksUpToDate>
  <CharactersWithSpaces>7285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李维</cp:lastModifiedBy>
  <cp:revision>168</cp:revision>
  <cp:lastPrinted>2019-10-16T13:55:00Z</cp:lastPrinted>
  <dcterms:created xsi:type="dcterms:W3CDTF">2013-06-21T06:56:00Z</dcterms:created>
  <dcterms:modified xsi:type="dcterms:W3CDTF">2019-10-16T13:55:00Z</dcterms:modified>
</cp:coreProperties>
</file>