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易方达恒益定期开放债券型发起式证券投资基金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兴业银行股份有限公司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5E1455" w:rsidRDefault="00B72ECD">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5E1455" w:rsidRDefault="00B72ECD">
      <w:pPr>
        <w:spacing w:line="360" w:lineRule="auto"/>
        <w:ind w:firstLineChars="200" w:firstLine="480"/>
        <w:rPr>
          <w:color w:val="000000"/>
          <w:sz w:val="24"/>
          <w:szCs w:val="24"/>
        </w:rPr>
      </w:pPr>
      <w:r>
        <w:rPr>
          <w:color w:val="000000"/>
          <w:sz w:val="24"/>
          <w:szCs w:val="24"/>
        </w:rPr>
        <w:t>基金托管人兴业银行股份有限公司根据本基金合同规定，于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5E1455" w:rsidRDefault="00B72ECD">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5E1455" w:rsidRDefault="00B72ECD">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5E1455" w:rsidRDefault="00B72ECD">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易方达恒益定开债券发起式</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005124</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005124</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2017</w:t>
            </w:r>
            <w:r w:rsidRPr="00232B03">
              <w:rPr>
                <w:color w:val="000000"/>
                <w:kern w:val="0"/>
                <w:sz w:val="24"/>
                <w:szCs w:val="24"/>
              </w:rPr>
              <w:t>年</w:t>
            </w:r>
            <w:r w:rsidRPr="00232B03">
              <w:rPr>
                <w:color w:val="000000"/>
                <w:kern w:val="0"/>
                <w:sz w:val="24"/>
                <w:szCs w:val="24"/>
              </w:rPr>
              <w:t>10</w:t>
            </w:r>
            <w:r w:rsidRPr="00232B03">
              <w:rPr>
                <w:color w:val="000000"/>
                <w:kern w:val="0"/>
                <w:sz w:val="24"/>
                <w:szCs w:val="24"/>
              </w:rPr>
              <w:t>月</w:t>
            </w:r>
            <w:r w:rsidRPr="00232B03">
              <w:rPr>
                <w:color w:val="000000"/>
                <w:kern w:val="0"/>
                <w:sz w:val="24"/>
                <w:szCs w:val="24"/>
              </w:rPr>
              <w:t>25</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5,969,915,140.51</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本基金为纯债基金，管理人主要通过分析影响债券市场的各类要素，对债券组合的平均久期、期限结构、类属品种进行有效配置，力争为投资人提供长期稳定的投资回报。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本基金在封闭运作期与开放运作期采取不同的投资策略。封闭运作期本基金在债券投资上主要通过久期配置、类属配置、期限结构配置和个券选择四</w:t>
            </w:r>
            <w:r w:rsidRPr="00232B03">
              <w:rPr>
                <w:color w:val="000000"/>
                <w:kern w:val="0"/>
                <w:sz w:val="24"/>
                <w:szCs w:val="24"/>
              </w:rPr>
              <w:lastRenderedPageBreak/>
              <w:t>个层次进行投资管理。在衍生品投资上，本基金将根据风险管理的原则，主要选择流动性好、交易活跃的国债期货合约进行交易，以对冲投资组合的系统性风险、有效管理现金流量或降低建仓或调仓过程中的冲击成本等。开放运作期内，本基金为保持较高的组合流动性，方便投资人安排投资，在遵守本基金有关投资限制与投资比例的前提下，将主要投资于高流动性的投资品种，减小基金净值的波动。</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中债新综合指数（全价）收益率</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本基金为债券型基金，其长期平均风险和预期收益率理论上低于股票型基金、混合型基金，高于货币市场基金。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兴业银行股份有限公司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102,067,949.63</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100,113,377.52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0.0168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6,100,860,979.01</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1.0219</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5E1455" w:rsidRDefault="00B72ECD">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5E1455">
        <w:tc>
          <w:tcPr>
            <w:tcW w:w="1395" w:type="dxa"/>
            <w:vAlign w:val="center"/>
          </w:tcPr>
          <w:p w:rsidR="005E1455" w:rsidRDefault="00B72ECD">
            <w:pPr>
              <w:jc w:val="left"/>
            </w:pPr>
            <w:r>
              <w:rPr>
                <w:color w:val="000000"/>
                <w:kern w:val="0"/>
                <w:sz w:val="24"/>
                <w:szCs w:val="24"/>
              </w:rPr>
              <w:t>过去三个月</w:t>
            </w:r>
          </w:p>
        </w:tc>
        <w:tc>
          <w:tcPr>
            <w:tcW w:w="1092" w:type="dxa"/>
            <w:vAlign w:val="center"/>
          </w:tcPr>
          <w:p w:rsidR="005E1455" w:rsidRDefault="00B72ECD">
            <w:pPr>
              <w:jc w:val="center"/>
            </w:pPr>
            <w:r>
              <w:rPr>
                <w:color w:val="000000"/>
                <w:kern w:val="0"/>
                <w:sz w:val="24"/>
                <w:szCs w:val="24"/>
              </w:rPr>
              <w:t>1.64%</w:t>
            </w:r>
          </w:p>
        </w:tc>
        <w:tc>
          <w:tcPr>
            <w:tcW w:w="1161" w:type="dxa"/>
            <w:vAlign w:val="center"/>
          </w:tcPr>
          <w:p w:rsidR="005E1455" w:rsidRDefault="00B72ECD">
            <w:pPr>
              <w:jc w:val="center"/>
            </w:pPr>
            <w:r>
              <w:rPr>
                <w:color w:val="000000"/>
                <w:kern w:val="0"/>
                <w:sz w:val="24"/>
                <w:szCs w:val="24"/>
              </w:rPr>
              <w:t>0.03%</w:t>
            </w:r>
          </w:p>
        </w:tc>
        <w:tc>
          <w:tcPr>
            <w:tcW w:w="1181" w:type="dxa"/>
            <w:vAlign w:val="center"/>
          </w:tcPr>
          <w:p w:rsidR="005E1455" w:rsidRDefault="00B72ECD">
            <w:pPr>
              <w:jc w:val="center"/>
            </w:pPr>
            <w:r>
              <w:rPr>
                <w:color w:val="000000"/>
                <w:kern w:val="0"/>
                <w:sz w:val="24"/>
                <w:szCs w:val="24"/>
              </w:rPr>
              <w:t>0.46%</w:t>
            </w:r>
          </w:p>
        </w:tc>
        <w:tc>
          <w:tcPr>
            <w:tcW w:w="1188" w:type="dxa"/>
            <w:vAlign w:val="center"/>
          </w:tcPr>
          <w:p w:rsidR="005E1455" w:rsidRDefault="00B72ECD">
            <w:pPr>
              <w:jc w:val="center"/>
            </w:pPr>
            <w:r>
              <w:rPr>
                <w:color w:val="000000"/>
                <w:kern w:val="0"/>
                <w:sz w:val="24"/>
                <w:szCs w:val="24"/>
              </w:rPr>
              <w:t>0.04%</w:t>
            </w:r>
          </w:p>
        </w:tc>
        <w:tc>
          <w:tcPr>
            <w:tcW w:w="1199" w:type="dxa"/>
            <w:vAlign w:val="center"/>
          </w:tcPr>
          <w:p w:rsidR="005E1455" w:rsidRDefault="00B72ECD">
            <w:pPr>
              <w:jc w:val="center"/>
            </w:pPr>
            <w:r>
              <w:rPr>
                <w:color w:val="000000"/>
                <w:kern w:val="0"/>
                <w:sz w:val="24"/>
                <w:szCs w:val="24"/>
              </w:rPr>
              <w:t>1.18%</w:t>
            </w:r>
          </w:p>
        </w:tc>
        <w:tc>
          <w:tcPr>
            <w:tcW w:w="1204" w:type="dxa"/>
            <w:vAlign w:val="center"/>
          </w:tcPr>
          <w:p w:rsidR="005E1455" w:rsidRDefault="00B72ECD">
            <w:pPr>
              <w:jc w:val="center"/>
            </w:pPr>
            <w:r>
              <w:rPr>
                <w:color w:val="000000"/>
                <w:kern w:val="0"/>
                <w:sz w:val="24"/>
                <w:szCs w:val="24"/>
              </w:rPr>
              <w:t>-0.01%</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易方达恒益定期开放债券型发起式证券投资基金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2017</w:t>
      </w:r>
      <w:r w:rsidRPr="0074694E">
        <w:rPr>
          <w:rFonts w:ascii="Times New Roman" w:hAnsi="Times New Roman"/>
          <w:sz w:val="24"/>
          <w:szCs w:val="24"/>
        </w:rPr>
        <w:t>年</w:t>
      </w:r>
      <w:r w:rsidRPr="0074694E">
        <w:rPr>
          <w:rFonts w:ascii="Times New Roman" w:hAnsi="Times New Roman"/>
          <w:sz w:val="24"/>
          <w:szCs w:val="24"/>
        </w:rPr>
        <w:t>10</w:t>
      </w:r>
      <w:r w:rsidRPr="0074694E">
        <w:rPr>
          <w:rFonts w:ascii="Times New Roman" w:hAnsi="Times New Roman"/>
          <w:sz w:val="24"/>
          <w:szCs w:val="24"/>
        </w:rPr>
        <w:t>月</w:t>
      </w:r>
      <w:r w:rsidRPr="0074694E">
        <w:rPr>
          <w:rFonts w:ascii="Times New Roman" w:hAnsi="Times New Roman"/>
          <w:sz w:val="24"/>
          <w:szCs w:val="24"/>
        </w:rPr>
        <w:t>25</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B72ECD"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11.47%</w:t>
      </w:r>
      <w:r w:rsidRPr="006C56AA">
        <w:rPr>
          <w:color w:val="000000"/>
          <w:sz w:val="24"/>
          <w:szCs w:val="24"/>
        </w:rPr>
        <w:t>，同期业绩比较基准收益率为</w:t>
      </w:r>
      <w:r w:rsidRPr="006C56AA">
        <w:rPr>
          <w:color w:val="000000"/>
          <w:sz w:val="24"/>
          <w:szCs w:val="24"/>
        </w:rPr>
        <w:t>4.50%</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5E1455">
        <w:tc>
          <w:tcPr>
            <w:tcW w:w="567" w:type="dxa"/>
            <w:vAlign w:val="center"/>
          </w:tcPr>
          <w:p w:rsidR="005E1455" w:rsidRDefault="00B72ECD">
            <w:pPr>
              <w:jc w:val="center"/>
            </w:pPr>
            <w:r>
              <w:rPr>
                <w:color w:val="000000"/>
                <w:sz w:val="24"/>
              </w:rPr>
              <w:t>王晓晨</w:t>
            </w:r>
          </w:p>
        </w:tc>
        <w:tc>
          <w:tcPr>
            <w:tcW w:w="2835" w:type="dxa"/>
            <w:vAlign w:val="center"/>
          </w:tcPr>
          <w:p w:rsidR="005E1455" w:rsidRDefault="00B72ECD">
            <w:pPr>
              <w:jc w:val="center"/>
            </w:pPr>
            <w:r>
              <w:rPr>
                <w:color w:val="000000"/>
                <w:sz w:val="24"/>
              </w:rPr>
              <w:t>本基金的基金经理、易方达中债新综合债券指数发起式证券投资基金</w:t>
            </w:r>
            <w:r>
              <w:rPr>
                <w:color w:val="000000"/>
                <w:sz w:val="24"/>
              </w:rPr>
              <w:t>(LOF)</w:t>
            </w:r>
            <w:r>
              <w:rPr>
                <w:color w:val="000000"/>
                <w:sz w:val="24"/>
              </w:rPr>
              <w:t>的基金经理、易方达中债</w:t>
            </w:r>
            <w:r>
              <w:rPr>
                <w:color w:val="000000"/>
                <w:sz w:val="24"/>
              </w:rPr>
              <w:t>7-10</w:t>
            </w:r>
            <w:r>
              <w:rPr>
                <w:color w:val="000000"/>
                <w:sz w:val="24"/>
              </w:rPr>
              <w:t>年期国开行债券指数证券投资基金的基金经理、易方达中债</w:t>
            </w:r>
            <w:r>
              <w:rPr>
                <w:color w:val="000000"/>
                <w:sz w:val="24"/>
              </w:rPr>
              <w:t>3-5</w:t>
            </w:r>
            <w:r>
              <w:rPr>
                <w:color w:val="000000"/>
                <w:sz w:val="24"/>
              </w:rPr>
              <w:t>年期国债指数证券投资基金的基金经理（自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日）、易方达中债</w:t>
            </w:r>
            <w:r>
              <w:rPr>
                <w:color w:val="000000"/>
                <w:sz w:val="24"/>
              </w:rPr>
              <w:t>3-5</w:t>
            </w:r>
            <w:r>
              <w:rPr>
                <w:color w:val="000000"/>
                <w:sz w:val="24"/>
              </w:rPr>
              <w:t>年国开行债券指数证券投资基金的基金经理、易方达中债</w:t>
            </w:r>
            <w:r>
              <w:rPr>
                <w:color w:val="000000"/>
                <w:sz w:val="24"/>
              </w:rPr>
              <w:t>1-3</w:t>
            </w:r>
            <w:r>
              <w:rPr>
                <w:color w:val="000000"/>
                <w:sz w:val="24"/>
              </w:rPr>
              <w:t>年国开行债券指数证券投资基金的基金经理、易方达增强回报债券型证券投资基金的基金经理、易方达新鑫灵活配置混合型证券投资基金的基金经理（自</w:t>
            </w:r>
            <w:r>
              <w:rPr>
                <w:color w:val="000000"/>
                <w:sz w:val="24"/>
              </w:rPr>
              <w:t>2018</w:t>
            </w:r>
            <w:r>
              <w:rPr>
                <w:color w:val="000000"/>
                <w:sz w:val="24"/>
              </w:rPr>
              <w:t>年</w:t>
            </w:r>
            <w:r>
              <w:rPr>
                <w:color w:val="000000"/>
                <w:sz w:val="24"/>
              </w:rPr>
              <w:t>01</w:t>
            </w:r>
            <w:r>
              <w:rPr>
                <w:color w:val="000000"/>
                <w:sz w:val="24"/>
              </w:rPr>
              <w:t>月</w:t>
            </w:r>
            <w:r>
              <w:rPr>
                <w:color w:val="000000"/>
                <w:sz w:val="24"/>
              </w:rPr>
              <w:t>31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日）、易方达投资</w:t>
            </w:r>
            <w:r>
              <w:rPr>
                <w:color w:val="000000"/>
                <w:sz w:val="24"/>
              </w:rPr>
              <w:t>级信用债债券型证券投资基金的基金经理、易方达双债增强债券型证券投资基金的基金经理、易方达恒安定期开放债券型发起式证券投资基金的基金经理、易方达富财纯债债券型证券投资基金的基金经理、易方达纯债债券型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日）、易方达安瑞短债债券型证券投资基金的基金经理、固定收益投资部副总经理、易方达资产管理（香港）有限公司基金经理、就证券提供意见负责人员（</w:t>
            </w:r>
            <w:r>
              <w:rPr>
                <w:color w:val="000000"/>
                <w:sz w:val="24"/>
              </w:rPr>
              <w:t>RO</w:t>
            </w:r>
            <w:r>
              <w:rPr>
                <w:color w:val="000000"/>
                <w:sz w:val="24"/>
              </w:rPr>
              <w:t>）、提供资产管理负责人员（</w:t>
            </w:r>
            <w:r>
              <w:rPr>
                <w:color w:val="000000"/>
                <w:sz w:val="24"/>
              </w:rPr>
              <w:t>RO</w:t>
            </w:r>
            <w:r>
              <w:rPr>
                <w:color w:val="000000"/>
                <w:sz w:val="24"/>
              </w:rPr>
              <w:t>）、易方达资产管理（香港）有限公司固定收益投资决策委员会委员</w:t>
            </w:r>
          </w:p>
        </w:tc>
        <w:tc>
          <w:tcPr>
            <w:tcW w:w="851" w:type="dxa"/>
            <w:vAlign w:val="center"/>
          </w:tcPr>
          <w:p w:rsidR="005E1455" w:rsidRDefault="00B72ECD">
            <w:pPr>
              <w:jc w:val="center"/>
            </w:pPr>
            <w:r>
              <w:rPr>
                <w:color w:val="000000"/>
                <w:sz w:val="24"/>
              </w:rPr>
              <w:t>2017-1</w:t>
            </w:r>
            <w:r>
              <w:rPr>
                <w:color w:val="000000"/>
                <w:sz w:val="24"/>
              </w:rPr>
              <w:t>0-25</w:t>
            </w:r>
          </w:p>
        </w:tc>
        <w:tc>
          <w:tcPr>
            <w:tcW w:w="850" w:type="dxa"/>
            <w:vAlign w:val="center"/>
          </w:tcPr>
          <w:p w:rsidR="005E1455" w:rsidRDefault="00B72ECD">
            <w:pPr>
              <w:jc w:val="center"/>
            </w:pPr>
            <w:r>
              <w:rPr>
                <w:color w:val="000000"/>
                <w:sz w:val="24"/>
              </w:rPr>
              <w:t>2019-09-11</w:t>
            </w:r>
          </w:p>
        </w:tc>
        <w:tc>
          <w:tcPr>
            <w:tcW w:w="851" w:type="dxa"/>
            <w:vAlign w:val="center"/>
          </w:tcPr>
          <w:p w:rsidR="005E1455" w:rsidRDefault="00B72ECD">
            <w:pPr>
              <w:jc w:val="center"/>
            </w:pPr>
            <w:r>
              <w:rPr>
                <w:color w:val="000000"/>
                <w:sz w:val="24"/>
              </w:rPr>
              <w:t>16</w:t>
            </w:r>
            <w:r>
              <w:rPr>
                <w:color w:val="000000"/>
                <w:sz w:val="24"/>
              </w:rPr>
              <w:t>年</w:t>
            </w:r>
          </w:p>
        </w:tc>
        <w:tc>
          <w:tcPr>
            <w:tcW w:w="2977" w:type="dxa"/>
            <w:vAlign w:val="center"/>
          </w:tcPr>
          <w:p w:rsidR="005E1455" w:rsidRDefault="00B72ECD">
            <w:r>
              <w:rPr>
                <w:color w:val="000000"/>
                <w:sz w:val="24"/>
              </w:rPr>
              <w:t>硕士研究生，曾任易方达基金管理有限公司集中交易室债券交易员、债券交易主管、固定收益总部总经理助理、固定收益基金投资部副总经理、易方达货币市场基金基金经理、易方达保证金收益货币市场基金基金经理、易方达保本一号混合型证券投资基金基金经理。</w:t>
            </w:r>
          </w:p>
        </w:tc>
      </w:tr>
      <w:tr w:rsidR="005E1455">
        <w:tc>
          <w:tcPr>
            <w:tcW w:w="567" w:type="dxa"/>
            <w:vAlign w:val="center"/>
          </w:tcPr>
          <w:p w:rsidR="005E1455" w:rsidRDefault="00B72ECD">
            <w:pPr>
              <w:jc w:val="center"/>
            </w:pPr>
            <w:r>
              <w:rPr>
                <w:color w:val="000000"/>
                <w:sz w:val="24"/>
              </w:rPr>
              <w:t>张雅君</w:t>
            </w:r>
          </w:p>
        </w:tc>
        <w:tc>
          <w:tcPr>
            <w:tcW w:w="2835" w:type="dxa"/>
            <w:vAlign w:val="center"/>
          </w:tcPr>
          <w:p w:rsidR="005E1455" w:rsidRDefault="00B72ECD">
            <w:pPr>
              <w:jc w:val="center"/>
            </w:pPr>
            <w:r>
              <w:rPr>
                <w:color w:val="000000"/>
                <w:sz w:val="24"/>
              </w:rPr>
              <w:t>本基金的基金经理、易方达中债</w:t>
            </w:r>
            <w:r>
              <w:rPr>
                <w:color w:val="000000"/>
                <w:sz w:val="24"/>
              </w:rPr>
              <w:t>7-10</w:t>
            </w:r>
            <w:r>
              <w:rPr>
                <w:color w:val="000000"/>
                <w:sz w:val="24"/>
              </w:rPr>
              <w:t>年期国开行债券指数证券投资基金的基金经理、易方达中债</w:t>
            </w:r>
            <w:r>
              <w:rPr>
                <w:color w:val="000000"/>
                <w:sz w:val="24"/>
              </w:rPr>
              <w:t>3-5</w:t>
            </w:r>
            <w:r>
              <w:rPr>
                <w:color w:val="000000"/>
                <w:sz w:val="24"/>
              </w:rPr>
              <w:t>年期国债指数证券投资基金的基金经理、易方达增强回报债券型证券投资基金的基金经理、易方达裕丰回报债券型证券投资基金的基金经理、易方达富惠纯债债券型证券投资基金的基金经理、易方达富财纯债债券型证券投资基金的基金经理、易方达纯债债券型证券投资基金的基金经理、易方达安盈回报混合型证券投资基金的基金经理助理、易方达丰华债券型证券投资基金的基金经理助理、易方达鑫转招利混合型证券投资基金的基金经理助理、易方达鑫转增利混合型证券投</w:t>
            </w:r>
            <w:r>
              <w:rPr>
                <w:color w:val="000000"/>
                <w:sz w:val="24"/>
              </w:rPr>
              <w:t>资基金的基金经理助理、易方达鑫转添利混合型证券投资基金的基金经理助理、易方达裕如灵活配置混合型证券投资基金的基金经理助理、易方达安心回馈混合型证券投资基金的基金经理助理、易方达安心回报债券型证券投资基金的基金经理助理、易方达裕惠回报定期开放式混合型发起式证券投资基金的基金经理助理、易方达恒久添利</w:t>
            </w:r>
            <w:r>
              <w:rPr>
                <w:color w:val="000000"/>
                <w:sz w:val="24"/>
              </w:rPr>
              <w:t>1</w:t>
            </w:r>
            <w:r>
              <w:rPr>
                <w:color w:val="000000"/>
                <w:sz w:val="24"/>
              </w:rPr>
              <w:t>年定期开放债券型证券投资基金的基金经理助理、易方达丰和债券型证券投资基金的基金经理助理、混合资产投资部总经理助理</w:t>
            </w:r>
          </w:p>
        </w:tc>
        <w:tc>
          <w:tcPr>
            <w:tcW w:w="851" w:type="dxa"/>
            <w:vAlign w:val="center"/>
          </w:tcPr>
          <w:p w:rsidR="005E1455" w:rsidRDefault="00B72ECD">
            <w:pPr>
              <w:jc w:val="center"/>
            </w:pPr>
            <w:r>
              <w:rPr>
                <w:color w:val="000000"/>
                <w:sz w:val="24"/>
              </w:rPr>
              <w:t>2017-10-25</w:t>
            </w:r>
          </w:p>
        </w:tc>
        <w:tc>
          <w:tcPr>
            <w:tcW w:w="850" w:type="dxa"/>
            <w:vAlign w:val="center"/>
          </w:tcPr>
          <w:p w:rsidR="005E1455" w:rsidRDefault="00B72ECD">
            <w:pPr>
              <w:jc w:val="center"/>
            </w:pPr>
            <w:r>
              <w:rPr>
                <w:color w:val="000000"/>
                <w:sz w:val="24"/>
              </w:rPr>
              <w:t>2019-07-12</w:t>
            </w:r>
          </w:p>
        </w:tc>
        <w:tc>
          <w:tcPr>
            <w:tcW w:w="851" w:type="dxa"/>
            <w:vAlign w:val="center"/>
          </w:tcPr>
          <w:p w:rsidR="005E1455" w:rsidRDefault="00B72ECD">
            <w:pPr>
              <w:jc w:val="center"/>
            </w:pPr>
            <w:r>
              <w:rPr>
                <w:color w:val="000000"/>
                <w:sz w:val="24"/>
              </w:rPr>
              <w:t>10</w:t>
            </w:r>
            <w:r>
              <w:rPr>
                <w:color w:val="000000"/>
                <w:sz w:val="24"/>
              </w:rPr>
              <w:t>年</w:t>
            </w:r>
          </w:p>
        </w:tc>
        <w:tc>
          <w:tcPr>
            <w:tcW w:w="2977" w:type="dxa"/>
            <w:vAlign w:val="center"/>
          </w:tcPr>
          <w:p w:rsidR="005E1455" w:rsidRDefault="00B72ECD">
            <w:r>
              <w:rPr>
                <w:color w:val="000000"/>
                <w:sz w:val="24"/>
              </w:rPr>
              <w:t>硕士研究生，曾任海通证券股份有限公司项目经理，工</w:t>
            </w:r>
            <w:r>
              <w:rPr>
                <w:color w:val="000000"/>
                <w:sz w:val="24"/>
              </w:rPr>
              <w:t>银瑞信基金管理有限公司债券交易员，易方达基金管理有限公司债券交易员、固定收益研究员、固定收益基金投资部总经理助理、易方达裕祥回报债券型证券投资基金基金经理助理、易方达裕丰回报债券型证券投资基金基金经理助理、易方达裕祥回报债券型证券投资基金基金经理、易方达投资级信用债债券型证券投资基金基金经理助理、易方达新收益灵活配置混合型证券投资基金基金经理助理、易方达保本一号混合型证券投资基金基金经理助理。</w:t>
            </w:r>
          </w:p>
        </w:tc>
      </w:tr>
      <w:tr w:rsidR="005E1455">
        <w:tc>
          <w:tcPr>
            <w:tcW w:w="567" w:type="dxa"/>
            <w:vAlign w:val="center"/>
          </w:tcPr>
          <w:p w:rsidR="005E1455" w:rsidRDefault="00B72ECD">
            <w:pPr>
              <w:jc w:val="center"/>
            </w:pPr>
            <w:r>
              <w:rPr>
                <w:color w:val="000000"/>
                <w:sz w:val="24"/>
              </w:rPr>
              <w:t>胡剑</w:t>
            </w:r>
          </w:p>
        </w:tc>
        <w:tc>
          <w:tcPr>
            <w:tcW w:w="2835" w:type="dxa"/>
            <w:vAlign w:val="center"/>
          </w:tcPr>
          <w:p w:rsidR="005E1455" w:rsidRDefault="00B72ECD">
            <w:pPr>
              <w:jc w:val="center"/>
            </w:pPr>
            <w:r>
              <w:rPr>
                <w:color w:val="000000"/>
                <w:sz w:val="24"/>
              </w:rPr>
              <w:t>本基金的基金经理、易方达裕惠回报定期开放式混合型发起式证券投资基金的基金经理、易方达信用债债券型证券投资基</w:t>
            </w:r>
            <w:r>
              <w:rPr>
                <w:color w:val="000000"/>
                <w:sz w:val="24"/>
              </w:rPr>
              <w:t>金的基金经理、易方达稳健收益债券型证券投资基金的基金经理、易方达岁丰添利债券型证券投资基金的基金经理、易方达瑞祺灵活配置混合型证券投资基金的基金经理、易方达瑞智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日）、易方达瑞兴灵活配置混合型证券投资基金的基金经理（自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日）、易方达瑞祥灵活配置混合型证券投资基金的基金经理（自</w:t>
            </w:r>
            <w:r>
              <w:rPr>
                <w:color w:val="000000"/>
                <w:sz w:val="24"/>
              </w:rPr>
              <w:t>2018</w:t>
            </w:r>
            <w:r>
              <w:rPr>
                <w:color w:val="000000"/>
                <w:sz w:val="24"/>
              </w:rPr>
              <w:t>年</w:t>
            </w:r>
            <w:r>
              <w:rPr>
                <w:color w:val="000000"/>
                <w:sz w:val="24"/>
              </w:rPr>
              <w:t>01</w:t>
            </w:r>
            <w:r>
              <w:rPr>
                <w:color w:val="000000"/>
                <w:sz w:val="24"/>
              </w:rPr>
              <w:t>月</w:t>
            </w:r>
            <w:r>
              <w:rPr>
                <w:color w:val="000000"/>
                <w:sz w:val="24"/>
              </w:rPr>
              <w:t>19</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日）、易方达瑞富灵活配置混合型证券投资基金的基金经理、易方达瑞财灵活</w:t>
            </w:r>
            <w:r>
              <w:rPr>
                <w:color w:val="000000"/>
                <w:sz w:val="24"/>
              </w:rPr>
              <w:t>配置混合型证券投资基金的基金经理、易方达恒盛</w:t>
            </w:r>
            <w:r>
              <w:rPr>
                <w:color w:val="000000"/>
                <w:sz w:val="24"/>
              </w:rPr>
              <w:t>3</w:t>
            </w:r>
            <w:r>
              <w:rPr>
                <w:color w:val="000000"/>
                <w:sz w:val="24"/>
              </w:rPr>
              <w:t>个月定期开放混合型发起式证券投资基金的基金经理、易方达恒利</w:t>
            </w:r>
            <w:r>
              <w:rPr>
                <w:color w:val="000000"/>
                <w:sz w:val="24"/>
              </w:rPr>
              <w:t>3</w:t>
            </w:r>
            <w:r>
              <w:rPr>
                <w:color w:val="000000"/>
                <w:sz w:val="24"/>
              </w:rPr>
              <w:t>个月定期开放债券型发起式证券投资基金的基金经理、易方达高等级信用债债券型证券投资基金的基金经理（自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17</w:t>
            </w:r>
            <w:r>
              <w:rPr>
                <w:color w:val="000000"/>
                <w:sz w:val="24"/>
              </w:rPr>
              <w:t>日）、易方达丰惠混合型证券投资基金的基金经理、易方达</w:t>
            </w:r>
            <w:r>
              <w:rPr>
                <w:color w:val="000000"/>
                <w:sz w:val="24"/>
              </w:rPr>
              <w:t>3</w:t>
            </w:r>
            <w:r>
              <w:rPr>
                <w:color w:val="000000"/>
                <w:sz w:val="24"/>
              </w:rPr>
              <w:t>年封闭运作战略配售灵活配置混合型证券投资基金</w:t>
            </w:r>
            <w:r>
              <w:rPr>
                <w:color w:val="000000"/>
                <w:sz w:val="24"/>
              </w:rPr>
              <w:t>(LOF)</w:t>
            </w:r>
            <w:r>
              <w:rPr>
                <w:color w:val="000000"/>
                <w:sz w:val="24"/>
              </w:rPr>
              <w:t>的基金经理、固定收益研究部总经理、固定收益投资部总经理</w:t>
            </w:r>
          </w:p>
        </w:tc>
        <w:tc>
          <w:tcPr>
            <w:tcW w:w="851" w:type="dxa"/>
            <w:vAlign w:val="center"/>
          </w:tcPr>
          <w:p w:rsidR="005E1455" w:rsidRDefault="00B72ECD">
            <w:pPr>
              <w:jc w:val="center"/>
            </w:pPr>
            <w:r>
              <w:rPr>
                <w:color w:val="000000"/>
                <w:sz w:val="24"/>
              </w:rPr>
              <w:t>2019-07-12</w:t>
            </w:r>
          </w:p>
        </w:tc>
        <w:tc>
          <w:tcPr>
            <w:tcW w:w="850" w:type="dxa"/>
            <w:vAlign w:val="center"/>
          </w:tcPr>
          <w:p w:rsidR="005E1455" w:rsidRDefault="00B72ECD">
            <w:pPr>
              <w:jc w:val="center"/>
            </w:pPr>
            <w:r>
              <w:rPr>
                <w:color w:val="000000"/>
                <w:sz w:val="24"/>
              </w:rPr>
              <w:t>-</w:t>
            </w:r>
          </w:p>
        </w:tc>
        <w:tc>
          <w:tcPr>
            <w:tcW w:w="851" w:type="dxa"/>
            <w:vAlign w:val="center"/>
          </w:tcPr>
          <w:p w:rsidR="005E1455" w:rsidRDefault="00B72ECD">
            <w:pPr>
              <w:jc w:val="center"/>
            </w:pPr>
            <w:r>
              <w:rPr>
                <w:color w:val="000000"/>
                <w:sz w:val="24"/>
              </w:rPr>
              <w:t>13</w:t>
            </w:r>
            <w:r>
              <w:rPr>
                <w:color w:val="000000"/>
                <w:sz w:val="24"/>
              </w:rPr>
              <w:t>年</w:t>
            </w:r>
          </w:p>
        </w:tc>
        <w:tc>
          <w:tcPr>
            <w:tcW w:w="2977" w:type="dxa"/>
            <w:vAlign w:val="center"/>
          </w:tcPr>
          <w:p w:rsidR="005E1455" w:rsidRDefault="00B72ECD">
            <w:r>
              <w:rPr>
                <w:color w:val="000000"/>
                <w:sz w:val="24"/>
              </w:rPr>
              <w:t>硕士研究生，曾任易方达基金管理有限公司固定收益部债券研究员、基金经</w:t>
            </w:r>
            <w:r>
              <w:rPr>
                <w:color w:val="000000"/>
                <w:sz w:val="24"/>
              </w:rPr>
              <w:t>理助理兼债券研究员、固定收益研究部负责人、固定收益总部总经理助理、易方达中债新综合债券指数发起式证券投资基金（</w:t>
            </w:r>
            <w:r>
              <w:rPr>
                <w:color w:val="000000"/>
                <w:sz w:val="24"/>
              </w:rPr>
              <w:t>LOF</w:t>
            </w:r>
            <w:r>
              <w:rPr>
                <w:color w:val="000000"/>
                <w:sz w:val="24"/>
              </w:rPr>
              <w:t>）基金经理、易方达纯债</w:t>
            </w:r>
            <w:r>
              <w:rPr>
                <w:color w:val="000000"/>
                <w:sz w:val="24"/>
              </w:rPr>
              <w:t>1</w:t>
            </w:r>
            <w:r>
              <w:rPr>
                <w:color w:val="000000"/>
                <w:sz w:val="24"/>
              </w:rPr>
              <w:t>年定期开放债券型证券投资基金基金经理、易方达永旭添利定期开放债券型证券投资基金基金经理、易方达纯债债券型证券投资基金基金经理、易方达裕景添利</w:t>
            </w:r>
            <w:r>
              <w:rPr>
                <w:color w:val="000000"/>
                <w:sz w:val="24"/>
              </w:rPr>
              <w:t>6</w:t>
            </w:r>
            <w:r>
              <w:rPr>
                <w:color w:val="000000"/>
                <w:sz w:val="24"/>
              </w:rPr>
              <w:t>个月定期开放债券型证券投资基金基金经理。</w:t>
            </w:r>
          </w:p>
        </w:tc>
      </w:tr>
      <w:tr w:rsidR="005E1455">
        <w:tc>
          <w:tcPr>
            <w:tcW w:w="567" w:type="dxa"/>
            <w:vAlign w:val="center"/>
          </w:tcPr>
          <w:p w:rsidR="005E1455" w:rsidRDefault="00B72ECD">
            <w:pPr>
              <w:jc w:val="center"/>
            </w:pPr>
            <w:r>
              <w:rPr>
                <w:color w:val="000000"/>
                <w:sz w:val="24"/>
              </w:rPr>
              <w:t>李一硕</w:t>
            </w:r>
          </w:p>
        </w:tc>
        <w:tc>
          <w:tcPr>
            <w:tcW w:w="2835" w:type="dxa"/>
            <w:vAlign w:val="center"/>
          </w:tcPr>
          <w:p w:rsidR="005E1455" w:rsidRDefault="00B72ECD">
            <w:pPr>
              <w:jc w:val="center"/>
            </w:pPr>
            <w:r>
              <w:rPr>
                <w:color w:val="000000"/>
                <w:sz w:val="24"/>
              </w:rPr>
              <w:t>本基金的基金经理、易方达裕如灵活配置混合型证券投资基金的基金经理、易方达永旭添利定期开放债券型证券投资基金的基金经理、易方达新享灵活配置混合型证券投资基金的基金经理（自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日）、易方达新利灵活配置混合型证券投资基金的基金经理（自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日）、易方达瑞景灵活配置混合型证券投资基金的基金经理（自</w:t>
            </w:r>
            <w:r>
              <w:rPr>
                <w:color w:val="000000"/>
                <w:sz w:val="24"/>
              </w:rPr>
              <w:t>2016</w:t>
            </w:r>
            <w:r>
              <w:rPr>
                <w:color w:val="000000"/>
                <w:sz w:val="24"/>
              </w:rPr>
              <w:t>年</w:t>
            </w:r>
            <w:r>
              <w:rPr>
                <w:color w:val="000000"/>
                <w:sz w:val="24"/>
              </w:rPr>
              <w:t>08</w:t>
            </w:r>
            <w:r>
              <w:rPr>
                <w:color w:val="000000"/>
                <w:sz w:val="24"/>
              </w:rPr>
              <w:t>月</w:t>
            </w:r>
            <w:r>
              <w:rPr>
                <w:color w:val="000000"/>
                <w:sz w:val="24"/>
              </w:rPr>
              <w:t>06</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日）、易方达年年恒夏纯债一年定期开放债券型发起式证券投资基金的基金经理、易方达聚盈分级债券型发起式证</w:t>
            </w:r>
            <w:r>
              <w:rPr>
                <w:color w:val="000000"/>
                <w:sz w:val="24"/>
              </w:rPr>
              <w:t>券投资基金的基金经理、易方达恒信定期开放债券型发起式证券投资基金的基金经理、易方达恒惠定期开放债券型发起式证券投资基金的基金经理、易方达富惠纯债债券型证券投资基金的基金经理、易方达纯债</w:t>
            </w:r>
            <w:r>
              <w:rPr>
                <w:color w:val="000000"/>
                <w:sz w:val="24"/>
              </w:rPr>
              <w:t>1</w:t>
            </w:r>
            <w:r>
              <w:rPr>
                <w:color w:val="000000"/>
                <w:sz w:val="24"/>
              </w:rPr>
              <w:t>年定期开放债券型证券投资基金的基金经理、易方达安源中短债债券型证券投资基金的基金经理、易方达裕惠回报定期开放式混合型发起式证券投资基金的基金经理助理、易方达信用债债券型证券投资基金的基金经理助理、易方达中债新综合债券指数发起式证券投资基金</w:t>
            </w:r>
            <w:r>
              <w:rPr>
                <w:color w:val="000000"/>
                <w:sz w:val="24"/>
              </w:rPr>
              <w:t>(LOF)</w:t>
            </w:r>
            <w:r>
              <w:rPr>
                <w:color w:val="000000"/>
                <w:sz w:val="24"/>
              </w:rPr>
              <w:t>的基金经理助理、易方达稳健收益债券型证券投资基金的基金经理助理、易方达丰惠混合</w:t>
            </w:r>
            <w:r>
              <w:rPr>
                <w:color w:val="000000"/>
                <w:sz w:val="24"/>
              </w:rPr>
              <w:t>型证券投资基金的基金经理助理、易方达瑞富灵活配置混合型证券投资基金的基金经理助理、易方达瑞祺灵活配置混合型证券投资基金的基金经理助理、易方达恒益定期开放债券型发起式证券投资基金的基金经理助理（自</w:t>
            </w:r>
            <w:r>
              <w:rPr>
                <w:color w:val="000000"/>
                <w:sz w:val="24"/>
              </w:rPr>
              <w:t>2019</w:t>
            </w:r>
            <w:r>
              <w:rPr>
                <w:color w:val="000000"/>
                <w:sz w:val="24"/>
              </w:rPr>
              <w:t>年</w:t>
            </w:r>
            <w:r>
              <w:rPr>
                <w:color w:val="000000"/>
                <w:sz w:val="24"/>
              </w:rPr>
              <w:t>07</w:t>
            </w:r>
            <w:r>
              <w:rPr>
                <w:color w:val="000000"/>
                <w:sz w:val="24"/>
              </w:rPr>
              <w:t>月</w:t>
            </w:r>
            <w:r>
              <w:rPr>
                <w:color w:val="000000"/>
                <w:sz w:val="24"/>
              </w:rPr>
              <w:t>10</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17</w:t>
            </w:r>
            <w:r>
              <w:rPr>
                <w:color w:val="000000"/>
                <w:sz w:val="24"/>
              </w:rPr>
              <w:t>日）</w:t>
            </w:r>
          </w:p>
        </w:tc>
        <w:tc>
          <w:tcPr>
            <w:tcW w:w="851" w:type="dxa"/>
            <w:vAlign w:val="center"/>
          </w:tcPr>
          <w:p w:rsidR="005E1455" w:rsidRDefault="00B72ECD">
            <w:pPr>
              <w:jc w:val="center"/>
            </w:pPr>
            <w:r>
              <w:rPr>
                <w:color w:val="000000"/>
                <w:sz w:val="24"/>
              </w:rPr>
              <w:t>2019-09-18</w:t>
            </w:r>
          </w:p>
        </w:tc>
        <w:tc>
          <w:tcPr>
            <w:tcW w:w="850" w:type="dxa"/>
            <w:vAlign w:val="center"/>
          </w:tcPr>
          <w:p w:rsidR="005E1455" w:rsidRDefault="00B72ECD">
            <w:pPr>
              <w:jc w:val="center"/>
            </w:pPr>
            <w:r>
              <w:rPr>
                <w:color w:val="000000"/>
                <w:sz w:val="24"/>
              </w:rPr>
              <w:t>-</w:t>
            </w:r>
          </w:p>
        </w:tc>
        <w:tc>
          <w:tcPr>
            <w:tcW w:w="851" w:type="dxa"/>
            <w:vAlign w:val="center"/>
          </w:tcPr>
          <w:p w:rsidR="005E1455" w:rsidRDefault="00B72ECD">
            <w:pPr>
              <w:jc w:val="center"/>
            </w:pPr>
            <w:r>
              <w:rPr>
                <w:color w:val="000000"/>
                <w:sz w:val="24"/>
              </w:rPr>
              <w:t>11</w:t>
            </w:r>
            <w:r>
              <w:rPr>
                <w:color w:val="000000"/>
                <w:sz w:val="24"/>
              </w:rPr>
              <w:t>年</w:t>
            </w:r>
          </w:p>
        </w:tc>
        <w:tc>
          <w:tcPr>
            <w:tcW w:w="2977" w:type="dxa"/>
            <w:vAlign w:val="center"/>
          </w:tcPr>
          <w:p w:rsidR="005E1455" w:rsidRDefault="00B72ECD">
            <w:r>
              <w:rPr>
                <w:color w:val="000000"/>
                <w:sz w:val="24"/>
              </w:rPr>
              <w:t>硕士研究生，曾任瑞银证券有限公司研究员，中国国际金融有限公司研究员，易方达基金管理有限公司研究员、易方达新利灵活配置混合型证券投资基金基金经理助理、易方达新享灵活配置混合型证券投资基金基金经理助理、易方达裕如灵活配置混合型证券投资基金基金经理助理、易方达瑞祥灵活配置混合型证券投资基金基金经理助理、易方达瑞兴灵活配置混合型证券投资基金基金经理助理、易方达瑞智灵活配置混合型证券投资基金基金经理助理。</w:t>
            </w:r>
          </w:p>
        </w:tc>
      </w:tr>
    </w:tbl>
    <w:p w:rsidR="005E1455" w:rsidRDefault="00B72ECD">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w:t>
      </w:r>
      <w:r>
        <w:rPr>
          <w:color w:val="000000"/>
          <w:sz w:val="24"/>
          <w:szCs w:val="24"/>
        </w:rPr>
        <w:t>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5E1455" w:rsidRDefault="00B72ECD">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5E1455" w:rsidRDefault="00B72ECD">
      <w:pPr>
        <w:spacing w:line="360" w:lineRule="auto"/>
        <w:ind w:firstLineChars="200" w:firstLine="480"/>
        <w:rPr>
          <w:color w:val="000000"/>
          <w:sz w:val="24"/>
          <w:szCs w:val="24"/>
        </w:rPr>
      </w:pPr>
      <w:r>
        <w:rPr>
          <w:color w:val="000000"/>
          <w:sz w:val="24"/>
          <w:szCs w:val="24"/>
        </w:rPr>
        <w:t>2019</w:t>
      </w:r>
      <w:r>
        <w:rPr>
          <w:color w:val="000000"/>
          <w:sz w:val="24"/>
          <w:szCs w:val="24"/>
        </w:rPr>
        <w:t>年三季度宏观经济维持相对弱势。在经历了</w:t>
      </w:r>
      <w:r>
        <w:rPr>
          <w:color w:val="000000"/>
          <w:sz w:val="24"/>
          <w:szCs w:val="24"/>
        </w:rPr>
        <w:t>6</w:t>
      </w:r>
      <w:r>
        <w:rPr>
          <w:color w:val="000000"/>
          <w:sz w:val="24"/>
          <w:szCs w:val="24"/>
        </w:rPr>
        <w:t>月份超预期的增长数据后，</w:t>
      </w:r>
      <w:r>
        <w:rPr>
          <w:color w:val="000000"/>
          <w:sz w:val="24"/>
          <w:szCs w:val="24"/>
        </w:rPr>
        <w:t>7-8</w:t>
      </w:r>
      <w:r>
        <w:rPr>
          <w:color w:val="000000"/>
          <w:sz w:val="24"/>
          <w:szCs w:val="24"/>
        </w:rPr>
        <w:t>月大部分经济指标均有所回落，低于市场此前的预计水平。其中</w:t>
      </w:r>
      <w:r>
        <w:rPr>
          <w:color w:val="000000"/>
          <w:sz w:val="24"/>
          <w:szCs w:val="24"/>
        </w:rPr>
        <w:t>7</w:t>
      </w:r>
      <w:r>
        <w:rPr>
          <w:color w:val="000000"/>
          <w:sz w:val="24"/>
          <w:szCs w:val="24"/>
        </w:rPr>
        <w:t>月工业增加值同比增速由</w:t>
      </w:r>
      <w:r>
        <w:rPr>
          <w:color w:val="000000"/>
          <w:sz w:val="24"/>
          <w:szCs w:val="24"/>
        </w:rPr>
        <w:t>6</w:t>
      </w:r>
      <w:r>
        <w:rPr>
          <w:color w:val="000000"/>
          <w:sz w:val="24"/>
          <w:szCs w:val="24"/>
        </w:rPr>
        <w:t>月份的</w:t>
      </w:r>
      <w:r>
        <w:rPr>
          <w:color w:val="000000"/>
          <w:sz w:val="24"/>
          <w:szCs w:val="24"/>
        </w:rPr>
        <w:t>6.3%</w:t>
      </w:r>
      <w:r>
        <w:rPr>
          <w:color w:val="000000"/>
          <w:sz w:val="24"/>
          <w:szCs w:val="24"/>
        </w:rPr>
        <w:t>下降至</w:t>
      </w:r>
      <w:r>
        <w:rPr>
          <w:color w:val="000000"/>
          <w:sz w:val="24"/>
          <w:szCs w:val="24"/>
        </w:rPr>
        <w:t>4.8%</w:t>
      </w:r>
      <w:r>
        <w:rPr>
          <w:color w:val="000000"/>
          <w:sz w:val="24"/>
          <w:szCs w:val="24"/>
        </w:rPr>
        <w:t>，</w:t>
      </w:r>
      <w:r>
        <w:rPr>
          <w:color w:val="000000"/>
          <w:sz w:val="24"/>
          <w:szCs w:val="24"/>
        </w:rPr>
        <w:t>8</w:t>
      </w:r>
      <w:r>
        <w:rPr>
          <w:color w:val="000000"/>
          <w:sz w:val="24"/>
          <w:szCs w:val="24"/>
        </w:rPr>
        <w:t>月份进一步回落至</w:t>
      </w:r>
      <w:r>
        <w:rPr>
          <w:color w:val="000000"/>
          <w:sz w:val="24"/>
          <w:szCs w:val="24"/>
        </w:rPr>
        <w:t>4.4%</w:t>
      </w:r>
      <w:r>
        <w:rPr>
          <w:color w:val="000000"/>
          <w:sz w:val="24"/>
          <w:szCs w:val="24"/>
        </w:rPr>
        <w:t>；</w:t>
      </w:r>
      <w:r>
        <w:rPr>
          <w:color w:val="000000"/>
          <w:sz w:val="24"/>
          <w:szCs w:val="24"/>
        </w:rPr>
        <w:t>7</w:t>
      </w:r>
      <w:r>
        <w:rPr>
          <w:color w:val="000000"/>
          <w:sz w:val="24"/>
          <w:szCs w:val="24"/>
        </w:rPr>
        <w:t>月份社会销售品零售总额同比增长</w:t>
      </w:r>
      <w:r>
        <w:rPr>
          <w:color w:val="000000"/>
          <w:sz w:val="24"/>
          <w:szCs w:val="24"/>
        </w:rPr>
        <w:t>7.6%</w:t>
      </w:r>
      <w:r>
        <w:rPr>
          <w:color w:val="000000"/>
          <w:sz w:val="24"/>
          <w:szCs w:val="24"/>
        </w:rPr>
        <w:t>，增速相较</w:t>
      </w:r>
      <w:r>
        <w:rPr>
          <w:color w:val="000000"/>
          <w:sz w:val="24"/>
          <w:szCs w:val="24"/>
        </w:rPr>
        <w:t>6</w:t>
      </w:r>
      <w:r>
        <w:rPr>
          <w:color w:val="000000"/>
          <w:sz w:val="24"/>
          <w:szCs w:val="24"/>
        </w:rPr>
        <w:t>月份回落</w:t>
      </w:r>
      <w:r>
        <w:rPr>
          <w:color w:val="000000"/>
          <w:sz w:val="24"/>
          <w:szCs w:val="24"/>
        </w:rPr>
        <w:t>2.2</w:t>
      </w:r>
      <w:r>
        <w:rPr>
          <w:color w:val="000000"/>
          <w:sz w:val="24"/>
          <w:szCs w:val="24"/>
        </w:rPr>
        <w:t>个百分点，</w:t>
      </w:r>
      <w:r>
        <w:rPr>
          <w:color w:val="000000"/>
          <w:sz w:val="24"/>
          <w:szCs w:val="24"/>
        </w:rPr>
        <w:t>8</w:t>
      </w:r>
      <w:r>
        <w:rPr>
          <w:color w:val="000000"/>
          <w:sz w:val="24"/>
          <w:szCs w:val="24"/>
        </w:rPr>
        <w:t>月份小幅放缓至</w:t>
      </w:r>
      <w:r>
        <w:rPr>
          <w:color w:val="000000"/>
          <w:sz w:val="24"/>
          <w:szCs w:val="24"/>
        </w:rPr>
        <w:t>7.5%</w:t>
      </w:r>
      <w:r>
        <w:rPr>
          <w:color w:val="000000"/>
          <w:sz w:val="24"/>
          <w:szCs w:val="24"/>
        </w:rPr>
        <w:t>；固定资产投资增速在</w:t>
      </w:r>
      <w:r>
        <w:rPr>
          <w:color w:val="000000"/>
          <w:sz w:val="24"/>
          <w:szCs w:val="24"/>
        </w:rPr>
        <w:t>6</w:t>
      </w:r>
      <w:r>
        <w:rPr>
          <w:color w:val="000000"/>
          <w:sz w:val="24"/>
          <w:szCs w:val="24"/>
        </w:rPr>
        <w:t>月份冲高之后同样连续两个月有所回落。三季度海外主要经济体同样面临经济增速下行的风险，叠加中美贸易谈判继续出现诸多波折，未来全球经济的增速预期仍不明朗。</w:t>
      </w:r>
    </w:p>
    <w:p w:rsidR="005E1455" w:rsidRDefault="00B72ECD">
      <w:pPr>
        <w:spacing w:line="360" w:lineRule="auto"/>
        <w:ind w:firstLineChars="200" w:firstLine="480"/>
        <w:rPr>
          <w:color w:val="000000"/>
          <w:sz w:val="24"/>
          <w:szCs w:val="24"/>
        </w:rPr>
      </w:pPr>
      <w:r>
        <w:rPr>
          <w:color w:val="000000"/>
          <w:sz w:val="24"/>
          <w:szCs w:val="24"/>
        </w:rPr>
        <w:t>在宏观基本面不确定性</w:t>
      </w:r>
      <w:r>
        <w:rPr>
          <w:color w:val="000000"/>
          <w:sz w:val="24"/>
          <w:szCs w:val="24"/>
        </w:rPr>
        <w:t>上升的背景下，货币政策宽松的预期增加，海外债券市场收益率不断回落，共同带动三季度我国债券市场收益率总体呈现下行态势。但</w:t>
      </w:r>
      <w:r>
        <w:rPr>
          <w:color w:val="000000"/>
          <w:sz w:val="24"/>
          <w:szCs w:val="24"/>
        </w:rPr>
        <w:t>9</w:t>
      </w:r>
      <w:r>
        <w:rPr>
          <w:color w:val="000000"/>
          <w:sz w:val="24"/>
          <w:szCs w:val="24"/>
        </w:rPr>
        <w:t>月份以来，随着央行全面下调金融机构存款准备金率的政策公布，债券市场收益率开始出现回升，尤其是长端品种调整较为明显。</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操作上，组合以配置中等期限的高评级信用债为主，重点关注信用风险以及组合的流动性风险，积极根据市场情况进行利率债波段操作。考虑到债券市场存在配置价值，三季度组合杠杆及有效久期均保持在中性偏高水平。</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1.0219</w:t>
      </w:r>
      <w:r w:rsidRPr="006C56AA">
        <w:rPr>
          <w:color w:val="000000"/>
          <w:sz w:val="24"/>
          <w:szCs w:val="24"/>
        </w:rPr>
        <w:t>元，本报告期份额净值增长率为</w:t>
      </w:r>
      <w:r w:rsidRPr="006C56AA">
        <w:rPr>
          <w:color w:val="000000"/>
          <w:sz w:val="24"/>
          <w:szCs w:val="24"/>
        </w:rPr>
        <w:t>1.64%</w:t>
      </w:r>
      <w:r w:rsidRPr="006C56AA">
        <w:rPr>
          <w:color w:val="000000"/>
          <w:sz w:val="24"/>
          <w:szCs w:val="24"/>
        </w:rPr>
        <w:t>，同期业绩比较基准收益率为</w:t>
      </w:r>
      <w:r w:rsidRPr="006C56AA">
        <w:rPr>
          <w:color w:val="000000"/>
          <w:sz w:val="24"/>
          <w:szCs w:val="24"/>
        </w:rPr>
        <w:t>0.46%</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7,978,836,000.20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96.29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7,978,836,000.20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96.29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180,143,033.55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2.17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127,182,755.67</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1.53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8,286,161,789.42</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p w:rsidR="008C2A4F" w:rsidRPr="00403A06" w:rsidRDefault="008C2A4F" w:rsidP="00403A06">
      <w:pPr>
        <w:spacing w:line="360" w:lineRule="auto"/>
        <w:ind w:firstLineChars="200" w:firstLine="480"/>
        <w:rPr>
          <w:color w:val="000000"/>
          <w:sz w:val="24"/>
          <w:szCs w:val="24"/>
        </w:rPr>
      </w:pPr>
      <w:r w:rsidRPr="00403A06">
        <w:rPr>
          <w:color w:val="000000"/>
          <w:sz w:val="24"/>
          <w:szCs w:val="24"/>
        </w:rPr>
        <w:t>本基金本报告期末未持有境内股票。</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309,907,000.00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5.08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309,907,000.00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5.08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3,976,947,000.20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65.19</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60,066,000.00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0.98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3,631,916,000.00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59.53</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7,978,836,000.20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130.78</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5E1455">
        <w:tc>
          <w:tcPr>
            <w:tcW w:w="959" w:type="dxa"/>
            <w:vAlign w:val="center"/>
          </w:tcPr>
          <w:p w:rsidR="005E1455" w:rsidRDefault="00B72ECD">
            <w:pPr>
              <w:jc w:val="center"/>
            </w:pPr>
            <w:r>
              <w:rPr>
                <w:color w:val="000000"/>
                <w:kern w:val="0"/>
                <w:sz w:val="24"/>
                <w:szCs w:val="24"/>
              </w:rPr>
              <w:t>1</w:t>
            </w:r>
          </w:p>
        </w:tc>
        <w:tc>
          <w:tcPr>
            <w:tcW w:w="1276" w:type="dxa"/>
            <w:vAlign w:val="center"/>
          </w:tcPr>
          <w:p w:rsidR="005E1455" w:rsidRDefault="00B72ECD">
            <w:pPr>
              <w:jc w:val="center"/>
            </w:pPr>
            <w:r>
              <w:rPr>
                <w:color w:val="000000"/>
                <w:kern w:val="0"/>
                <w:sz w:val="24"/>
                <w:szCs w:val="24"/>
              </w:rPr>
              <w:t>190206</w:t>
            </w:r>
          </w:p>
        </w:tc>
        <w:tc>
          <w:tcPr>
            <w:tcW w:w="1275" w:type="dxa"/>
            <w:vAlign w:val="center"/>
          </w:tcPr>
          <w:p w:rsidR="005E1455" w:rsidRDefault="00B72ECD">
            <w:pPr>
              <w:jc w:val="center"/>
            </w:pPr>
            <w:r>
              <w:rPr>
                <w:color w:val="000000"/>
                <w:kern w:val="0"/>
                <w:sz w:val="24"/>
                <w:szCs w:val="24"/>
              </w:rPr>
              <w:t>19</w:t>
            </w:r>
            <w:r>
              <w:rPr>
                <w:color w:val="000000"/>
                <w:kern w:val="0"/>
                <w:sz w:val="24"/>
                <w:szCs w:val="24"/>
              </w:rPr>
              <w:t>国开</w:t>
            </w:r>
            <w:r>
              <w:rPr>
                <w:color w:val="000000"/>
                <w:kern w:val="0"/>
                <w:sz w:val="24"/>
                <w:szCs w:val="24"/>
              </w:rPr>
              <w:t>06</w:t>
            </w:r>
          </w:p>
        </w:tc>
        <w:tc>
          <w:tcPr>
            <w:tcW w:w="1560" w:type="dxa"/>
            <w:vAlign w:val="center"/>
          </w:tcPr>
          <w:p w:rsidR="005E1455" w:rsidRDefault="00B72ECD">
            <w:pPr>
              <w:jc w:val="right"/>
            </w:pPr>
            <w:r>
              <w:rPr>
                <w:color w:val="000000"/>
                <w:kern w:val="0"/>
                <w:sz w:val="24"/>
                <w:szCs w:val="24"/>
              </w:rPr>
              <w:t>3,100,000</w:t>
            </w:r>
          </w:p>
        </w:tc>
        <w:tc>
          <w:tcPr>
            <w:tcW w:w="1984" w:type="dxa"/>
            <w:vAlign w:val="center"/>
          </w:tcPr>
          <w:p w:rsidR="005E1455" w:rsidRDefault="00B72ECD">
            <w:pPr>
              <w:jc w:val="right"/>
            </w:pPr>
            <w:r>
              <w:rPr>
                <w:color w:val="000000"/>
                <w:kern w:val="0"/>
                <w:sz w:val="24"/>
                <w:szCs w:val="24"/>
              </w:rPr>
              <w:t>309,907,000.00</w:t>
            </w:r>
          </w:p>
        </w:tc>
        <w:tc>
          <w:tcPr>
            <w:tcW w:w="1474" w:type="dxa"/>
            <w:vAlign w:val="center"/>
          </w:tcPr>
          <w:p w:rsidR="005E1455" w:rsidRDefault="00B72ECD">
            <w:pPr>
              <w:jc w:val="right"/>
            </w:pPr>
            <w:r>
              <w:rPr>
                <w:color w:val="000000"/>
                <w:kern w:val="0"/>
                <w:sz w:val="24"/>
                <w:szCs w:val="24"/>
              </w:rPr>
              <w:t>5.08</w:t>
            </w:r>
          </w:p>
        </w:tc>
      </w:tr>
      <w:tr w:rsidR="005E1455">
        <w:tc>
          <w:tcPr>
            <w:tcW w:w="959" w:type="dxa"/>
            <w:vAlign w:val="center"/>
          </w:tcPr>
          <w:p w:rsidR="005E1455" w:rsidRDefault="00B72ECD">
            <w:pPr>
              <w:jc w:val="center"/>
            </w:pPr>
            <w:r>
              <w:rPr>
                <w:color w:val="000000"/>
                <w:kern w:val="0"/>
                <w:sz w:val="24"/>
                <w:szCs w:val="24"/>
              </w:rPr>
              <w:t>2</w:t>
            </w:r>
          </w:p>
        </w:tc>
        <w:tc>
          <w:tcPr>
            <w:tcW w:w="1276" w:type="dxa"/>
            <w:vAlign w:val="center"/>
          </w:tcPr>
          <w:p w:rsidR="005E1455" w:rsidRDefault="00B72ECD">
            <w:pPr>
              <w:jc w:val="center"/>
            </w:pPr>
            <w:r>
              <w:rPr>
                <w:color w:val="000000"/>
                <w:kern w:val="0"/>
                <w:sz w:val="24"/>
                <w:szCs w:val="24"/>
              </w:rPr>
              <w:t>136766</w:t>
            </w:r>
          </w:p>
        </w:tc>
        <w:tc>
          <w:tcPr>
            <w:tcW w:w="1275" w:type="dxa"/>
            <w:vAlign w:val="center"/>
          </w:tcPr>
          <w:p w:rsidR="005E1455" w:rsidRDefault="00B72ECD">
            <w:pPr>
              <w:jc w:val="center"/>
            </w:pPr>
            <w:r>
              <w:rPr>
                <w:color w:val="000000"/>
                <w:kern w:val="0"/>
                <w:sz w:val="24"/>
                <w:szCs w:val="24"/>
              </w:rPr>
              <w:t>16</w:t>
            </w:r>
            <w:r>
              <w:rPr>
                <w:color w:val="000000"/>
                <w:kern w:val="0"/>
                <w:sz w:val="24"/>
                <w:szCs w:val="24"/>
              </w:rPr>
              <w:t>油服</w:t>
            </w:r>
            <w:r>
              <w:rPr>
                <w:color w:val="000000"/>
                <w:kern w:val="0"/>
                <w:sz w:val="24"/>
                <w:szCs w:val="24"/>
              </w:rPr>
              <w:t>03</w:t>
            </w:r>
          </w:p>
        </w:tc>
        <w:tc>
          <w:tcPr>
            <w:tcW w:w="1560" w:type="dxa"/>
            <w:vAlign w:val="center"/>
          </w:tcPr>
          <w:p w:rsidR="005E1455" w:rsidRDefault="00B72ECD">
            <w:pPr>
              <w:jc w:val="right"/>
            </w:pPr>
            <w:r>
              <w:rPr>
                <w:color w:val="000000"/>
                <w:kern w:val="0"/>
                <w:sz w:val="24"/>
                <w:szCs w:val="24"/>
              </w:rPr>
              <w:t>1,680,290</w:t>
            </w:r>
          </w:p>
        </w:tc>
        <w:tc>
          <w:tcPr>
            <w:tcW w:w="1984" w:type="dxa"/>
            <w:vAlign w:val="center"/>
          </w:tcPr>
          <w:p w:rsidR="005E1455" w:rsidRDefault="00B72ECD">
            <w:pPr>
              <w:jc w:val="right"/>
            </w:pPr>
            <w:r>
              <w:rPr>
                <w:color w:val="000000"/>
                <w:kern w:val="0"/>
                <w:sz w:val="24"/>
                <w:szCs w:val="24"/>
              </w:rPr>
              <w:t>168,029,000.00</w:t>
            </w:r>
          </w:p>
        </w:tc>
        <w:tc>
          <w:tcPr>
            <w:tcW w:w="1474" w:type="dxa"/>
            <w:vAlign w:val="center"/>
          </w:tcPr>
          <w:p w:rsidR="005E1455" w:rsidRDefault="00B72ECD">
            <w:pPr>
              <w:jc w:val="right"/>
            </w:pPr>
            <w:r>
              <w:rPr>
                <w:color w:val="000000"/>
                <w:kern w:val="0"/>
                <w:sz w:val="24"/>
                <w:szCs w:val="24"/>
              </w:rPr>
              <w:t>2.75</w:t>
            </w:r>
          </w:p>
        </w:tc>
      </w:tr>
      <w:tr w:rsidR="005E1455">
        <w:tc>
          <w:tcPr>
            <w:tcW w:w="959" w:type="dxa"/>
            <w:vAlign w:val="center"/>
          </w:tcPr>
          <w:p w:rsidR="005E1455" w:rsidRDefault="00B72ECD">
            <w:pPr>
              <w:jc w:val="center"/>
            </w:pPr>
            <w:r>
              <w:rPr>
                <w:color w:val="000000"/>
                <w:kern w:val="0"/>
                <w:sz w:val="24"/>
                <w:szCs w:val="24"/>
              </w:rPr>
              <w:t>3</w:t>
            </w:r>
          </w:p>
        </w:tc>
        <w:tc>
          <w:tcPr>
            <w:tcW w:w="1276" w:type="dxa"/>
            <w:vAlign w:val="center"/>
          </w:tcPr>
          <w:p w:rsidR="005E1455" w:rsidRDefault="00B72ECD">
            <w:pPr>
              <w:jc w:val="center"/>
            </w:pPr>
            <w:r>
              <w:rPr>
                <w:color w:val="000000"/>
                <w:kern w:val="0"/>
                <w:sz w:val="24"/>
                <w:szCs w:val="24"/>
              </w:rPr>
              <w:t>143364</w:t>
            </w:r>
          </w:p>
        </w:tc>
        <w:tc>
          <w:tcPr>
            <w:tcW w:w="1275" w:type="dxa"/>
            <w:vAlign w:val="center"/>
          </w:tcPr>
          <w:p w:rsidR="005E1455" w:rsidRDefault="00B72ECD">
            <w:pPr>
              <w:jc w:val="center"/>
            </w:pPr>
            <w:r>
              <w:rPr>
                <w:color w:val="000000"/>
                <w:kern w:val="0"/>
                <w:sz w:val="24"/>
                <w:szCs w:val="24"/>
              </w:rPr>
              <w:t>17</w:t>
            </w:r>
            <w:r>
              <w:rPr>
                <w:color w:val="000000"/>
                <w:kern w:val="0"/>
                <w:sz w:val="24"/>
                <w:szCs w:val="24"/>
              </w:rPr>
              <w:t>北控</w:t>
            </w:r>
            <w:r>
              <w:rPr>
                <w:color w:val="000000"/>
                <w:kern w:val="0"/>
                <w:sz w:val="24"/>
                <w:szCs w:val="24"/>
              </w:rPr>
              <w:t>02</w:t>
            </w:r>
          </w:p>
        </w:tc>
        <w:tc>
          <w:tcPr>
            <w:tcW w:w="1560" w:type="dxa"/>
            <w:vAlign w:val="center"/>
          </w:tcPr>
          <w:p w:rsidR="005E1455" w:rsidRDefault="00B72ECD">
            <w:pPr>
              <w:jc w:val="right"/>
            </w:pPr>
            <w:r>
              <w:rPr>
                <w:color w:val="000000"/>
                <w:kern w:val="0"/>
                <w:sz w:val="24"/>
                <w:szCs w:val="24"/>
              </w:rPr>
              <w:t>1,500,000</w:t>
            </w:r>
          </w:p>
        </w:tc>
        <w:tc>
          <w:tcPr>
            <w:tcW w:w="1984" w:type="dxa"/>
            <w:vAlign w:val="center"/>
          </w:tcPr>
          <w:p w:rsidR="005E1455" w:rsidRDefault="00B72ECD">
            <w:pPr>
              <w:jc w:val="right"/>
            </w:pPr>
            <w:r>
              <w:rPr>
                <w:color w:val="000000"/>
                <w:kern w:val="0"/>
                <w:sz w:val="24"/>
                <w:szCs w:val="24"/>
              </w:rPr>
              <w:t>156,120,000.00</w:t>
            </w:r>
          </w:p>
        </w:tc>
        <w:tc>
          <w:tcPr>
            <w:tcW w:w="1474" w:type="dxa"/>
            <w:vAlign w:val="center"/>
          </w:tcPr>
          <w:p w:rsidR="005E1455" w:rsidRDefault="00B72ECD">
            <w:pPr>
              <w:jc w:val="right"/>
            </w:pPr>
            <w:r>
              <w:rPr>
                <w:color w:val="000000"/>
                <w:kern w:val="0"/>
                <w:sz w:val="24"/>
                <w:szCs w:val="24"/>
              </w:rPr>
              <w:t>2.56</w:t>
            </w:r>
          </w:p>
        </w:tc>
      </w:tr>
      <w:tr w:rsidR="005E1455">
        <w:tc>
          <w:tcPr>
            <w:tcW w:w="959" w:type="dxa"/>
            <w:vAlign w:val="center"/>
          </w:tcPr>
          <w:p w:rsidR="005E1455" w:rsidRDefault="00B72ECD">
            <w:pPr>
              <w:jc w:val="center"/>
            </w:pPr>
            <w:r>
              <w:rPr>
                <w:color w:val="000000"/>
                <w:kern w:val="0"/>
                <w:sz w:val="24"/>
                <w:szCs w:val="24"/>
              </w:rPr>
              <w:t>4</w:t>
            </w:r>
          </w:p>
        </w:tc>
        <w:tc>
          <w:tcPr>
            <w:tcW w:w="1276" w:type="dxa"/>
            <w:vAlign w:val="center"/>
          </w:tcPr>
          <w:p w:rsidR="005E1455" w:rsidRDefault="00B72ECD">
            <w:pPr>
              <w:jc w:val="center"/>
            </w:pPr>
            <w:r>
              <w:rPr>
                <w:color w:val="000000"/>
                <w:kern w:val="0"/>
                <w:sz w:val="24"/>
                <w:szCs w:val="24"/>
              </w:rPr>
              <w:t>143690</w:t>
            </w:r>
          </w:p>
        </w:tc>
        <w:tc>
          <w:tcPr>
            <w:tcW w:w="1275" w:type="dxa"/>
            <w:vAlign w:val="center"/>
          </w:tcPr>
          <w:p w:rsidR="005E1455" w:rsidRDefault="00B72ECD">
            <w:pPr>
              <w:jc w:val="center"/>
            </w:pPr>
            <w:r>
              <w:rPr>
                <w:color w:val="000000"/>
                <w:kern w:val="0"/>
                <w:sz w:val="24"/>
                <w:szCs w:val="24"/>
              </w:rPr>
              <w:t>18</w:t>
            </w:r>
            <w:r>
              <w:rPr>
                <w:color w:val="000000"/>
                <w:kern w:val="0"/>
                <w:sz w:val="24"/>
                <w:szCs w:val="24"/>
              </w:rPr>
              <w:t>齐鲁</w:t>
            </w:r>
            <w:r>
              <w:rPr>
                <w:color w:val="000000"/>
                <w:kern w:val="0"/>
                <w:sz w:val="24"/>
                <w:szCs w:val="24"/>
              </w:rPr>
              <w:t>01</w:t>
            </w:r>
          </w:p>
        </w:tc>
        <w:tc>
          <w:tcPr>
            <w:tcW w:w="1560" w:type="dxa"/>
            <w:vAlign w:val="center"/>
          </w:tcPr>
          <w:p w:rsidR="005E1455" w:rsidRDefault="00B72ECD">
            <w:pPr>
              <w:jc w:val="right"/>
            </w:pPr>
            <w:r>
              <w:rPr>
                <w:color w:val="000000"/>
                <w:kern w:val="0"/>
                <w:sz w:val="24"/>
                <w:szCs w:val="24"/>
              </w:rPr>
              <w:t>1,500,000</w:t>
            </w:r>
          </w:p>
        </w:tc>
        <w:tc>
          <w:tcPr>
            <w:tcW w:w="1984" w:type="dxa"/>
            <w:vAlign w:val="center"/>
          </w:tcPr>
          <w:p w:rsidR="005E1455" w:rsidRDefault="00B72ECD">
            <w:pPr>
              <w:jc w:val="right"/>
            </w:pPr>
            <w:r>
              <w:rPr>
                <w:color w:val="000000"/>
                <w:kern w:val="0"/>
                <w:sz w:val="24"/>
                <w:szCs w:val="24"/>
              </w:rPr>
              <w:t>155,370,000.00</w:t>
            </w:r>
          </w:p>
        </w:tc>
        <w:tc>
          <w:tcPr>
            <w:tcW w:w="1474" w:type="dxa"/>
            <w:vAlign w:val="center"/>
          </w:tcPr>
          <w:p w:rsidR="005E1455" w:rsidRDefault="00B72ECD">
            <w:pPr>
              <w:jc w:val="right"/>
            </w:pPr>
            <w:r>
              <w:rPr>
                <w:color w:val="000000"/>
                <w:kern w:val="0"/>
                <w:sz w:val="24"/>
                <w:szCs w:val="24"/>
              </w:rPr>
              <w:t>2.55</w:t>
            </w:r>
          </w:p>
        </w:tc>
      </w:tr>
      <w:tr w:rsidR="005E1455">
        <w:tc>
          <w:tcPr>
            <w:tcW w:w="959" w:type="dxa"/>
            <w:vAlign w:val="center"/>
          </w:tcPr>
          <w:p w:rsidR="005E1455" w:rsidRDefault="00B72ECD">
            <w:pPr>
              <w:jc w:val="center"/>
            </w:pPr>
            <w:r>
              <w:rPr>
                <w:color w:val="000000"/>
                <w:kern w:val="0"/>
                <w:sz w:val="24"/>
                <w:szCs w:val="24"/>
              </w:rPr>
              <w:t>5</w:t>
            </w:r>
          </w:p>
        </w:tc>
        <w:tc>
          <w:tcPr>
            <w:tcW w:w="1276" w:type="dxa"/>
            <w:vAlign w:val="center"/>
          </w:tcPr>
          <w:p w:rsidR="005E1455" w:rsidRDefault="00B72ECD">
            <w:pPr>
              <w:jc w:val="center"/>
            </w:pPr>
            <w:r>
              <w:rPr>
                <w:color w:val="000000"/>
                <w:kern w:val="0"/>
                <w:sz w:val="24"/>
                <w:szCs w:val="24"/>
              </w:rPr>
              <w:t>136767</w:t>
            </w:r>
          </w:p>
        </w:tc>
        <w:tc>
          <w:tcPr>
            <w:tcW w:w="1275" w:type="dxa"/>
            <w:vAlign w:val="center"/>
          </w:tcPr>
          <w:p w:rsidR="005E1455" w:rsidRDefault="00B72ECD">
            <w:pPr>
              <w:jc w:val="center"/>
            </w:pPr>
            <w:r>
              <w:rPr>
                <w:color w:val="000000"/>
                <w:kern w:val="0"/>
                <w:sz w:val="24"/>
                <w:szCs w:val="24"/>
              </w:rPr>
              <w:t>16</w:t>
            </w:r>
            <w:r>
              <w:rPr>
                <w:color w:val="000000"/>
                <w:kern w:val="0"/>
                <w:sz w:val="24"/>
                <w:szCs w:val="24"/>
              </w:rPr>
              <w:t>油服</w:t>
            </w:r>
            <w:r>
              <w:rPr>
                <w:color w:val="000000"/>
                <w:kern w:val="0"/>
                <w:sz w:val="24"/>
                <w:szCs w:val="24"/>
              </w:rPr>
              <w:t>04</w:t>
            </w:r>
          </w:p>
        </w:tc>
        <w:tc>
          <w:tcPr>
            <w:tcW w:w="1560" w:type="dxa"/>
            <w:vAlign w:val="center"/>
          </w:tcPr>
          <w:p w:rsidR="005E1455" w:rsidRDefault="00B72ECD">
            <w:pPr>
              <w:jc w:val="right"/>
            </w:pPr>
            <w:r>
              <w:rPr>
                <w:color w:val="000000"/>
                <w:kern w:val="0"/>
                <w:sz w:val="24"/>
                <w:szCs w:val="24"/>
              </w:rPr>
              <w:t>1,500,000</w:t>
            </w:r>
          </w:p>
        </w:tc>
        <w:tc>
          <w:tcPr>
            <w:tcW w:w="1984" w:type="dxa"/>
            <w:vAlign w:val="center"/>
          </w:tcPr>
          <w:p w:rsidR="005E1455" w:rsidRDefault="00B72ECD">
            <w:pPr>
              <w:jc w:val="right"/>
            </w:pPr>
            <w:r>
              <w:rPr>
                <w:color w:val="000000"/>
                <w:kern w:val="0"/>
                <w:sz w:val="24"/>
                <w:szCs w:val="24"/>
              </w:rPr>
              <w:t>149,415,000.00</w:t>
            </w:r>
          </w:p>
        </w:tc>
        <w:tc>
          <w:tcPr>
            <w:tcW w:w="1474" w:type="dxa"/>
            <w:vAlign w:val="center"/>
          </w:tcPr>
          <w:p w:rsidR="005E1455" w:rsidRDefault="00B72ECD">
            <w:pPr>
              <w:jc w:val="right"/>
            </w:pPr>
            <w:r>
              <w:rPr>
                <w:color w:val="000000"/>
                <w:kern w:val="0"/>
                <w:sz w:val="24"/>
                <w:szCs w:val="24"/>
              </w:rPr>
              <w:t>2.45</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5.11.2本基金本报告期没有投资股票，因此不存在投资的前十名股票超出基金合同规定的备选股票库情况。</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158,305.40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5,095,625.04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121,928,825.23</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127,182,755.67</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5,969,915,140.51</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5,969,915,140.51</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AC11B0" w:rsidRPr="005A564A" w:rsidRDefault="00AC11B0" w:rsidP="00AC11B0">
      <w:pPr>
        <w:autoSpaceDE w:val="0"/>
        <w:autoSpaceDN w:val="0"/>
        <w:adjustRightInd w:val="0"/>
        <w:spacing w:before="29" w:line="360" w:lineRule="auto"/>
        <w:ind w:left="15"/>
        <w:jc w:val="right"/>
        <w:rPr>
          <w:sz w:val="24"/>
        </w:rPr>
      </w:pPr>
      <w:r w:rsidRPr="005A564A">
        <w:rPr>
          <w:sz w:val="24"/>
        </w:rPr>
        <w:t>单位：份</w:t>
      </w:r>
    </w:p>
    <w:tbl>
      <w:tblPr>
        <w:tblW w:w="8415" w:type="dxa"/>
        <w:tblInd w:w="108" w:type="dxa"/>
        <w:tblLayout w:type="fixed"/>
        <w:tblLook w:val="04A0" w:firstRow="1" w:lastRow="0" w:firstColumn="1" w:lastColumn="0" w:noHBand="0" w:noVBand="1"/>
      </w:tblPr>
      <w:tblGrid>
        <w:gridCol w:w="5037"/>
        <w:gridCol w:w="3378"/>
      </w:tblGrid>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pStyle w:val="ad"/>
              <w:adjustRightInd w:val="0"/>
              <w:snapToGrid w:val="0"/>
              <w:spacing w:line="360" w:lineRule="exact"/>
              <w:rPr>
                <w:rFonts w:eastAsiaTheme="minorEastAsia"/>
                <w:color w:val="000000" w:themeColor="text1"/>
              </w:rPr>
            </w:pPr>
            <w:r w:rsidRPr="003B42FF">
              <w:rPr>
                <w:rFonts w:eastAsiaTheme="minorEastAsia"/>
                <w:color w:val="000000" w:themeColor="text1"/>
              </w:rPr>
              <w:t>报告期期初管理人持有的本基金份额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10,000,000.00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买入</w:t>
            </w:r>
            <w:r w:rsidRPr="003B42FF">
              <w:rPr>
                <w:rFonts w:eastAsiaTheme="minorEastAsia"/>
                <w:color w:val="000000" w:themeColor="text1"/>
                <w:sz w:val="24"/>
                <w:szCs w:val="24"/>
              </w:rPr>
              <w:t>/</w:t>
            </w:r>
            <w:r w:rsidRPr="003B42FF">
              <w:rPr>
                <w:rFonts w:eastAsiaTheme="minorEastAsia"/>
                <w:color w:val="000000" w:themeColor="text1"/>
                <w:sz w:val="24"/>
                <w:szCs w:val="24"/>
              </w:rPr>
              <w:t>申购总份额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卖出</w:t>
            </w:r>
            <w:r w:rsidRPr="003B42FF">
              <w:rPr>
                <w:rFonts w:eastAsiaTheme="minorEastAsia"/>
                <w:color w:val="000000" w:themeColor="text1"/>
                <w:sz w:val="24"/>
                <w:szCs w:val="24"/>
              </w:rPr>
              <w:t>/</w:t>
            </w:r>
            <w:r w:rsidRPr="003B42FF">
              <w:rPr>
                <w:rFonts w:eastAsiaTheme="minorEastAsia"/>
                <w:color w:val="000000" w:themeColor="text1"/>
                <w:sz w:val="24"/>
                <w:szCs w:val="24"/>
              </w:rPr>
              <w:t>赎回总份额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10,000,000.00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报告期期末持有的本基金份额占基金总份额比例（</w:t>
            </w:r>
            <w:r w:rsidRPr="003B42FF">
              <w:rPr>
                <w:rFonts w:eastAsiaTheme="minorEastAsia"/>
                <w:color w:val="000000" w:themeColor="text1"/>
                <w:sz w:val="24"/>
                <w:szCs w:val="24"/>
              </w:rPr>
              <w:t>%</w:t>
            </w:r>
            <w:r w:rsidRPr="003B42FF">
              <w:rPr>
                <w:rFonts w:eastAsiaTheme="minorEastAsia"/>
                <w:color w:val="000000" w:themeColor="text1"/>
                <w:sz w:val="24"/>
                <w:szCs w:val="24"/>
              </w:rPr>
              <w:t>）</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0.17</w:t>
            </w:r>
          </w:p>
        </w:tc>
      </w:tr>
    </w:tbl>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Pr>
          <w:rFonts w:ascii="宋体" w:hAnsi="宋体" w:hint="eastAsia"/>
          <w:color w:val="000000"/>
          <w:kern w:val="0"/>
          <w:sz w:val="24"/>
          <w:szCs w:val="24"/>
        </w:rPr>
        <w:t>报告期末</w:t>
      </w:r>
      <w:r w:rsidRPr="00264E55">
        <w:rPr>
          <w:rFonts w:ascii="宋体" w:hAnsi="宋体" w:hint="eastAsia"/>
          <w:color w:val="000000"/>
          <w:kern w:val="0"/>
          <w:sz w:val="24"/>
          <w:szCs w:val="24"/>
        </w:rPr>
        <w:t>发起式基金发起资金持有份额情况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843"/>
        <w:gridCol w:w="1276"/>
        <w:gridCol w:w="1984"/>
        <w:gridCol w:w="1276"/>
        <w:gridCol w:w="941"/>
      </w:tblGrid>
      <w:tr w:rsidR="00750D48" w:rsidRPr="00264E55" w:rsidTr="00507F99">
        <w:trPr>
          <w:trHeight w:val="543"/>
          <w:jc w:val="center"/>
        </w:trPr>
        <w:tc>
          <w:tcPr>
            <w:tcW w:w="1560" w:type="dxa"/>
            <w:vAlign w:val="center"/>
          </w:tcPr>
          <w:p w:rsidR="00750D48" w:rsidRPr="00B227EA" w:rsidRDefault="00750D48" w:rsidP="00597E49">
            <w:pPr>
              <w:widowControl/>
              <w:jc w:val="left"/>
              <w:rPr>
                <w:color w:val="000000"/>
                <w:sz w:val="24"/>
                <w:szCs w:val="24"/>
              </w:rPr>
            </w:pPr>
            <w:r w:rsidRPr="00B227EA">
              <w:rPr>
                <w:color w:val="000000"/>
                <w:sz w:val="24"/>
                <w:szCs w:val="24"/>
              </w:rPr>
              <w:t>项目</w:t>
            </w:r>
          </w:p>
        </w:tc>
        <w:tc>
          <w:tcPr>
            <w:tcW w:w="1843"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持有份额总数</w:t>
            </w:r>
          </w:p>
        </w:tc>
        <w:tc>
          <w:tcPr>
            <w:tcW w:w="1276"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持有份额占基金总份额比例</w:t>
            </w:r>
          </w:p>
        </w:tc>
        <w:tc>
          <w:tcPr>
            <w:tcW w:w="1984"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发起份额总数</w:t>
            </w:r>
          </w:p>
        </w:tc>
        <w:tc>
          <w:tcPr>
            <w:tcW w:w="1276"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发起份额占基金总份额比例</w:t>
            </w:r>
          </w:p>
        </w:tc>
        <w:tc>
          <w:tcPr>
            <w:tcW w:w="941" w:type="dxa"/>
          </w:tcPr>
          <w:p w:rsidR="00750D48" w:rsidRPr="00B227EA" w:rsidRDefault="00750D48" w:rsidP="00597E49">
            <w:pPr>
              <w:widowControl/>
              <w:jc w:val="left"/>
              <w:rPr>
                <w:color w:val="000000"/>
                <w:sz w:val="24"/>
                <w:szCs w:val="24"/>
              </w:rPr>
            </w:pPr>
            <w:r w:rsidRPr="00B227EA">
              <w:rPr>
                <w:color w:val="000000"/>
                <w:sz w:val="24"/>
                <w:szCs w:val="24"/>
              </w:rPr>
              <w:t>发起份额承诺持有期限</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基金管理人固有资金</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0.1675%</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0.1675%</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不少于</w:t>
            </w:r>
            <w:r w:rsidRPr="00B227EA">
              <w:rPr>
                <w:kern w:val="0"/>
                <w:sz w:val="24"/>
                <w:szCs w:val="24"/>
              </w:rPr>
              <w:t>3</w:t>
            </w:r>
            <w:r w:rsidRPr="00B227EA">
              <w:rPr>
                <w:kern w:val="0"/>
                <w:sz w:val="24"/>
                <w:szCs w:val="24"/>
              </w:rPr>
              <w:t>年</w:t>
            </w:r>
          </w:p>
        </w:tc>
      </w:tr>
      <w:tr w:rsidR="00750D48" w:rsidRPr="00264E55" w:rsidTr="00507F99">
        <w:trPr>
          <w:trHeight w:val="790"/>
          <w:jc w:val="center"/>
        </w:trPr>
        <w:tc>
          <w:tcPr>
            <w:tcW w:w="1560"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基金管理人高级管理人员</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基金经理等人员</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基金管理人股东</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其他</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合计</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0.1675%</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0.1675%</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bl>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9</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9.1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5E1455">
        <w:trPr>
          <w:jc w:val="center"/>
        </w:trPr>
        <w:tc>
          <w:tcPr>
            <w:tcW w:w="1798" w:type="dxa"/>
            <w:vMerge w:val="restart"/>
            <w:vAlign w:val="center"/>
          </w:tcPr>
          <w:p w:rsidR="005E1455" w:rsidRDefault="00B72ECD">
            <w:r>
              <w:rPr>
                <w:rFonts w:eastAsiaTheme="minorEastAsia"/>
                <w:bCs/>
                <w:color w:val="000000" w:themeColor="text1"/>
                <w:sz w:val="24"/>
                <w:szCs w:val="24"/>
              </w:rPr>
              <w:t>机构</w:t>
            </w:r>
          </w:p>
        </w:tc>
        <w:tc>
          <w:tcPr>
            <w:tcW w:w="709" w:type="dxa"/>
            <w:vAlign w:val="center"/>
          </w:tcPr>
          <w:p w:rsidR="005E1455" w:rsidRDefault="00B72ECD">
            <w:pPr>
              <w:jc w:val="center"/>
            </w:pPr>
            <w:r>
              <w:rPr>
                <w:sz w:val="24"/>
                <w:szCs w:val="24"/>
              </w:rPr>
              <w:t>1</w:t>
            </w:r>
          </w:p>
        </w:tc>
        <w:tc>
          <w:tcPr>
            <w:tcW w:w="1985" w:type="dxa"/>
            <w:vAlign w:val="center"/>
          </w:tcPr>
          <w:p w:rsidR="005E1455" w:rsidRDefault="00B72ECD">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5E1455" w:rsidRDefault="00B72ECD">
            <w:pPr>
              <w:jc w:val="center"/>
            </w:pPr>
            <w:r>
              <w:rPr>
                <w:sz w:val="24"/>
                <w:szCs w:val="24"/>
              </w:rPr>
              <w:t>5,959,915,140.51</w:t>
            </w:r>
          </w:p>
        </w:tc>
        <w:tc>
          <w:tcPr>
            <w:tcW w:w="992" w:type="dxa"/>
            <w:vAlign w:val="center"/>
          </w:tcPr>
          <w:p w:rsidR="005E1455" w:rsidRDefault="00B72ECD">
            <w:pPr>
              <w:jc w:val="center"/>
            </w:pPr>
            <w:r>
              <w:rPr>
                <w:sz w:val="24"/>
                <w:szCs w:val="24"/>
              </w:rPr>
              <w:t>-</w:t>
            </w:r>
          </w:p>
        </w:tc>
        <w:tc>
          <w:tcPr>
            <w:tcW w:w="1134" w:type="dxa"/>
            <w:vAlign w:val="center"/>
          </w:tcPr>
          <w:p w:rsidR="005E1455" w:rsidRDefault="00B72ECD">
            <w:pPr>
              <w:jc w:val="center"/>
            </w:pPr>
            <w:r>
              <w:rPr>
                <w:sz w:val="24"/>
                <w:szCs w:val="24"/>
              </w:rPr>
              <w:t>-</w:t>
            </w:r>
          </w:p>
        </w:tc>
        <w:tc>
          <w:tcPr>
            <w:tcW w:w="1037" w:type="dxa"/>
            <w:vAlign w:val="center"/>
          </w:tcPr>
          <w:p w:rsidR="005E1455" w:rsidRDefault="00B72ECD">
            <w:pPr>
              <w:jc w:val="center"/>
            </w:pPr>
            <w:r>
              <w:rPr>
                <w:sz w:val="24"/>
                <w:szCs w:val="24"/>
              </w:rPr>
              <w:t>5,959,915,140.51</w:t>
            </w:r>
          </w:p>
        </w:tc>
        <w:tc>
          <w:tcPr>
            <w:tcW w:w="851" w:type="dxa"/>
            <w:vAlign w:val="center"/>
          </w:tcPr>
          <w:p w:rsidR="005E1455" w:rsidRDefault="00B72ECD">
            <w:pPr>
              <w:jc w:val="center"/>
            </w:pPr>
            <w:r>
              <w:rPr>
                <w:sz w:val="24"/>
                <w:szCs w:val="24"/>
              </w:rPr>
              <w:t>99.83%</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本基金基金合同生效满三年后继续存续时，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9.2 影响投资者决策的其他重要信息</w:t>
      </w:r>
    </w:p>
    <w:p w:rsidR="005E1455" w:rsidRDefault="00B72ECD">
      <w:pPr>
        <w:spacing w:line="360" w:lineRule="auto"/>
        <w:ind w:firstLineChars="200" w:firstLine="480"/>
        <w:rPr>
          <w:color w:val="000000"/>
          <w:sz w:val="24"/>
          <w:szCs w:val="24"/>
        </w:rPr>
      </w:pPr>
      <w:r>
        <w:rPr>
          <w:rFonts w:eastAsiaTheme="minorEastAsia"/>
          <w:color w:val="000000" w:themeColor="text1"/>
          <w:sz w:val="24"/>
          <w:szCs w:val="24"/>
        </w:rPr>
        <w:t>1</w:t>
      </w:r>
      <w:r>
        <w:rPr>
          <w:rFonts w:eastAsiaTheme="minorEastAsia"/>
          <w:color w:val="000000" w:themeColor="text1"/>
          <w:sz w:val="24"/>
          <w:szCs w:val="24"/>
        </w:rPr>
        <w:t>、定期开放运作的风险</w:t>
      </w:r>
    </w:p>
    <w:p w:rsidR="005E1455" w:rsidRDefault="00B72ECD">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1</w:t>
      </w:r>
      <w:r>
        <w:rPr>
          <w:rFonts w:eastAsiaTheme="minorEastAsia"/>
          <w:color w:val="000000" w:themeColor="text1"/>
          <w:sz w:val="24"/>
          <w:szCs w:val="24"/>
        </w:rPr>
        <w:t>）本基金以定期开放方式运作且不上市交易，投资者仅可在开放运作期申赎基金份额，在封闭运作期内无法申购赎回。若投资者在开放运作期未赎回基金份额，则需继续持有至下一封闭运作期结束才能赎回，投资者在封闭运作期内存在无法赎回基金份额的风险。</w:t>
      </w:r>
    </w:p>
    <w:p w:rsidR="005E1455" w:rsidRDefault="00B72ECD">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2</w:t>
      </w:r>
      <w:r>
        <w:rPr>
          <w:rFonts w:eastAsiaTheme="minorEastAsia"/>
          <w:color w:val="000000" w:themeColor="text1"/>
          <w:sz w:val="24"/>
          <w:szCs w:val="24"/>
        </w:rPr>
        <w:t>）基金合同生效后的首个运作期为封闭运作期，自基金合同生效日至基金管理人规定的时间，首个封闭运作期可能少于或者超过</w:t>
      </w:r>
      <w:r>
        <w:rPr>
          <w:rFonts w:eastAsiaTheme="minorEastAsia"/>
          <w:color w:val="000000" w:themeColor="text1"/>
          <w:sz w:val="24"/>
          <w:szCs w:val="24"/>
        </w:rPr>
        <w:t>6</w:t>
      </w:r>
      <w:r>
        <w:rPr>
          <w:rFonts w:eastAsiaTheme="minorEastAsia"/>
          <w:color w:val="000000" w:themeColor="text1"/>
          <w:sz w:val="24"/>
          <w:szCs w:val="24"/>
        </w:rPr>
        <w:t>个月，投资者应仔细阅读相关法律文件及公告，并及时行使相关权利。</w:t>
      </w:r>
    </w:p>
    <w:p w:rsidR="005E1455" w:rsidRDefault="00B72ECD">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3</w:t>
      </w:r>
      <w:r>
        <w:rPr>
          <w:rFonts w:eastAsiaTheme="minorEastAsia"/>
          <w:color w:val="000000" w:themeColor="text1"/>
          <w:sz w:val="24"/>
          <w:szCs w:val="24"/>
        </w:rPr>
        <w:t>）除首个运作期封闭运作外，本基金的运作期包含</w:t>
      </w:r>
      <w:r>
        <w:rPr>
          <w:rFonts w:eastAsiaTheme="minorEastAsia"/>
          <w:color w:val="000000" w:themeColor="text1"/>
          <w:sz w:val="24"/>
          <w:szCs w:val="24"/>
        </w:rPr>
        <w:t>“</w:t>
      </w:r>
      <w:r>
        <w:rPr>
          <w:rFonts w:eastAsiaTheme="minorEastAsia"/>
          <w:color w:val="000000" w:themeColor="text1"/>
          <w:sz w:val="24"/>
          <w:szCs w:val="24"/>
        </w:rPr>
        <w:t>封闭运作期</w:t>
      </w:r>
      <w:r>
        <w:rPr>
          <w:rFonts w:eastAsiaTheme="minorEastAsia"/>
          <w:color w:val="000000" w:themeColor="text1"/>
          <w:sz w:val="24"/>
          <w:szCs w:val="24"/>
        </w:rPr>
        <w:t>”</w:t>
      </w:r>
      <w:r>
        <w:rPr>
          <w:rFonts w:eastAsiaTheme="minorEastAsia"/>
          <w:color w:val="000000" w:themeColor="text1"/>
          <w:sz w:val="24"/>
          <w:szCs w:val="24"/>
        </w:rPr>
        <w:t>和</w:t>
      </w:r>
      <w:r>
        <w:rPr>
          <w:rFonts w:eastAsiaTheme="minorEastAsia"/>
          <w:color w:val="000000" w:themeColor="text1"/>
          <w:sz w:val="24"/>
          <w:szCs w:val="24"/>
        </w:rPr>
        <w:t>“</w:t>
      </w:r>
      <w:r>
        <w:rPr>
          <w:rFonts w:eastAsiaTheme="minorEastAsia"/>
          <w:color w:val="000000" w:themeColor="text1"/>
          <w:sz w:val="24"/>
          <w:szCs w:val="24"/>
        </w:rPr>
        <w:t>开放运作期</w:t>
      </w:r>
      <w:r>
        <w:rPr>
          <w:rFonts w:eastAsiaTheme="minorEastAsia"/>
          <w:color w:val="000000" w:themeColor="text1"/>
          <w:sz w:val="24"/>
          <w:szCs w:val="24"/>
        </w:rPr>
        <w:t>”</w:t>
      </w:r>
      <w:r>
        <w:rPr>
          <w:rFonts w:eastAsiaTheme="minorEastAsia"/>
          <w:color w:val="000000" w:themeColor="text1"/>
          <w:sz w:val="24"/>
          <w:szCs w:val="24"/>
        </w:rPr>
        <w:t>，运作期期限</w:t>
      </w:r>
      <w:r>
        <w:rPr>
          <w:rFonts w:eastAsiaTheme="minorEastAsia"/>
          <w:color w:val="000000" w:themeColor="text1"/>
          <w:sz w:val="24"/>
          <w:szCs w:val="24"/>
        </w:rPr>
        <w:t>6</w:t>
      </w:r>
      <w:r>
        <w:rPr>
          <w:rFonts w:eastAsiaTheme="minorEastAsia"/>
          <w:color w:val="000000" w:themeColor="text1"/>
          <w:sz w:val="24"/>
          <w:szCs w:val="24"/>
        </w:rPr>
        <w:t>个月，基金管理人在每个封闭运作期结束前公布开放运作期和下一封闭运作期的具体时间安排，由于市场环境等因素的影响，本基金每次开放运作期和封闭运作期的时间及长度不完全一样，投资者应关注相关公告并及时行使权利，否则会面临无法申购</w:t>
      </w:r>
      <w:r>
        <w:rPr>
          <w:rFonts w:eastAsiaTheme="minorEastAsia"/>
          <w:color w:val="000000" w:themeColor="text1"/>
          <w:sz w:val="24"/>
          <w:szCs w:val="24"/>
        </w:rPr>
        <w:t>/</w:t>
      </w:r>
      <w:r>
        <w:rPr>
          <w:rFonts w:eastAsiaTheme="minorEastAsia"/>
          <w:color w:val="000000" w:themeColor="text1"/>
          <w:sz w:val="24"/>
          <w:szCs w:val="24"/>
        </w:rPr>
        <w:t>赎回基金份额的风</w:t>
      </w:r>
      <w:r>
        <w:rPr>
          <w:rFonts w:eastAsiaTheme="minorEastAsia"/>
          <w:color w:val="000000" w:themeColor="text1"/>
          <w:sz w:val="24"/>
          <w:szCs w:val="24"/>
        </w:rPr>
        <w:t>险。</w:t>
      </w:r>
    </w:p>
    <w:p w:rsidR="005E1455" w:rsidRDefault="00B72ECD">
      <w:pPr>
        <w:spacing w:line="360" w:lineRule="auto"/>
        <w:ind w:firstLineChars="200" w:firstLine="480"/>
        <w:rPr>
          <w:color w:val="000000"/>
          <w:sz w:val="24"/>
          <w:szCs w:val="24"/>
        </w:rPr>
      </w:pPr>
      <w:r>
        <w:rPr>
          <w:rFonts w:eastAsiaTheme="minorEastAsia"/>
          <w:color w:val="000000" w:themeColor="text1"/>
          <w:sz w:val="24"/>
          <w:szCs w:val="24"/>
        </w:rPr>
        <w:t>2</w:t>
      </w:r>
      <w:r>
        <w:rPr>
          <w:rFonts w:eastAsiaTheme="minorEastAsia"/>
          <w:color w:val="000000" w:themeColor="text1"/>
          <w:sz w:val="24"/>
          <w:szCs w:val="24"/>
        </w:rPr>
        <w:t>、单一投资者或者构成一致行动人的多个投资者持有基金份额可达到或者超过</w:t>
      </w:r>
      <w:r>
        <w:rPr>
          <w:rFonts w:eastAsiaTheme="minorEastAsia"/>
          <w:color w:val="000000" w:themeColor="text1"/>
          <w:sz w:val="24"/>
          <w:szCs w:val="24"/>
        </w:rPr>
        <w:t>50%</w:t>
      </w:r>
      <w:r>
        <w:rPr>
          <w:rFonts w:eastAsiaTheme="minorEastAsia"/>
          <w:color w:val="000000" w:themeColor="text1"/>
          <w:sz w:val="24"/>
          <w:szCs w:val="24"/>
        </w:rPr>
        <w:t>的风险</w:t>
      </w:r>
    </w:p>
    <w:p w:rsidR="005E1455" w:rsidRDefault="00B72ECD">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1</w:t>
      </w:r>
      <w:r>
        <w:rPr>
          <w:rFonts w:eastAsiaTheme="minorEastAsia"/>
          <w:color w:val="000000" w:themeColor="text1"/>
          <w:sz w:val="24"/>
          <w:szCs w:val="24"/>
        </w:rPr>
        <w:t>）本基金单一投资者或者构成一致行动人的多个投资者持有基金份额可达到或者超过</w:t>
      </w:r>
      <w:r>
        <w:rPr>
          <w:rFonts w:eastAsiaTheme="minorEastAsia"/>
          <w:color w:val="000000" w:themeColor="text1"/>
          <w:sz w:val="24"/>
          <w:szCs w:val="24"/>
        </w:rPr>
        <w:t>50%</w:t>
      </w:r>
      <w:r>
        <w:rPr>
          <w:rFonts w:eastAsiaTheme="minorEastAsia"/>
          <w:color w:val="000000" w:themeColor="text1"/>
          <w:sz w:val="24"/>
          <w:szCs w:val="24"/>
        </w:rPr>
        <w:t>，单一投资者或者构成一致行动人的多个投资者大额赎回时，可能会对本基金资产运作及净值表现产生较大影响。</w:t>
      </w:r>
    </w:p>
    <w:p w:rsidR="005E1455" w:rsidRDefault="00B72ECD">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2</w:t>
      </w:r>
      <w:r>
        <w:rPr>
          <w:rFonts w:eastAsiaTheme="minorEastAsia"/>
          <w:color w:val="000000" w:themeColor="text1"/>
          <w:sz w:val="24"/>
          <w:szCs w:val="24"/>
        </w:rPr>
        <w:t>）巨额赎回的风险</w:t>
      </w:r>
    </w:p>
    <w:p w:rsidR="005E1455" w:rsidRDefault="00B72ECD">
      <w:pPr>
        <w:spacing w:line="360" w:lineRule="auto"/>
        <w:ind w:firstLineChars="200" w:firstLine="480"/>
        <w:rPr>
          <w:color w:val="000000"/>
          <w:sz w:val="24"/>
          <w:szCs w:val="24"/>
        </w:rPr>
      </w:pPr>
      <w:r>
        <w:rPr>
          <w:rFonts w:eastAsiaTheme="minorEastAsia"/>
          <w:color w:val="000000" w:themeColor="text1"/>
          <w:sz w:val="24"/>
          <w:szCs w:val="24"/>
        </w:rPr>
        <w:t>相对于其他基金，本基金更可能因开放期内单一投资者或者构成一致行动人的多个投资者集中大额赎回发生巨额赎回。当发生巨额赎回时，基金管理人可能根据基金当时的资产组合状况决定延缓支付赎回款，投资者面临赎回款被延缓支付的风险</w:t>
      </w:r>
      <w:r>
        <w:rPr>
          <w:rFonts w:eastAsiaTheme="minorEastAsia"/>
          <w:color w:val="000000" w:themeColor="text1"/>
          <w:sz w:val="24"/>
          <w:szCs w:val="24"/>
        </w:rPr>
        <w:t>。</w:t>
      </w:r>
    </w:p>
    <w:p w:rsidR="005E1455" w:rsidRDefault="00B72ECD">
      <w:pPr>
        <w:spacing w:line="360" w:lineRule="auto"/>
        <w:ind w:firstLineChars="200" w:firstLine="480"/>
        <w:rPr>
          <w:color w:val="000000"/>
          <w:sz w:val="24"/>
          <w:szCs w:val="24"/>
        </w:rPr>
      </w:pPr>
      <w:r>
        <w:rPr>
          <w:rFonts w:eastAsiaTheme="minorEastAsia"/>
          <w:color w:val="000000" w:themeColor="text1"/>
          <w:sz w:val="24"/>
          <w:szCs w:val="24"/>
        </w:rPr>
        <w:t>3</w:t>
      </w:r>
      <w:r>
        <w:rPr>
          <w:rFonts w:eastAsiaTheme="minorEastAsia"/>
          <w:color w:val="000000" w:themeColor="text1"/>
          <w:sz w:val="24"/>
          <w:szCs w:val="24"/>
        </w:rPr>
        <w:t>、转换运作方式、与其他基金合并或者终止基金合同的风险</w:t>
      </w:r>
    </w:p>
    <w:p w:rsidR="005E1455" w:rsidRDefault="00B72ECD">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1</w:t>
      </w:r>
      <w:r>
        <w:rPr>
          <w:rFonts w:eastAsiaTheme="minorEastAsia"/>
          <w:color w:val="000000" w:themeColor="text1"/>
          <w:sz w:val="24"/>
          <w:szCs w:val="24"/>
        </w:rPr>
        <w:t>）本基金的销售对象主要为机构投资者，不向个人投资者公开发售，基金持续营销及募集规模可能受到影响，若基金合同生效之日起三年后的对应日基金资产净值低于</w:t>
      </w:r>
      <w:r>
        <w:rPr>
          <w:rFonts w:eastAsiaTheme="minorEastAsia"/>
          <w:color w:val="000000" w:themeColor="text1"/>
          <w:sz w:val="24"/>
          <w:szCs w:val="24"/>
        </w:rPr>
        <w:t>2</w:t>
      </w:r>
      <w:r>
        <w:rPr>
          <w:rFonts w:eastAsiaTheme="minorEastAsia"/>
          <w:color w:val="000000" w:themeColor="text1"/>
          <w:sz w:val="24"/>
          <w:szCs w:val="24"/>
        </w:rPr>
        <w:t>亿元，基金合同自动终止且不得通过召开基金份额持有人大会延续，投资者将面临基金合同终止的风险。</w:t>
      </w:r>
    </w:p>
    <w:p w:rsidR="00750D48" w:rsidRPr="004B7A92" w:rsidRDefault="001F5F5D" w:rsidP="001F5F5D">
      <w:pPr>
        <w:spacing w:line="360" w:lineRule="auto"/>
        <w:ind w:firstLineChars="200" w:firstLine="480"/>
        <w:rPr>
          <w:color w:val="000000"/>
          <w:sz w:val="24"/>
          <w:szCs w:val="24"/>
        </w:rPr>
      </w:pPr>
      <w:r w:rsidRPr="00FC0759">
        <w:rPr>
          <w:rFonts w:eastAsiaTheme="minorEastAsia"/>
          <w:color w:val="000000" w:themeColor="text1"/>
          <w:sz w:val="24"/>
          <w:szCs w:val="24"/>
        </w:rPr>
        <w:t>（</w:t>
      </w:r>
      <w:r w:rsidRPr="00FC0759">
        <w:rPr>
          <w:rFonts w:eastAsiaTheme="minorEastAsia"/>
          <w:color w:val="000000" w:themeColor="text1"/>
          <w:sz w:val="24"/>
          <w:szCs w:val="24"/>
        </w:rPr>
        <w:t>2</w:t>
      </w:r>
      <w:r w:rsidRPr="00FC0759">
        <w:rPr>
          <w:rFonts w:eastAsiaTheme="minorEastAsia"/>
          <w:color w:val="000000" w:themeColor="text1"/>
          <w:sz w:val="24"/>
          <w:szCs w:val="24"/>
        </w:rPr>
        <w:t>）本基金基金合同生效满三年后继续存续的，若连续</w:t>
      </w:r>
      <w:r w:rsidRPr="00FC0759">
        <w:rPr>
          <w:rFonts w:eastAsiaTheme="minorEastAsia"/>
          <w:color w:val="000000" w:themeColor="text1"/>
          <w:sz w:val="24"/>
          <w:szCs w:val="24"/>
        </w:rPr>
        <w:t>60</w:t>
      </w:r>
      <w:r w:rsidRPr="00FC0759">
        <w:rPr>
          <w:rFonts w:eastAsiaTheme="minorEastAsia"/>
          <w:color w:val="000000" w:themeColor="text1"/>
          <w:sz w:val="24"/>
          <w:szCs w:val="24"/>
        </w:rPr>
        <w:t>个工作日出现基金份额持有人数量不满二百人或者基金资产净值低于</w:t>
      </w:r>
      <w:r w:rsidRPr="00FC0759">
        <w:rPr>
          <w:rFonts w:eastAsiaTheme="minorEastAsia"/>
          <w:color w:val="000000" w:themeColor="text1"/>
          <w:sz w:val="24"/>
          <w:szCs w:val="24"/>
        </w:rPr>
        <w:t>5000</w:t>
      </w:r>
      <w:r w:rsidRPr="00FC0759">
        <w:rPr>
          <w:rFonts w:eastAsiaTheme="minorEastAsia"/>
          <w:color w:val="000000" w:themeColor="text1"/>
          <w:sz w:val="24"/>
          <w:szCs w:val="24"/>
        </w:rPr>
        <w:t>万元情形，基金管理人应当向中国证监会报告并提出解决方案，如转换运作方式、与其他基金合并或者终止基金合同等，并召开基金份额持有人大会进行表决。投资者面临转换基金运作方式、与其他基金合并或终止基金合同的风险。</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10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10.1 </w:t>
      </w:r>
      <w:r w:rsidRPr="00264E55">
        <w:rPr>
          <w:rFonts w:ascii="宋体" w:hAnsi="宋体" w:hint="eastAsia"/>
          <w:b/>
          <w:bCs/>
          <w:color w:val="000000"/>
          <w:kern w:val="0"/>
          <w:sz w:val="24"/>
          <w:szCs w:val="24"/>
        </w:rPr>
        <w:t>备查文件目录</w:t>
      </w:r>
    </w:p>
    <w:p w:rsidR="005E1455" w:rsidRDefault="00B72ECD">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中国证监会准予易方达恒益定期开放债券型发起式证券投资基金注册的文件；</w:t>
      </w:r>
    </w:p>
    <w:p w:rsidR="005E1455" w:rsidRDefault="00B72ECD">
      <w:pPr>
        <w:spacing w:line="360" w:lineRule="auto"/>
        <w:ind w:firstLineChars="200" w:firstLine="480"/>
        <w:rPr>
          <w:color w:val="000000"/>
          <w:sz w:val="24"/>
          <w:szCs w:val="24"/>
        </w:rPr>
      </w:pPr>
      <w:r>
        <w:rPr>
          <w:color w:val="000000"/>
          <w:sz w:val="24"/>
          <w:szCs w:val="24"/>
        </w:rPr>
        <w:t>2.</w:t>
      </w:r>
      <w:r>
        <w:rPr>
          <w:color w:val="000000"/>
          <w:sz w:val="24"/>
          <w:szCs w:val="24"/>
        </w:rPr>
        <w:t>《易方达恒益定期开放债券型发起式证券投资基金基金合同》；</w:t>
      </w:r>
    </w:p>
    <w:p w:rsidR="005E1455" w:rsidRDefault="00B72ECD">
      <w:pPr>
        <w:spacing w:line="360" w:lineRule="auto"/>
        <w:ind w:firstLineChars="200" w:firstLine="480"/>
        <w:rPr>
          <w:color w:val="000000"/>
          <w:sz w:val="24"/>
          <w:szCs w:val="24"/>
        </w:rPr>
      </w:pPr>
      <w:r>
        <w:rPr>
          <w:color w:val="000000"/>
          <w:sz w:val="24"/>
          <w:szCs w:val="24"/>
        </w:rPr>
        <w:t>3.</w:t>
      </w:r>
      <w:r>
        <w:rPr>
          <w:color w:val="000000"/>
          <w:sz w:val="24"/>
          <w:szCs w:val="24"/>
        </w:rPr>
        <w:t>《易方达恒益定期开放债券型发起式证券投资基金托管协议》；</w:t>
      </w:r>
    </w:p>
    <w:p w:rsidR="005E1455" w:rsidRDefault="00B72ECD">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B72ECD">
      <w:rPr>
        <w:rStyle w:val="a7"/>
        <w:noProof/>
      </w:rPr>
      <w:t>1</w:t>
    </w:r>
    <w:r>
      <w:rPr>
        <w:rStyle w:val="a7"/>
      </w:rPr>
      <w:fldChar w:fldCharType="end"/>
    </w:r>
    <w:r>
      <w:rPr>
        <w:rStyle w:val="a7"/>
        <w:rFonts w:hint="eastAsia"/>
      </w:rPr>
      <w:t>页共</w:t>
    </w:r>
    <w:r w:rsidR="00B72ECD">
      <w:fldChar w:fldCharType="begin"/>
    </w:r>
    <w:r w:rsidR="00B72ECD">
      <w:instrText xml:space="preserve"> NUMPAGES  \* Arabic  \* MERGEFORMAT </w:instrText>
    </w:r>
    <w:r w:rsidR="00B72ECD">
      <w:fldChar w:fldCharType="separate"/>
    </w:r>
    <w:r w:rsidR="00B72ECD" w:rsidRPr="00B72ECD">
      <w:rPr>
        <w:rStyle w:val="a7"/>
        <w:noProof/>
      </w:rPr>
      <w:t>3</w:t>
    </w:r>
    <w:r w:rsidR="00B72ECD">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B72ECD">
      <w:rPr>
        <w:rStyle w:val="a7"/>
        <w:noProof/>
      </w:rPr>
      <w:t>17</w:t>
    </w:r>
    <w:r>
      <w:rPr>
        <w:rStyle w:val="a7"/>
      </w:rPr>
      <w:fldChar w:fldCharType="end"/>
    </w:r>
    <w:r>
      <w:rPr>
        <w:rStyle w:val="a7"/>
        <w:rFonts w:hint="eastAsia"/>
      </w:rPr>
      <w:t>页共</w:t>
    </w:r>
    <w:fldSimple w:instr=" NUMPAGES  \* Arabic  \* MERGEFORMAT ">
      <w:r w:rsidR="00B72ECD" w:rsidRPr="00B72ECD">
        <w:rPr>
          <w:rStyle w:val="a7"/>
          <w:noProof/>
        </w:rPr>
        <w:t>17</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易方达恒益定期开放债券型发起式证券投资基金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1455"/>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2EC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20C90-429F-4E4D-8F3E-362DF32F8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1508</Words>
  <Characters>8596</Characters>
  <Application>Microsoft Office Word</Application>
  <DocSecurity>0</DocSecurity>
  <Lines>71</Lines>
  <Paragraphs>20</Paragraphs>
  <ScaleCrop>false</ScaleCrop>
  <Company/>
  <LinksUpToDate>false</LinksUpToDate>
  <CharactersWithSpaces>10084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2019-10-16T13:55:00Z</cp:lastPrinted>
  <dcterms:created xsi:type="dcterms:W3CDTF">2012-10-16T06:07:00Z</dcterms:created>
  <dcterms:modified xsi:type="dcterms:W3CDTF">2019-10-16T13:55:00Z</dcterms:modified>
</cp:coreProperties>
</file>