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易方达瑞程灵活配置混合型证券投资基金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上海浦东发展银行股份有限公司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71680D" w:rsidRDefault="001620C9">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71680D" w:rsidRDefault="001620C9">
      <w:pPr>
        <w:spacing w:line="360" w:lineRule="auto"/>
        <w:ind w:firstLineChars="200" w:firstLine="480"/>
        <w:rPr>
          <w:color w:val="000000"/>
          <w:sz w:val="24"/>
        </w:rPr>
      </w:pPr>
      <w:r>
        <w:rPr>
          <w:color w:val="000000"/>
          <w:sz w:val="24"/>
        </w:rPr>
        <w:t>基金托管人上海浦东发展银行股份有限公司根据本基金合同规定，于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71680D" w:rsidRDefault="001620C9">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1680D" w:rsidRDefault="001620C9">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71680D" w:rsidRDefault="001620C9">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易方达瑞程混合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003961</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2016</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15</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124,310,847.81</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并重点考虑债券市场情况，在固定收益类资产和权益类资产等资产类别之间进行动态配置，以确定资产的最优配置比例。本基金在债券投资上主要通过类属配置与券种选择两个层次进行投资管理。本基金在股票投</w:t>
            </w:r>
            <w:r w:rsidRPr="00C30CFF">
              <w:rPr>
                <w:color w:val="000000"/>
                <w:kern w:val="0"/>
                <w:sz w:val="24"/>
              </w:rPr>
              <w:lastRenderedPageBreak/>
              <w:t>资上结合对行业景气度、行业竞争格局的判断以及对公司基本面、估值水平等因素进行定量和定性的分析，选择优质行业、个股进行配置，追求业绩的长期稳健增值。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×80 %+</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上海浦东发展银行股份有限公司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易方达瑞程混合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易方达瑞程混合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003961</w:t>
            </w:r>
          </w:p>
        </w:tc>
        <w:tc>
          <w:tcPr>
            <w:tcW w:w="2790" w:type="dxa"/>
            <w:vAlign w:val="center"/>
          </w:tcPr>
          <w:p w:rsidR="00F016DD" w:rsidRPr="00C30CFF" w:rsidRDefault="00F016DD" w:rsidP="00950413">
            <w:pPr>
              <w:jc w:val="left"/>
              <w:rPr>
                <w:color w:val="000000"/>
                <w:sz w:val="24"/>
              </w:rPr>
            </w:pPr>
            <w:r w:rsidRPr="00C30CFF">
              <w:rPr>
                <w:color w:val="000000"/>
                <w:sz w:val="24"/>
              </w:rPr>
              <w:t>003962</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120,212,583.07</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4,098,264.74</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易方达瑞程混合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易方达瑞程混合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11,248,045.26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424,463.49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30,126,909.99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1,171,088.93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0.2505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0.2518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175,099,947.24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6,026,206.04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1.4566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1.4704</w:t>
            </w:r>
          </w:p>
        </w:tc>
      </w:tr>
    </w:tbl>
    <w:p w:rsidR="0071680D" w:rsidRDefault="001620C9">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易方达瑞程混合A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71680D">
        <w:tc>
          <w:tcPr>
            <w:tcW w:w="1290" w:type="dxa"/>
            <w:vAlign w:val="center"/>
          </w:tcPr>
          <w:p w:rsidR="0071680D" w:rsidRDefault="001620C9">
            <w:pPr>
              <w:jc w:val="left"/>
            </w:pPr>
            <w:r>
              <w:rPr>
                <w:color w:val="000000"/>
                <w:sz w:val="24"/>
              </w:rPr>
              <w:t>过去三个月</w:t>
            </w:r>
          </w:p>
        </w:tc>
        <w:tc>
          <w:tcPr>
            <w:tcW w:w="1291" w:type="dxa"/>
            <w:vAlign w:val="center"/>
          </w:tcPr>
          <w:p w:rsidR="0071680D" w:rsidRDefault="001620C9">
            <w:pPr>
              <w:jc w:val="center"/>
            </w:pPr>
            <w:r>
              <w:rPr>
                <w:color w:val="000000"/>
                <w:sz w:val="24"/>
              </w:rPr>
              <w:t>20.78%</w:t>
            </w:r>
          </w:p>
        </w:tc>
        <w:tc>
          <w:tcPr>
            <w:tcW w:w="1291" w:type="dxa"/>
            <w:vAlign w:val="center"/>
          </w:tcPr>
          <w:p w:rsidR="0071680D" w:rsidRDefault="001620C9">
            <w:pPr>
              <w:jc w:val="center"/>
            </w:pPr>
            <w:r>
              <w:rPr>
                <w:color w:val="000000"/>
                <w:sz w:val="24"/>
              </w:rPr>
              <w:t>1.24%</w:t>
            </w:r>
          </w:p>
        </w:tc>
        <w:tc>
          <w:tcPr>
            <w:tcW w:w="1291" w:type="dxa"/>
            <w:vAlign w:val="center"/>
          </w:tcPr>
          <w:p w:rsidR="0071680D" w:rsidRDefault="001620C9">
            <w:pPr>
              <w:jc w:val="center"/>
            </w:pPr>
            <w:r>
              <w:rPr>
                <w:color w:val="000000"/>
                <w:sz w:val="24"/>
              </w:rPr>
              <w:t>1.06%</w:t>
            </w:r>
          </w:p>
        </w:tc>
        <w:tc>
          <w:tcPr>
            <w:tcW w:w="1291" w:type="dxa"/>
            <w:vAlign w:val="center"/>
          </w:tcPr>
          <w:p w:rsidR="0071680D" w:rsidRDefault="001620C9">
            <w:pPr>
              <w:jc w:val="center"/>
            </w:pPr>
            <w:r>
              <w:rPr>
                <w:color w:val="000000"/>
                <w:sz w:val="24"/>
              </w:rPr>
              <w:t>0.19%</w:t>
            </w:r>
          </w:p>
        </w:tc>
        <w:tc>
          <w:tcPr>
            <w:tcW w:w="1291" w:type="dxa"/>
            <w:vAlign w:val="center"/>
          </w:tcPr>
          <w:p w:rsidR="0071680D" w:rsidRDefault="001620C9">
            <w:pPr>
              <w:jc w:val="center"/>
            </w:pPr>
            <w:r>
              <w:rPr>
                <w:color w:val="000000"/>
                <w:sz w:val="24"/>
              </w:rPr>
              <w:t>19.72%</w:t>
            </w:r>
          </w:p>
        </w:tc>
        <w:tc>
          <w:tcPr>
            <w:tcW w:w="1291" w:type="dxa"/>
            <w:vAlign w:val="center"/>
          </w:tcPr>
          <w:p w:rsidR="0071680D" w:rsidRDefault="001620C9">
            <w:pPr>
              <w:jc w:val="center"/>
            </w:pPr>
            <w:r>
              <w:rPr>
                <w:color w:val="000000"/>
                <w:sz w:val="24"/>
              </w:rPr>
              <w:t>1.05%</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易方达瑞程混合C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71680D">
        <w:tc>
          <w:tcPr>
            <w:tcW w:w="1290" w:type="dxa"/>
            <w:vAlign w:val="center"/>
          </w:tcPr>
          <w:p w:rsidR="0071680D" w:rsidRDefault="001620C9">
            <w:pPr>
              <w:jc w:val="left"/>
            </w:pPr>
            <w:r>
              <w:rPr>
                <w:color w:val="000000"/>
                <w:sz w:val="24"/>
              </w:rPr>
              <w:t>过去三个月</w:t>
            </w:r>
          </w:p>
        </w:tc>
        <w:tc>
          <w:tcPr>
            <w:tcW w:w="1291" w:type="dxa"/>
            <w:vAlign w:val="center"/>
          </w:tcPr>
          <w:p w:rsidR="0071680D" w:rsidRDefault="001620C9">
            <w:pPr>
              <w:jc w:val="center"/>
            </w:pPr>
            <w:r>
              <w:rPr>
                <w:color w:val="000000"/>
                <w:sz w:val="24"/>
              </w:rPr>
              <w:t>20.71%</w:t>
            </w:r>
          </w:p>
        </w:tc>
        <w:tc>
          <w:tcPr>
            <w:tcW w:w="1291" w:type="dxa"/>
            <w:vAlign w:val="center"/>
          </w:tcPr>
          <w:p w:rsidR="0071680D" w:rsidRDefault="001620C9">
            <w:pPr>
              <w:jc w:val="center"/>
            </w:pPr>
            <w:r>
              <w:rPr>
                <w:color w:val="000000"/>
                <w:sz w:val="24"/>
              </w:rPr>
              <w:t>1.24%</w:t>
            </w:r>
          </w:p>
        </w:tc>
        <w:tc>
          <w:tcPr>
            <w:tcW w:w="1291" w:type="dxa"/>
            <w:vAlign w:val="center"/>
          </w:tcPr>
          <w:p w:rsidR="0071680D" w:rsidRDefault="001620C9">
            <w:pPr>
              <w:jc w:val="center"/>
            </w:pPr>
            <w:r>
              <w:rPr>
                <w:color w:val="000000"/>
                <w:sz w:val="24"/>
              </w:rPr>
              <w:t>1.06%</w:t>
            </w:r>
          </w:p>
        </w:tc>
        <w:tc>
          <w:tcPr>
            <w:tcW w:w="1291" w:type="dxa"/>
            <w:vAlign w:val="center"/>
          </w:tcPr>
          <w:p w:rsidR="0071680D" w:rsidRDefault="001620C9">
            <w:pPr>
              <w:jc w:val="center"/>
            </w:pPr>
            <w:r>
              <w:rPr>
                <w:color w:val="000000"/>
                <w:sz w:val="24"/>
              </w:rPr>
              <w:t>0.19%</w:t>
            </w:r>
          </w:p>
        </w:tc>
        <w:tc>
          <w:tcPr>
            <w:tcW w:w="1291" w:type="dxa"/>
            <w:vAlign w:val="center"/>
          </w:tcPr>
          <w:p w:rsidR="0071680D" w:rsidRDefault="001620C9">
            <w:pPr>
              <w:jc w:val="center"/>
            </w:pPr>
            <w:r>
              <w:rPr>
                <w:color w:val="000000"/>
                <w:sz w:val="24"/>
              </w:rPr>
              <w:t>19.65%</w:t>
            </w:r>
          </w:p>
        </w:tc>
        <w:tc>
          <w:tcPr>
            <w:tcW w:w="1291" w:type="dxa"/>
            <w:vAlign w:val="center"/>
          </w:tcPr>
          <w:p w:rsidR="0071680D" w:rsidRDefault="001620C9">
            <w:pPr>
              <w:jc w:val="center"/>
            </w:pPr>
            <w:r>
              <w:rPr>
                <w:color w:val="000000"/>
                <w:sz w:val="24"/>
              </w:rPr>
              <w:t>1.05%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易方达瑞程灵活配置混合型证券投资基金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(2016</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15</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易方达瑞程混合</w:t>
      </w:r>
      <w:r w:rsidRPr="00611CB2">
        <w:rPr>
          <w:color w:val="000000"/>
          <w:sz w:val="24"/>
        </w:rPr>
        <w:t>A</w:t>
      </w:r>
    </w:p>
    <w:p w:rsidR="00F016DD" w:rsidRPr="0078105B" w:rsidRDefault="001620C9"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易方达瑞程混合</w:t>
      </w:r>
      <w:r w:rsidRPr="00611CB2">
        <w:rPr>
          <w:color w:val="000000"/>
          <w:sz w:val="24"/>
        </w:rPr>
        <w:t>C</w:t>
      </w:r>
    </w:p>
    <w:p w:rsidR="00F016DD" w:rsidRPr="0078105B" w:rsidRDefault="001620C9"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45.66%</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47.04%</w:t>
      </w:r>
      <w:r w:rsidRPr="00DF18FE">
        <w:rPr>
          <w:color w:val="000000"/>
          <w:sz w:val="24"/>
        </w:rPr>
        <w:t>，同期业绩比较基准收益率为</w:t>
      </w:r>
      <w:r w:rsidRPr="00DF18FE">
        <w:rPr>
          <w:color w:val="000000"/>
          <w:sz w:val="24"/>
        </w:rPr>
        <w:t>12.34%</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71680D">
        <w:tc>
          <w:tcPr>
            <w:tcW w:w="567" w:type="dxa"/>
            <w:vAlign w:val="center"/>
          </w:tcPr>
          <w:p w:rsidR="0071680D" w:rsidRDefault="001620C9">
            <w:pPr>
              <w:jc w:val="center"/>
            </w:pPr>
            <w:r>
              <w:rPr>
                <w:color w:val="000000"/>
                <w:sz w:val="24"/>
              </w:rPr>
              <w:t>林森</w:t>
            </w:r>
          </w:p>
        </w:tc>
        <w:tc>
          <w:tcPr>
            <w:tcW w:w="2835" w:type="dxa"/>
            <w:vAlign w:val="center"/>
          </w:tcPr>
          <w:p w:rsidR="0071680D" w:rsidRDefault="001620C9">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弘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71680D" w:rsidRDefault="001620C9">
            <w:pPr>
              <w:jc w:val="center"/>
            </w:pPr>
            <w:r>
              <w:rPr>
                <w:color w:val="000000"/>
                <w:sz w:val="24"/>
              </w:rPr>
              <w:t>2017-01-26</w:t>
            </w:r>
          </w:p>
        </w:tc>
        <w:tc>
          <w:tcPr>
            <w:tcW w:w="850" w:type="dxa"/>
            <w:vAlign w:val="center"/>
          </w:tcPr>
          <w:p w:rsidR="0071680D" w:rsidRDefault="001620C9">
            <w:pPr>
              <w:jc w:val="center"/>
            </w:pPr>
            <w:r>
              <w:rPr>
                <w:color w:val="000000"/>
                <w:sz w:val="24"/>
              </w:rPr>
              <w:t>-</w:t>
            </w:r>
          </w:p>
        </w:tc>
        <w:tc>
          <w:tcPr>
            <w:tcW w:w="851" w:type="dxa"/>
            <w:vAlign w:val="center"/>
          </w:tcPr>
          <w:p w:rsidR="0071680D" w:rsidRDefault="001620C9">
            <w:pPr>
              <w:jc w:val="center"/>
            </w:pPr>
            <w:r>
              <w:rPr>
                <w:color w:val="000000"/>
                <w:sz w:val="24"/>
              </w:rPr>
              <w:t>9</w:t>
            </w:r>
            <w:r>
              <w:rPr>
                <w:color w:val="000000"/>
                <w:sz w:val="24"/>
              </w:rPr>
              <w:t>年</w:t>
            </w:r>
          </w:p>
        </w:tc>
        <w:tc>
          <w:tcPr>
            <w:tcW w:w="2977" w:type="dxa"/>
            <w:vAlign w:val="center"/>
          </w:tcPr>
          <w:p w:rsidR="0071680D" w:rsidRDefault="001620C9">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w:t>
            </w:r>
            <w:r>
              <w:rPr>
                <w:color w:val="000000"/>
                <w:sz w:val="24"/>
              </w:rPr>
              <w:t>灵活配置混合型证券投资基金基金经理。</w:t>
            </w:r>
          </w:p>
        </w:tc>
      </w:tr>
    </w:tbl>
    <w:p w:rsidR="0071680D" w:rsidRDefault="001620C9">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71680D" w:rsidRDefault="001620C9">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71680D" w:rsidRDefault="001620C9">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w:t>
      </w:r>
      <w:r>
        <w:rPr>
          <w:color w:val="000000"/>
          <w:sz w:val="24"/>
        </w:rPr>
        <w:t>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，收益率整体仍是以下行为主。信用债则主要跟随利率债走势，收益率总体来看也是下行，中票收益率下行幅度大于城投债，信用利差多数呈收窄趋势。</w:t>
      </w:r>
    </w:p>
    <w:p w:rsidR="0071680D" w:rsidRDefault="001620C9">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w:t>
      </w:r>
      <w:r>
        <w:rPr>
          <w:color w:val="000000"/>
          <w:sz w:val="24"/>
        </w:rPr>
        <w:t>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w:t>
      </w:r>
      <w:r>
        <w:rPr>
          <w:color w:val="000000"/>
          <w:sz w:val="24"/>
        </w:rPr>
        <w:lastRenderedPageBreak/>
        <w:t>业绩较好的白酒、医药等板块也继续表现领先。与此同时，政治局会议表态经济增长低于预期、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w:t>
      </w:r>
      <w:r>
        <w:rPr>
          <w:color w:val="000000"/>
          <w:sz w:val="24"/>
        </w:rPr>
        <w:t>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操作上，本组合维持了较为稳定的权益仓位，力争通过自下而上选择个股获得超额收益。债券方面，持仓主要为信用债。</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1.4566</w:t>
      </w:r>
      <w:r w:rsidRPr="00DF18FE">
        <w:rPr>
          <w:color w:val="000000"/>
          <w:sz w:val="24"/>
        </w:rPr>
        <w:t>元，本报告期份额净值增长率为</w:t>
      </w:r>
      <w:r w:rsidRPr="00DF18FE">
        <w:rPr>
          <w:color w:val="000000"/>
          <w:sz w:val="24"/>
        </w:rPr>
        <w:t>20.78%</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1.4704</w:t>
      </w:r>
      <w:r w:rsidRPr="00DF18FE">
        <w:rPr>
          <w:color w:val="000000"/>
          <w:sz w:val="24"/>
        </w:rPr>
        <w:t>元，本报告期份额净值增长率为</w:t>
      </w:r>
      <w:r w:rsidRPr="00DF18FE">
        <w:rPr>
          <w:color w:val="000000"/>
          <w:sz w:val="24"/>
        </w:rPr>
        <w:t>20.71%</w:t>
      </w:r>
      <w:r w:rsidRPr="00DF18FE">
        <w:rPr>
          <w:color w:val="000000"/>
          <w:sz w:val="24"/>
        </w:rPr>
        <w:t>；同期业绩比较基准收益率为</w:t>
      </w:r>
      <w:r w:rsidRPr="00DF18FE">
        <w:rPr>
          <w:color w:val="000000"/>
          <w:sz w:val="24"/>
        </w:rPr>
        <w:t>1.06%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170,815,363.13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87.37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170,815,363.13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87.37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21,814,174.32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11.16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21,814,174.32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11.16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w:t>
            </w:r>
            <w:r w:rsidRPr="00FA472B">
              <w:rPr>
                <w:color w:val="000000"/>
                <w:sz w:val="24"/>
              </w:rPr>
              <w:lastRenderedPageBreak/>
              <w:t>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lastRenderedPageBreak/>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2,150,771.87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726,536.93</w:t>
            </w:r>
          </w:p>
        </w:tc>
        <w:tc>
          <w:tcPr>
            <w:tcW w:w="1843" w:type="dxa"/>
            <w:vAlign w:val="center"/>
          </w:tcPr>
          <w:p w:rsidR="00F016DD" w:rsidRPr="00FA472B" w:rsidRDefault="00F016DD" w:rsidP="00F4518C">
            <w:pPr>
              <w:jc w:val="right"/>
              <w:rPr>
                <w:color w:val="000000"/>
                <w:sz w:val="24"/>
              </w:rPr>
            </w:pPr>
            <w:r w:rsidRPr="00FA472B">
              <w:rPr>
                <w:color w:val="000000"/>
                <w:sz w:val="24"/>
              </w:rPr>
              <w:t>0.37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195,506,846.25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159,616,387.89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88.12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8,943,270.00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4.94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170,815,363.13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94.31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lastRenderedPageBreak/>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71680D">
        <w:tc>
          <w:tcPr>
            <w:tcW w:w="817" w:type="dxa"/>
            <w:vAlign w:val="center"/>
          </w:tcPr>
          <w:p w:rsidR="0071680D" w:rsidRDefault="001620C9">
            <w:pPr>
              <w:jc w:val="center"/>
            </w:pPr>
            <w:r>
              <w:rPr>
                <w:color w:val="000000"/>
                <w:sz w:val="24"/>
              </w:rPr>
              <w:t>1</w:t>
            </w:r>
          </w:p>
        </w:tc>
        <w:tc>
          <w:tcPr>
            <w:tcW w:w="1276" w:type="dxa"/>
            <w:vAlign w:val="center"/>
          </w:tcPr>
          <w:p w:rsidR="0071680D" w:rsidRDefault="001620C9">
            <w:pPr>
              <w:jc w:val="center"/>
            </w:pPr>
            <w:r>
              <w:rPr>
                <w:color w:val="000000"/>
                <w:sz w:val="24"/>
              </w:rPr>
              <w:t>601012</w:t>
            </w:r>
          </w:p>
        </w:tc>
        <w:tc>
          <w:tcPr>
            <w:tcW w:w="1417" w:type="dxa"/>
            <w:vAlign w:val="center"/>
          </w:tcPr>
          <w:p w:rsidR="0071680D" w:rsidRDefault="001620C9">
            <w:pPr>
              <w:jc w:val="center"/>
            </w:pPr>
            <w:r>
              <w:rPr>
                <w:color w:val="000000"/>
                <w:sz w:val="24"/>
              </w:rPr>
              <w:t>隆基股份</w:t>
            </w:r>
          </w:p>
        </w:tc>
        <w:tc>
          <w:tcPr>
            <w:tcW w:w="1560" w:type="dxa"/>
            <w:vAlign w:val="center"/>
          </w:tcPr>
          <w:p w:rsidR="0071680D" w:rsidRDefault="001620C9">
            <w:pPr>
              <w:jc w:val="right"/>
            </w:pPr>
            <w:r>
              <w:rPr>
                <w:color w:val="000000"/>
                <w:sz w:val="24"/>
              </w:rPr>
              <w:t>571,234</w:t>
            </w:r>
          </w:p>
        </w:tc>
        <w:tc>
          <w:tcPr>
            <w:tcW w:w="2268" w:type="dxa"/>
            <w:vAlign w:val="center"/>
          </w:tcPr>
          <w:p w:rsidR="0071680D" w:rsidRDefault="001620C9">
            <w:pPr>
              <w:jc w:val="right"/>
            </w:pPr>
            <w:r>
              <w:rPr>
                <w:color w:val="000000"/>
                <w:sz w:val="24"/>
              </w:rPr>
              <w:t>14,983,467.82</w:t>
            </w:r>
          </w:p>
        </w:tc>
        <w:tc>
          <w:tcPr>
            <w:tcW w:w="1559" w:type="dxa"/>
            <w:vAlign w:val="center"/>
          </w:tcPr>
          <w:p w:rsidR="0071680D" w:rsidRDefault="001620C9">
            <w:pPr>
              <w:jc w:val="right"/>
            </w:pPr>
            <w:r>
              <w:rPr>
                <w:color w:val="000000"/>
                <w:sz w:val="24"/>
              </w:rPr>
              <w:t>8.27</w:t>
            </w:r>
          </w:p>
        </w:tc>
      </w:tr>
      <w:tr w:rsidR="0071680D">
        <w:tc>
          <w:tcPr>
            <w:tcW w:w="817" w:type="dxa"/>
            <w:vAlign w:val="center"/>
          </w:tcPr>
          <w:p w:rsidR="0071680D" w:rsidRDefault="001620C9">
            <w:pPr>
              <w:jc w:val="center"/>
            </w:pPr>
            <w:r>
              <w:rPr>
                <w:color w:val="000000"/>
                <w:sz w:val="24"/>
              </w:rPr>
              <w:t>2</w:t>
            </w:r>
          </w:p>
        </w:tc>
        <w:tc>
          <w:tcPr>
            <w:tcW w:w="1276" w:type="dxa"/>
            <w:vAlign w:val="center"/>
          </w:tcPr>
          <w:p w:rsidR="0071680D" w:rsidRDefault="001620C9">
            <w:pPr>
              <w:jc w:val="center"/>
            </w:pPr>
            <w:r>
              <w:rPr>
                <w:color w:val="000000"/>
                <w:sz w:val="24"/>
              </w:rPr>
              <w:t>000651</w:t>
            </w:r>
          </w:p>
        </w:tc>
        <w:tc>
          <w:tcPr>
            <w:tcW w:w="1417" w:type="dxa"/>
            <w:vAlign w:val="center"/>
          </w:tcPr>
          <w:p w:rsidR="0071680D" w:rsidRDefault="001620C9">
            <w:pPr>
              <w:jc w:val="center"/>
            </w:pPr>
            <w:r>
              <w:rPr>
                <w:color w:val="000000"/>
                <w:sz w:val="24"/>
              </w:rPr>
              <w:t>格力电器</w:t>
            </w:r>
          </w:p>
        </w:tc>
        <w:tc>
          <w:tcPr>
            <w:tcW w:w="1560" w:type="dxa"/>
            <w:vAlign w:val="center"/>
          </w:tcPr>
          <w:p w:rsidR="0071680D" w:rsidRDefault="001620C9">
            <w:pPr>
              <w:jc w:val="right"/>
            </w:pPr>
            <w:r>
              <w:rPr>
                <w:color w:val="000000"/>
                <w:sz w:val="24"/>
              </w:rPr>
              <w:t>258,398</w:t>
            </w:r>
          </w:p>
        </w:tc>
        <w:tc>
          <w:tcPr>
            <w:tcW w:w="2268" w:type="dxa"/>
            <w:vAlign w:val="center"/>
          </w:tcPr>
          <w:p w:rsidR="0071680D" w:rsidRDefault="001620C9">
            <w:pPr>
              <w:jc w:val="right"/>
            </w:pPr>
            <w:r>
              <w:rPr>
                <w:color w:val="000000"/>
                <w:sz w:val="24"/>
              </w:rPr>
              <w:t>14,806,205.40</w:t>
            </w:r>
          </w:p>
        </w:tc>
        <w:tc>
          <w:tcPr>
            <w:tcW w:w="1559" w:type="dxa"/>
            <w:vAlign w:val="center"/>
          </w:tcPr>
          <w:p w:rsidR="0071680D" w:rsidRDefault="001620C9">
            <w:pPr>
              <w:jc w:val="right"/>
            </w:pPr>
            <w:r>
              <w:rPr>
                <w:color w:val="000000"/>
                <w:sz w:val="24"/>
              </w:rPr>
              <w:t>8.17</w:t>
            </w:r>
          </w:p>
        </w:tc>
      </w:tr>
      <w:tr w:rsidR="0071680D">
        <w:tc>
          <w:tcPr>
            <w:tcW w:w="817" w:type="dxa"/>
            <w:vAlign w:val="center"/>
          </w:tcPr>
          <w:p w:rsidR="0071680D" w:rsidRDefault="001620C9">
            <w:pPr>
              <w:jc w:val="center"/>
            </w:pPr>
            <w:r>
              <w:rPr>
                <w:color w:val="000000"/>
                <w:sz w:val="24"/>
              </w:rPr>
              <w:t>3</w:t>
            </w:r>
          </w:p>
        </w:tc>
        <w:tc>
          <w:tcPr>
            <w:tcW w:w="1276" w:type="dxa"/>
            <w:vAlign w:val="center"/>
          </w:tcPr>
          <w:p w:rsidR="0071680D" w:rsidRDefault="001620C9">
            <w:pPr>
              <w:jc w:val="center"/>
            </w:pPr>
            <w:r>
              <w:rPr>
                <w:color w:val="000000"/>
                <w:sz w:val="24"/>
              </w:rPr>
              <w:t>002475</w:t>
            </w:r>
          </w:p>
        </w:tc>
        <w:tc>
          <w:tcPr>
            <w:tcW w:w="1417" w:type="dxa"/>
            <w:vAlign w:val="center"/>
          </w:tcPr>
          <w:p w:rsidR="0071680D" w:rsidRDefault="001620C9">
            <w:pPr>
              <w:jc w:val="center"/>
            </w:pPr>
            <w:r>
              <w:rPr>
                <w:color w:val="000000"/>
                <w:sz w:val="24"/>
              </w:rPr>
              <w:t>立讯精密</w:t>
            </w:r>
          </w:p>
        </w:tc>
        <w:tc>
          <w:tcPr>
            <w:tcW w:w="1560" w:type="dxa"/>
            <w:vAlign w:val="center"/>
          </w:tcPr>
          <w:p w:rsidR="0071680D" w:rsidRDefault="001620C9">
            <w:pPr>
              <w:jc w:val="right"/>
            </w:pPr>
            <w:r>
              <w:rPr>
                <w:color w:val="000000"/>
                <w:sz w:val="24"/>
              </w:rPr>
              <w:t>437,306</w:t>
            </w:r>
          </w:p>
        </w:tc>
        <w:tc>
          <w:tcPr>
            <w:tcW w:w="2268" w:type="dxa"/>
            <w:vAlign w:val="center"/>
          </w:tcPr>
          <w:p w:rsidR="0071680D" w:rsidRDefault="001620C9">
            <w:pPr>
              <w:jc w:val="right"/>
            </w:pPr>
            <w:r>
              <w:rPr>
                <w:color w:val="000000"/>
                <w:sz w:val="24"/>
              </w:rPr>
              <w:t>11,702,308.56</w:t>
            </w:r>
          </w:p>
        </w:tc>
        <w:tc>
          <w:tcPr>
            <w:tcW w:w="1559" w:type="dxa"/>
            <w:vAlign w:val="center"/>
          </w:tcPr>
          <w:p w:rsidR="0071680D" w:rsidRDefault="001620C9">
            <w:pPr>
              <w:jc w:val="right"/>
            </w:pPr>
            <w:r>
              <w:rPr>
                <w:color w:val="000000"/>
                <w:sz w:val="24"/>
              </w:rPr>
              <w:t>6.46</w:t>
            </w:r>
          </w:p>
        </w:tc>
      </w:tr>
      <w:tr w:rsidR="0071680D">
        <w:tc>
          <w:tcPr>
            <w:tcW w:w="817" w:type="dxa"/>
            <w:vAlign w:val="center"/>
          </w:tcPr>
          <w:p w:rsidR="0071680D" w:rsidRDefault="001620C9">
            <w:pPr>
              <w:jc w:val="center"/>
            </w:pPr>
            <w:r>
              <w:rPr>
                <w:color w:val="000000"/>
                <w:sz w:val="24"/>
              </w:rPr>
              <w:t>4</w:t>
            </w:r>
          </w:p>
        </w:tc>
        <w:tc>
          <w:tcPr>
            <w:tcW w:w="1276" w:type="dxa"/>
            <w:vAlign w:val="center"/>
          </w:tcPr>
          <w:p w:rsidR="0071680D" w:rsidRDefault="001620C9">
            <w:pPr>
              <w:jc w:val="center"/>
            </w:pPr>
            <w:r>
              <w:rPr>
                <w:color w:val="000000"/>
                <w:sz w:val="24"/>
              </w:rPr>
              <w:t>300628</w:t>
            </w:r>
          </w:p>
        </w:tc>
        <w:tc>
          <w:tcPr>
            <w:tcW w:w="1417" w:type="dxa"/>
            <w:vAlign w:val="center"/>
          </w:tcPr>
          <w:p w:rsidR="0071680D" w:rsidRDefault="001620C9">
            <w:pPr>
              <w:jc w:val="center"/>
            </w:pPr>
            <w:r>
              <w:rPr>
                <w:color w:val="000000"/>
                <w:sz w:val="24"/>
              </w:rPr>
              <w:t>亿联网络</w:t>
            </w:r>
          </w:p>
        </w:tc>
        <w:tc>
          <w:tcPr>
            <w:tcW w:w="1560" w:type="dxa"/>
            <w:vAlign w:val="center"/>
          </w:tcPr>
          <w:p w:rsidR="0071680D" w:rsidRDefault="001620C9">
            <w:pPr>
              <w:jc w:val="right"/>
            </w:pPr>
            <w:r>
              <w:rPr>
                <w:color w:val="000000"/>
                <w:sz w:val="24"/>
              </w:rPr>
              <w:t>190,200</w:t>
            </w:r>
          </w:p>
        </w:tc>
        <w:tc>
          <w:tcPr>
            <w:tcW w:w="2268" w:type="dxa"/>
            <w:vAlign w:val="center"/>
          </w:tcPr>
          <w:p w:rsidR="0071680D" w:rsidRDefault="001620C9">
            <w:pPr>
              <w:jc w:val="right"/>
            </w:pPr>
            <w:r>
              <w:rPr>
                <w:color w:val="000000"/>
                <w:sz w:val="24"/>
              </w:rPr>
              <w:t>11,543,238.00</w:t>
            </w:r>
          </w:p>
        </w:tc>
        <w:tc>
          <w:tcPr>
            <w:tcW w:w="1559" w:type="dxa"/>
            <w:vAlign w:val="center"/>
          </w:tcPr>
          <w:p w:rsidR="0071680D" w:rsidRDefault="001620C9">
            <w:pPr>
              <w:jc w:val="right"/>
            </w:pPr>
            <w:r>
              <w:rPr>
                <w:color w:val="000000"/>
                <w:sz w:val="24"/>
              </w:rPr>
              <w:t>6.37</w:t>
            </w:r>
          </w:p>
        </w:tc>
      </w:tr>
      <w:tr w:rsidR="0071680D">
        <w:tc>
          <w:tcPr>
            <w:tcW w:w="817" w:type="dxa"/>
            <w:vAlign w:val="center"/>
          </w:tcPr>
          <w:p w:rsidR="0071680D" w:rsidRDefault="001620C9">
            <w:pPr>
              <w:jc w:val="center"/>
            </w:pPr>
            <w:r>
              <w:rPr>
                <w:color w:val="000000"/>
                <w:sz w:val="24"/>
              </w:rPr>
              <w:t>5</w:t>
            </w:r>
          </w:p>
        </w:tc>
        <w:tc>
          <w:tcPr>
            <w:tcW w:w="1276" w:type="dxa"/>
            <w:vAlign w:val="center"/>
          </w:tcPr>
          <w:p w:rsidR="0071680D" w:rsidRDefault="001620C9">
            <w:pPr>
              <w:jc w:val="center"/>
            </w:pPr>
            <w:r>
              <w:rPr>
                <w:color w:val="000000"/>
                <w:sz w:val="24"/>
              </w:rPr>
              <w:t>002236</w:t>
            </w:r>
          </w:p>
        </w:tc>
        <w:tc>
          <w:tcPr>
            <w:tcW w:w="1417" w:type="dxa"/>
            <w:vAlign w:val="center"/>
          </w:tcPr>
          <w:p w:rsidR="0071680D" w:rsidRDefault="001620C9">
            <w:pPr>
              <w:jc w:val="center"/>
            </w:pPr>
            <w:r>
              <w:rPr>
                <w:color w:val="000000"/>
                <w:sz w:val="24"/>
              </w:rPr>
              <w:t>大华股份</w:t>
            </w:r>
          </w:p>
        </w:tc>
        <w:tc>
          <w:tcPr>
            <w:tcW w:w="1560" w:type="dxa"/>
            <w:vAlign w:val="center"/>
          </w:tcPr>
          <w:p w:rsidR="0071680D" w:rsidRDefault="001620C9">
            <w:pPr>
              <w:jc w:val="right"/>
            </w:pPr>
            <w:r>
              <w:rPr>
                <w:color w:val="000000"/>
                <w:sz w:val="24"/>
              </w:rPr>
              <w:t>625,400</w:t>
            </w:r>
          </w:p>
        </w:tc>
        <w:tc>
          <w:tcPr>
            <w:tcW w:w="2268" w:type="dxa"/>
            <w:vAlign w:val="center"/>
          </w:tcPr>
          <w:p w:rsidR="0071680D" w:rsidRDefault="001620C9">
            <w:pPr>
              <w:jc w:val="right"/>
            </w:pPr>
            <w:r>
              <w:rPr>
                <w:color w:val="000000"/>
                <w:sz w:val="24"/>
              </w:rPr>
              <w:t>10,800,658.00</w:t>
            </w:r>
          </w:p>
        </w:tc>
        <w:tc>
          <w:tcPr>
            <w:tcW w:w="1559" w:type="dxa"/>
            <w:vAlign w:val="center"/>
          </w:tcPr>
          <w:p w:rsidR="0071680D" w:rsidRDefault="001620C9">
            <w:pPr>
              <w:jc w:val="right"/>
            </w:pPr>
            <w:r>
              <w:rPr>
                <w:color w:val="000000"/>
                <w:sz w:val="24"/>
              </w:rPr>
              <w:t>5.96</w:t>
            </w:r>
          </w:p>
        </w:tc>
      </w:tr>
      <w:tr w:rsidR="0071680D">
        <w:tc>
          <w:tcPr>
            <w:tcW w:w="817" w:type="dxa"/>
            <w:vAlign w:val="center"/>
          </w:tcPr>
          <w:p w:rsidR="0071680D" w:rsidRDefault="001620C9">
            <w:pPr>
              <w:jc w:val="center"/>
            </w:pPr>
            <w:r>
              <w:rPr>
                <w:color w:val="000000"/>
                <w:sz w:val="24"/>
              </w:rPr>
              <w:t>6</w:t>
            </w:r>
          </w:p>
        </w:tc>
        <w:tc>
          <w:tcPr>
            <w:tcW w:w="1276" w:type="dxa"/>
            <w:vAlign w:val="center"/>
          </w:tcPr>
          <w:p w:rsidR="0071680D" w:rsidRDefault="001620C9">
            <w:pPr>
              <w:jc w:val="center"/>
            </w:pPr>
            <w:r>
              <w:rPr>
                <w:color w:val="000000"/>
                <w:sz w:val="24"/>
              </w:rPr>
              <w:t>002241</w:t>
            </w:r>
          </w:p>
        </w:tc>
        <w:tc>
          <w:tcPr>
            <w:tcW w:w="1417" w:type="dxa"/>
            <w:vAlign w:val="center"/>
          </w:tcPr>
          <w:p w:rsidR="0071680D" w:rsidRDefault="001620C9">
            <w:pPr>
              <w:jc w:val="center"/>
            </w:pPr>
            <w:r>
              <w:rPr>
                <w:color w:val="000000"/>
                <w:sz w:val="24"/>
              </w:rPr>
              <w:t>歌尔股份</w:t>
            </w:r>
          </w:p>
        </w:tc>
        <w:tc>
          <w:tcPr>
            <w:tcW w:w="1560" w:type="dxa"/>
            <w:vAlign w:val="center"/>
          </w:tcPr>
          <w:p w:rsidR="0071680D" w:rsidRDefault="001620C9">
            <w:pPr>
              <w:jc w:val="right"/>
            </w:pPr>
            <w:r>
              <w:rPr>
                <w:color w:val="000000"/>
                <w:sz w:val="24"/>
              </w:rPr>
              <w:t>604,239</w:t>
            </w:r>
          </w:p>
        </w:tc>
        <w:tc>
          <w:tcPr>
            <w:tcW w:w="2268" w:type="dxa"/>
            <w:vAlign w:val="center"/>
          </w:tcPr>
          <w:p w:rsidR="0071680D" w:rsidRDefault="001620C9">
            <w:pPr>
              <w:jc w:val="right"/>
            </w:pPr>
            <w:r>
              <w:rPr>
                <w:color w:val="000000"/>
                <w:sz w:val="24"/>
              </w:rPr>
              <w:t>10,622,521.62</w:t>
            </w:r>
          </w:p>
        </w:tc>
        <w:tc>
          <w:tcPr>
            <w:tcW w:w="1559" w:type="dxa"/>
            <w:vAlign w:val="center"/>
          </w:tcPr>
          <w:p w:rsidR="0071680D" w:rsidRDefault="001620C9">
            <w:pPr>
              <w:jc w:val="right"/>
            </w:pPr>
            <w:r>
              <w:rPr>
                <w:color w:val="000000"/>
                <w:sz w:val="24"/>
              </w:rPr>
              <w:t>5.86</w:t>
            </w:r>
          </w:p>
        </w:tc>
      </w:tr>
      <w:tr w:rsidR="0071680D">
        <w:tc>
          <w:tcPr>
            <w:tcW w:w="817" w:type="dxa"/>
            <w:vAlign w:val="center"/>
          </w:tcPr>
          <w:p w:rsidR="0071680D" w:rsidRDefault="001620C9">
            <w:pPr>
              <w:jc w:val="center"/>
            </w:pPr>
            <w:r>
              <w:rPr>
                <w:color w:val="000000"/>
                <w:sz w:val="24"/>
              </w:rPr>
              <w:t>7</w:t>
            </w:r>
          </w:p>
        </w:tc>
        <w:tc>
          <w:tcPr>
            <w:tcW w:w="1276" w:type="dxa"/>
            <w:vAlign w:val="center"/>
          </w:tcPr>
          <w:p w:rsidR="0071680D" w:rsidRDefault="001620C9">
            <w:pPr>
              <w:jc w:val="center"/>
            </w:pPr>
            <w:r>
              <w:rPr>
                <w:color w:val="000000"/>
                <w:sz w:val="24"/>
              </w:rPr>
              <w:t>601799</w:t>
            </w:r>
          </w:p>
        </w:tc>
        <w:tc>
          <w:tcPr>
            <w:tcW w:w="1417" w:type="dxa"/>
            <w:vAlign w:val="center"/>
          </w:tcPr>
          <w:p w:rsidR="0071680D" w:rsidRDefault="001620C9">
            <w:pPr>
              <w:jc w:val="center"/>
            </w:pPr>
            <w:r>
              <w:rPr>
                <w:color w:val="000000"/>
                <w:sz w:val="24"/>
              </w:rPr>
              <w:t>星宇股份</w:t>
            </w:r>
          </w:p>
        </w:tc>
        <w:tc>
          <w:tcPr>
            <w:tcW w:w="1560" w:type="dxa"/>
            <w:vAlign w:val="center"/>
          </w:tcPr>
          <w:p w:rsidR="0071680D" w:rsidRDefault="001620C9">
            <w:pPr>
              <w:jc w:val="right"/>
            </w:pPr>
            <w:r>
              <w:rPr>
                <w:color w:val="000000"/>
                <w:sz w:val="24"/>
              </w:rPr>
              <w:t>129,745</w:t>
            </w:r>
          </w:p>
        </w:tc>
        <w:tc>
          <w:tcPr>
            <w:tcW w:w="2268" w:type="dxa"/>
            <w:vAlign w:val="center"/>
          </w:tcPr>
          <w:p w:rsidR="0071680D" w:rsidRDefault="001620C9">
            <w:pPr>
              <w:jc w:val="right"/>
            </w:pPr>
            <w:r>
              <w:rPr>
                <w:color w:val="000000"/>
                <w:sz w:val="24"/>
              </w:rPr>
              <w:t>10,009,826.75</w:t>
            </w:r>
          </w:p>
        </w:tc>
        <w:tc>
          <w:tcPr>
            <w:tcW w:w="1559" w:type="dxa"/>
            <w:vAlign w:val="center"/>
          </w:tcPr>
          <w:p w:rsidR="0071680D" w:rsidRDefault="001620C9">
            <w:pPr>
              <w:jc w:val="right"/>
            </w:pPr>
            <w:r>
              <w:rPr>
                <w:color w:val="000000"/>
                <w:sz w:val="24"/>
              </w:rPr>
              <w:t>5.53</w:t>
            </w:r>
          </w:p>
        </w:tc>
      </w:tr>
      <w:tr w:rsidR="0071680D">
        <w:tc>
          <w:tcPr>
            <w:tcW w:w="817" w:type="dxa"/>
            <w:vAlign w:val="center"/>
          </w:tcPr>
          <w:p w:rsidR="0071680D" w:rsidRDefault="001620C9">
            <w:pPr>
              <w:jc w:val="center"/>
            </w:pPr>
            <w:r>
              <w:rPr>
                <w:color w:val="000000"/>
                <w:sz w:val="24"/>
              </w:rPr>
              <w:t>8</w:t>
            </w:r>
          </w:p>
        </w:tc>
        <w:tc>
          <w:tcPr>
            <w:tcW w:w="1276" w:type="dxa"/>
            <w:vAlign w:val="center"/>
          </w:tcPr>
          <w:p w:rsidR="0071680D" w:rsidRDefault="001620C9">
            <w:pPr>
              <w:jc w:val="center"/>
            </w:pPr>
            <w:r>
              <w:rPr>
                <w:color w:val="000000"/>
                <w:sz w:val="24"/>
              </w:rPr>
              <w:t>002938</w:t>
            </w:r>
          </w:p>
        </w:tc>
        <w:tc>
          <w:tcPr>
            <w:tcW w:w="1417" w:type="dxa"/>
            <w:vAlign w:val="center"/>
          </w:tcPr>
          <w:p w:rsidR="0071680D" w:rsidRDefault="001620C9">
            <w:pPr>
              <w:jc w:val="center"/>
            </w:pPr>
            <w:r>
              <w:rPr>
                <w:color w:val="000000"/>
                <w:sz w:val="24"/>
              </w:rPr>
              <w:t>鹏鼎控股</w:t>
            </w:r>
          </w:p>
        </w:tc>
        <w:tc>
          <w:tcPr>
            <w:tcW w:w="1560" w:type="dxa"/>
            <w:vAlign w:val="center"/>
          </w:tcPr>
          <w:p w:rsidR="0071680D" w:rsidRDefault="001620C9">
            <w:pPr>
              <w:jc w:val="right"/>
            </w:pPr>
            <w:r>
              <w:rPr>
                <w:color w:val="000000"/>
                <w:sz w:val="24"/>
              </w:rPr>
              <w:t>230,600</w:t>
            </w:r>
          </w:p>
        </w:tc>
        <w:tc>
          <w:tcPr>
            <w:tcW w:w="2268" w:type="dxa"/>
            <w:vAlign w:val="center"/>
          </w:tcPr>
          <w:p w:rsidR="0071680D" w:rsidRDefault="001620C9">
            <w:pPr>
              <w:jc w:val="right"/>
            </w:pPr>
            <w:r>
              <w:rPr>
                <w:color w:val="000000"/>
                <w:sz w:val="24"/>
              </w:rPr>
              <w:t>9,251,672.00</w:t>
            </w:r>
          </w:p>
        </w:tc>
        <w:tc>
          <w:tcPr>
            <w:tcW w:w="1559" w:type="dxa"/>
            <w:vAlign w:val="center"/>
          </w:tcPr>
          <w:p w:rsidR="0071680D" w:rsidRDefault="001620C9">
            <w:pPr>
              <w:jc w:val="right"/>
            </w:pPr>
            <w:r>
              <w:rPr>
                <w:color w:val="000000"/>
                <w:sz w:val="24"/>
              </w:rPr>
              <w:t>5.11</w:t>
            </w:r>
          </w:p>
        </w:tc>
      </w:tr>
      <w:tr w:rsidR="0071680D">
        <w:tc>
          <w:tcPr>
            <w:tcW w:w="817" w:type="dxa"/>
            <w:vAlign w:val="center"/>
          </w:tcPr>
          <w:p w:rsidR="0071680D" w:rsidRDefault="001620C9">
            <w:pPr>
              <w:jc w:val="center"/>
            </w:pPr>
            <w:r>
              <w:rPr>
                <w:color w:val="000000"/>
                <w:sz w:val="24"/>
              </w:rPr>
              <w:t>9</w:t>
            </w:r>
          </w:p>
        </w:tc>
        <w:tc>
          <w:tcPr>
            <w:tcW w:w="1276" w:type="dxa"/>
            <w:vAlign w:val="center"/>
          </w:tcPr>
          <w:p w:rsidR="0071680D" w:rsidRDefault="001620C9">
            <w:pPr>
              <w:jc w:val="center"/>
            </w:pPr>
            <w:r>
              <w:rPr>
                <w:color w:val="000000"/>
                <w:sz w:val="24"/>
              </w:rPr>
              <w:t>002396</w:t>
            </w:r>
          </w:p>
        </w:tc>
        <w:tc>
          <w:tcPr>
            <w:tcW w:w="1417" w:type="dxa"/>
            <w:vAlign w:val="center"/>
          </w:tcPr>
          <w:p w:rsidR="0071680D" w:rsidRDefault="001620C9">
            <w:pPr>
              <w:jc w:val="center"/>
            </w:pPr>
            <w:r>
              <w:rPr>
                <w:color w:val="000000"/>
                <w:sz w:val="24"/>
              </w:rPr>
              <w:t>星网锐捷</w:t>
            </w:r>
          </w:p>
        </w:tc>
        <w:tc>
          <w:tcPr>
            <w:tcW w:w="1560" w:type="dxa"/>
            <w:vAlign w:val="center"/>
          </w:tcPr>
          <w:p w:rsidR="0071680D" w:rsidRDefault="001620C9">
            <w:pPr>
              <w:jc w:val="right"/>
            </w:pPr>
            <w:r>
              <w:rPr>
                <w:color w:val="000000"/>
                <w:sz w:val="24"/>
              </w:rPr>
              <w:t>297,900</w:t>
            </w:r>
          </w:p>
        </w:tc>
        <w:tc>
          <w:tcPr>
            <w:tcW w:w="2268" w:type="dxa"/>
            <w:vAlign w:val="center"/>
          </w:tcPr>
          <w:p w:rsidR="0071680D" w:rsidRDefault="001620C9">
            <w:pPr>
              <w:jc w:val="right"/>
            </w:pPr>
            <w:r>
              <w:rPr>
                <w:color w:val="000000"/>
                <w:sz w:val="24"/>
              </w:rPr>
              <w:t>9,175,320.00</w:t>
            </w:r>
          </w:p>
        </w:tc>
        <w:tc>
          <w:tcPr>
            <w:tcW w:w="1559" w:type="dxa"/>
            <w:vAlign w:val="center"/>
          </w:tcPr>
          <w:p w:rsidR="0071680D" w:rsidRDefault="001620C9">
            <w:pPr>
              <w:jc w:val="right"/>
            </w:pPr>
            <w:r>
              <w:rPr>
                <w:color w:val="000000"/>
                <w:sz w:val="24"/>
              </w:rPr>
              <w:t>5.07</w:t>
            </w:r>
          </w:p>
        </w:tc>
      </w:tr>
      <w:tr w:rsidR="0071680D">
        <w:tc>
          <w:tcPr>
            <w:tcW w:w="817" w:type="dxa"/>
            <w:vAlign w:val="center"/>
          </w:tcPr>
          <w:p w:rsidR="0071680D" w:rsidRDefault="001620C9">
            <w:pPr>
              <w:jc w:val="center"/>
            </w:pPr>
            <w:r>
              <w:rPr>
                <w:color w:val="000000"/>
                <w:sz w:val="24"/>
              </w:rPr>
              <w:t>10</w:t>
            </w:r>
          </w:p>
        </w:tc>
        <w:tc>
          <w:tcPr>
            <w:tcW w:w="1276" w:type="dxa"/>
            <w:vAlign w:val="center"/>
          </w:tcPr>
          <w:p w:rsidR="0071680D" w:rsidRDefault="001620C9">
            <w:pPr>
              <w:jc w:val="center"/>
            </w:pPr>
            <w:r>
              <w:rPr>
                <w:color w:val="000000"/>
                <w:sz w:val="24"/>
              </w:rPr>
              <w:t>000002</w:t>
            </w:r>
          </w:p>
        </w:tc>
        <w:tc>
          <w:tcPr>
            <w:tcW w:w="1417" w:type="dxa"/>
            <w:vAlign w:val="center"/>
          </w:tcPr>
          <w:p w:rsidR="0071680D" w:rsidRDefault="001620C9">
            <w:pPr>
              <w:jc w:val="center"/>
            </w:pPr>
            <w:r>
              <w:rPr>
                <w:color w:val="000000"/>
                <w:sz w:val="24"/>
              </w:rPr>
              <w:t>万科</w:t>
            </w:r>
            <w:r>
              <w:rPr>
                <w:color w:val="000000"/>
                <w:sz w:val="24"/>
              </w:rPr>
              <w:t>A</w:t>
            </w:r>
          </w:p>
        </w:tc>
        <w:tc>
          <w:tcPr>
            <w:tcW w:w="1560" w:type="dxa"/>
            <w:vAlign w:val="center"/>
          </w:tcPr>
          <w:p w:rsidR="0071680D" w:rsidRDefault="001620C9">
            <w:pPr>
              <w:jc w:val="right"/>
            </w:pPr>
            <w:r>
              <w:rPr>
                <w:color w:val="000000"/>
                <w:sz w:val="24"/>
              </w:rPr>
              <w:t>345,300</w:t>
            </w:r>
          </w:p>
        </w:tc>
        <w:tc>
          <w:tcPr>
            <w:tcW w:w="2268" w:type="dxa"/>
            <w:vAlign w:val="center"/>
          </w:tcPr>
          <w:p w:rsidR="0071680D" w:rsidRDefault="001620C9">
            <w:pPr>
              <w:jc w:val="right"/>
            </w:pPr>
            <w:r>
              <w:rPr>
                <w:color w:val="000000"/>
                <w:sz w:val="24"/>
              </w:rPr>
              <w:t>8,943,270.00</w:t>
            </w:r>
          </w:p>
        </w:tc>
        <w:tc>
          <w:tcPr>
            <w:tcW w:w="1559" w:type="dxa"/>
            <w:vAlign w:val="center"/>
          </w:tcPr>
          <w:p w:rsidR="0071680D" w:rsidRDefault="001620C9">
            <w:pPr>
              <w:jc w:val="right"/>
            </w:pPr>
            <w:r>
              <w:rPr>
                <w:color w:val="000000"/>
                <w:sz w:val="24"/>
              </w:rPr>
              <w:t>4.94</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5,999,400.00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3,339,600.00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3,339,600.00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9,535,000.00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2,940,174.32</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21,814,174.32</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12.04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lastRenderedPageBreak/>
              <w:t>（％）</w:t>
            </w:r>
          </w:p>
        </w:tc>
      </w:tr>
      <w:tr w:rsidR="0071680D">
        <w:tc>
          <w:tcPr>
            <w:tcW w:w="802" w:type="dxa"/>
            <w:vAlign w:val="center"/>
          </w:tcPr>
          <w:p w:rsidR="0071680D" w:rsidRDefault="001620C9">
            <w:pPr>
              <w:jc w:val="center"/>
            </w:pPr>
            <w:r>
              <w:rPr>
                <w:color w:val="000000"/>
                <w:sz w:val="24"/>
              </w:rPr>
              <w:lastRenderedPageBreak/>
              <w:t>1</w:t>
            </w:r>
          </w:p>
        </w:tc>
        <w:tc>
          <w:tcPr>
            <w:tcW w:w="1559" w:type="dxa"/>
            <w:vAlign w:val="center"/>
          </w:tcPr>
          <w:p w:rsidR="0071680D" w:rsidRDefault="001620C9">
            <w:pPr>
              <w:jc w:val="center"/>
            </w:pPr>
            <w:r>
              <w:rPr>
                <w:color w:val="000000"/>
                <w:sz w:val="24"/>
              </w:rPr>
              <w:t>112457</w:t>
            </w:r>
          </w:p>
        </w:tc>
        <w:tc>
          <w:tcPr>
            <w:tcW w:w="1985" w:type="dxa"/>
            <w:vAlign w:val="center"/>
          </w:tcPr>
          <w:p w:rsidR="0071680D" w:rsidRDefault="001620C9">
            <w:pPr>
              <w:jc w:val="center"/>
            </w:pPr>
            <w:r>
              <w:rPr>
                <w:color w:val="000000"/>
                <w:sz w:val="24"/>
              </w:rPr>
              <w:t>16</w:t>
            </w:r>
            <w:r>
              <w:rPr>
                <w:color w:val="000000"/>
                <w:sz w:val="24"/>
              </w:rPr>
              <w:t>魏桥</w:t>
            </w:r>
            <w:r>
              <w:rPr>
                <w:color w:val="000000"/>
                <w:sz w:val="24"/>
              </w:rPr>
              <w:t>05</w:t>
            </w:r>
          </w:p>
        </w:tc>
        <w:tc>
          <w:tcPr>
            <w:tcW w:w="1559" w:type="dxa"/>
            <w:vAlign w:val="center"/>
          </w:tcPr>
          <w:p w:rsidR="0071680D" w:rsidRDefault="001620C9">
            <w:pPr>
              <w:jc w:val="right"/>
            </w:pPr>
            <w:r>
              <w:rPr>
                <w:color w:val="000000"/>
                <w:sz w:val="24"/>
              </w:rPr>
              <w:t>100,000</w:t>
            </w:r>
          </w:p>
        </w:tc>
        <w:tc>
          <w:tcPr>
            <w:tcW w:w="2126" w:type="dxa"/>
            <w:vAlign w:val="center"/>
          </w:tcPr>
          <w:p w:rsidR="0071680D" w:rsidRDefault="001620C9">
            <w:pPr>
              <w:jc w:val="right"/>
            </w:pPr>
            <w:r>
              <w:rPr>
                <w:color w:val="000000"/>
                <w:sz w:val="24"/>
              </w:rPr>
              <w:t>9,535,000.00</w:t>
            </w:r>
          </w:p>
        </w:tc>
        <w:tc>
          <w:tcPr>
            <w:tcW w:w="990" w:type="dxa"/>
            <w:vAlign w:val="center"/>
          </w:tcPr>
          <w:p w:rsidR="0071680D" w:rsidRDefault="001620C9">
            <w:pPr>
              <w:jc w:val="right"/>
            </w:pPr>
            <w:r>
              <w:rPr>
                <w:color w:val="000000"/>
                <w:sz w:val="24"/>
              </w:rPr>
              <w:t>5.26</w:t>
            </w:r>
          </w:p>
        </w:tc>
      </w:tr>
      <w:tr w:rsidR="0071680D">
        <w:tc>
          <w:tcPr>
            <w:tcW w:w="802" w:type="dxa"/>
            <w:vAlign w:val="center"/>
          </w:tcPr>
          <w:p w:rsidR="0071680D" w:rsidRDefault="001620C9">
            <w:pPr>
              <w:jc w:val="center"/>
            </w:pPr>
            <w:r>
              <w:rPr>
                <w:color w:val="000000"/>
                <w:sz w:val="24"/>
              </w:rPr>
              <w:t>2</w:t>
            </w:r>
          </w:p>
        </w:tc>
        <w:tc>
          <w:tcPr>
            <w:tcW w:w="1559" w:type="dxa"/>
            <w:vAlign w:val="center"/>
          </w:tcPr>
          <w:p w:rsidR="0071680D" w:rsidRDefault="001620C9">
            <w:pPr>
              <w:jc w:val="center"/>
            </w:pPr>
            <w:r>
              <w:rPr>
                <w:color w:val="000000"/>
                <w:sz w:val="24"/>
              </w:rPr>
              <w:t>019611</w:t>
            </w:r>
          </w:p>
        </w:tc>
        <w:tc>
          <w:tcPr>
            <w:tcW w:w="1985" w:type="dxa"/>
            <w:vAlign w:val="center"/>
          </w:tcPr>
          <w:p w:rsidR="0071680D" w:rsidRDefault="001620C9">
            <w:pPr>
              <w:jc w:val="center"/>
            </w:pPr>
            <w:r>
              <w:rPr>
                <w:color w:val="000000"/>
                <w:sz w:val="24"/>
              </w:rPr>
              <w:t>19</w:t>
            </w:r>
            <w:r>
              <w:rPr>
                <w:color w:val="000000"/>
                <w:sz w:val="24"/>
              </w:rPr>
              <w:t>国债</w:t>
            </w:r>
            <w:r>
              <w:rPr>
                <w:color w:val="000000"/>
                <w:sz w:val="24"/>
              </w:rPr>
              <w:t>01</w:t>
            </w:r>
          </w:p>
        </w:tc>
        <w:tc>
          <w:tcPr>
            <w:tcW w:w="1559" w:type="dxa"/>
            <w:vAlign w:val="center"/>
          </w:tcPr>
          <w:p w:rsidR="0071680D" w:rsidRDefault="001620C9">
            <w:pPr>
              <w:jc w:val="right"/>
            </w:pPr>
            <w:r>
              <w:rPr>
                <w:color w:val="000000"/>
                <w:sz w:val="24"/>
              </w:rPr>
              <w:t>60,000</w:t>
            </w:r>
          </w:p>
        </w:tc>
        <w:tc>
          <w:tcPr>
            <w:tcW w:w="2126" w:type="dxa"/>
            <w:vAlign w:val="center"/>
          </w:tcPr>
          <w:p w:rsidR="0071680D" w:rsidRDefault="001620C9">
            <w:pPr>
              <w:jc w:val="right"/>
            </w:pPr>
            <w:r>
              <w:rPr>
                <w:color w:val="000000"/>
                <w:sz w:val="24"/>
              </w:rPr>
              <w:t>5,999,400.00</w:t>
            </w:r>
          </w:p>
        </w:tc>
        <w:tc>
          <w:tcPr>
            <w:tcW w:w="990" w:type="dxa"/>
            <w:vAlign w:val="center"/>
          </w:tcPr>
          <w:p w:rsidR="0071680D" w:rsidRDefault="001620C9">
            <w:pPr>
              <w:jc w:val="right"/>
            </w:pPr>
            <w:r>
              <w:rPr>
                <w:color w:val="000000"/>
                <w:sz w:val="24"/>
              </w:rPr>
              <w:t>3.31</w:t>
            </w:r>
          </w:p>
        </w:tc>
      </w:tr>
      <w:tr w:rsidR="0071680D">
        <w:tc>
          <w:tcPr>
            <w:tcW w:w="802" w:type="dxa"/>
            <w:vAlign w:val="center"/>
          </w:tcPr>
          <w:p w:rsidR="0071680D" w:rsidRDefault="001620C9">
            <w:pPr>
              <w:jc w:val="center"/>
            </w:pPr>
            <w:r>
              <w:rPr>
                <w:color w:val="000000"/>
                <w:sz w:val="24"/>
              </w:rPr>
              <w:t>3</w:t>
            </w:r>
          </w:p>
        </w:tc>
        <w:tc>
          <w:tcPr>
            <w:tcW w:w="1559" w:type="dxa"/>
            <w:vAlign w:val="center"/>
          </w:tcPr>
          <w:p w:rsidR="0071680D" w:rsidRDefault="001620C9">
            <w:pPr>
              <w:jc w:val="center"/>
            </w:pPr>
            <w:r>
              <w:rPr>
                <w:color w:val="000000"/>
                <w:sz w:val="24"/>
              </w:rPr>
              <w:t>018007</w:t>
            </w:r>
          </w:p>
        </w:tc>
        <w:tc>
          <w:tcPr>
            <w:tcW w:w="1985" w:type="dxa"/>
            <w:vAlign w:val="center"/>
          </w:tcPr>
          <w:p w:rsidR="0071680D" w:rsidRDefault="001620C9">
            <w:pPr>
              <w:jc w:val="center"/>
            </w:pPr>
            <w:r>
              <w:rPr>
                <w:color w:val="000000"/>
                <w:sz w:val="24"/>
              </w:rPr>
              <w:t>国开</w:t>
            </w:r>
            <w:r>
              <w:rPr>
                <w:color w:val="000000"/>
                <w:sz w:val="24"/>
              </w:rPr>
              <w:t>1801</w:t>
            </w:r>
          </w:p>
        </w:tc>
        <w:tc>
          <w:tcPr>
            <w:tcW w:w="1559" w:type="dxa"/>
            <w:vAlign w:val="center"/>
          </w:tcPr>
          <w:p w:rsidR="0071680D" w:rsidRDefault="001620C9">
            <w:pPr>
              <w:jc w:val="right"/>
            </w:pPr>
            <w:r>
              <w:rPr>
                <w:color w:val="000000"/>
                <w:sz w:val="24"/>
              </w:rPr>
              <w:t>33,000</w:t>
            </w:r>
          </w:p>
        </w:tc>
        <w:tc>
          <w:tcPr>
            <w:tcW w:w="2126" w:type="dxa"/>
            <w:vAlign w:val="center"/>
          </w:tcPr>
          <w:p w:rsidR="0071680D" w:rsidRDefault="001620C9">
            <w:pPr>
              <w:jc w:val="right"/>
            </w:pPr>
            <w:r>
              <w:rPr>
                <w:color w:val="000000"/>
                <w:sz w:val="24"/>
              </w:rPr>
              <w:t>3,339,600.00</w:t>
            </w:r>
          </w:p>
        </w:tc>
        <w:tc>
          <w:tcPr>
            <w:tcW w:w="990" w:type="dxa"/>
            <w:vAlign w:val="center"/>
          </w:tcPr>
          <w:p w:rsidR="0071680D" w:rsidRDefault="001620C9">
            <w:pPr>
              <w:jc w:val="right"/>
            </w:pPr>
            <w:r>
              <w:rPr>
                <w:color w:val="000000"/>
                <w:sz w:val="24"/>
              </w:rPr>
              <w:t>1.84</w:t>
            </w:r>
          </w:p>
        </w:tc>
      </w:tr>
      <w:tr w:rsidR="0071680D">
        <w:tc>
          <w:tcPr>
            <w:tcW w:w="802" w:type="dxa"/>
            <w:vAlign w:val="center"/>
          </w:tcPr>
          <w:p w:rsidR="0071680D" w:rsidRDefault="001620C9">
            <w:pPr>
              <w:jc w:val="center"/>
            </w:pPr>
            <w:r>
              <w:rPr>
                <w:color w:val="000000"/>
                <w:sz w:val="24"/>
              </w:rPr>
              <w:t>4</w:t>
            </w:r>
          </w:p>
        </w:tc>
        <w:tc>
          <w:tcPr>
            <w:tcW w:w="1559" w:type="dxa"/>
            <w:vAlign w:val="center"/>
          </w:tcPr>
          <w:p w:rsidR="0071680D" w:rsidRDefault="001620C9">
            <w:pPr>
              <w:jc w:val="center"/>
            </w:pPr>
            <w:r>
              <w:rPr>
                <w:color w:val="000000"/>
                <w:sz w:val="24"/>
              </w:rPr>
              <w:t>128058</w:t>
            </w:r>
          </w:p>
        </w:tc>
        <w:tc>
          <w:tcPr>
            <w:tcW w:w="1985" w:type="dxa"/>
            <w:vAlign w:val="center"/>
          </w:tcPr>
          <w:p w:rsidR="0071680D" w:rsidRDefault="001620C9">
            <w:pPr>
              <w:jc w:val="center"/>
            </w:pPr>
            <w:r>
              <w:rPr>
                <w:color w:val="000000"/>
                <w:sz w:val="24"/>
              </w:rPr>
              <w:t>拓邦转债</w:t>
            </w:r>
          </w:p>
        </w:tc>
        <w:tc>
          <w:tcPr>
            <w:tcW w:w="1559" w:type="dxa"/>
            <w:vAlign w:val="center"/>
          </w:tcPr>
          <w:p w:rsidR="0071680D" w:rsidRDefault="001620C9">
            <w:pPr>
              <w:jc w:val="right"/>
            </w:pPr>
            <w:r>
              <w:rPr>
                <w:color w:val="000000"/>
                <w:sz w:val="24"/>
              </w:rPr>
              <w:t>15,120</w:t>
            </w:r>
          </w:p>
        </w:tc>
        <w:tc>
          <w:tcPr>
            <w:tcW w:w="2126" w:type="dxa"/>
            <w:vAlign w:val="center"/>
          </w:tcPr>
          <w:p w:rsidR="0071680D" w:rsidRDefault="001620C9">
            <w:pPr>
              <w:jc w:val="right"/>
            </w:pPr>
            <w:r>
              <w:rPr>
                <w:color w:val="000000"/>
                <w:sz w:val="24"/>
              </w:rPr>
              <w:t>1,748,174.40</w:t>
            </w:r>
          </w:p>
        </w:tc>
        <w:tc>
          <w:tcPr>
            <w:tcW w:w="990" w:type="dxa"/>
            <w:vAlign w:val="center"/>
          </w:tcPr>
          <w:p w:rsidR="0071680D" w:rsidRDefault="001620C9">
            <w:pPr>
              <w:jc w:val="right"/>
            </w:pPr>
            <w:r>
              <w:rPr>
                <w:color w:val="000000"/>
                <w:sz w:val="24"/>
              </w:rPr>
              <w:t>0.97</w:t>
            </w:r>
          </w:p>
        </w:tc>
      </w:tr>
      <w:tr w:rsidR="0071680D">
        <w:tc>
          <w:tcPr>
            <w:tcW w:w="802" w:type="dxa"/>
            <w:vAlign w:val="center"/>
          </w:tcPr>
          <w:p w:rsidR="0071680D" w:rsidRDefault="001620C9">
            <w:pPr>
              <w:jc w:val="center"/>
            </w:pPr>
            <w:r>
              <w:rPr>
                <w:color w:val="000000"/>
                <w:sz w:val="24"/>
              </w:rPr>
              <w:t>5</w:t>
            </w:r>
          </w:p>
        </w:tc>
        <w:tc>
          <w:tcPr>
            <w:tcW w:w="1559" w:type="dxa"/>
            <w:vAlign w:val="center"/>
          </w:tcPr>
          <w:p w:rsidR="0071680D" w:rsidRDefault="001620C9">
            <w:pPr>
              <w:jc w:val="center"/>
            </w:pPr>
            <w:r>
              <w:rPr>
                <w:color w:val="000000"/>
                <w:sz w:val="24"/>
              </w:rPr>
              <w:t>123003</w:t>
            </w:r>
          </w:p>
        </w:tc>
        <w:tc>
          <w:tcPr>
            <w:tcW w:w="1985" w:type="dxa"/>
            <w:vAlign w:val="center"/>
          </w:tcPr>
          <w:p w:rsidR="0071680D" w:rsidRDefault="001620C9">
            <w:pPr>
              <w:jc w:val="center"/>
            </w:pPr>
            <w:r>
              <w:rPr>
                <w:color w:val="000000"/>
                <w:sz w:val="24"/>
              </w:rPr>
              <w:t>蓝思转债</w:t>
            </w:r>
          </w:p>
        </w:tc>
        <w:tc>
          <w:tcPr>
            <w:tcW w:w="1559" w:type="dxa"/>
            <w:vAlign w:val="center"/>
          </w:tcPr>
          <w:p w:rsidR="0071680D" w:rsidRDefault="001620C9">
            <w:pPr>
              <w:jc w:val="right"/>
            </w:pPr>
            <w:r>
              <w:rPr>
                <w:color w:val="000000"/>
                <w:sz w:val="24"/>
              </w:rPr>
              <w:t>5,000</w:t>
            </w:r>
          </w:p>
        </w:tc>
        <w:tc>
          <w:tcPr>
            <w:tcW w:w="2126" w:type="dxa"/>
            <w:vAlign w:val="center"/>
          </w:tcPr>
          <w:p w:rsidR="0071680D" w:rsidRDefault="001620C9">
            <w:pPr>
              <w:jc w:val="right"/>
            </w:pPr>
            <w:r>
              <w:rPr>
                <w:color w:val="000000"/>
                <w:sz w:val="24"/>
              </w:rPr>
              <w:t>567,350.00</w:t>
            </w:r>
          </w:p>
        </w:tc>
        <w:tc>
          <w:tcPr>
            <w:tcW w:w="990" w:type="dxa"/>
            <w:vAlign w:val="center"/>
          </w:tcPr>
          <w:p w:rsidR="0071680D" w:rsidRDefault="001620C9">
            <w:pPr>
              <w:jc w:val="right"/>
            </w:pPr>
            <w:r>
              <w:rPr>
                <w:color w:val="000000"/>
                <w:sz w:val="24"/>
              </w:rPr>
              <w:t>0.31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58,080.35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238,857.35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429,599.23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726,536.93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71680D">
        <w:tc>
          <w:tcPr>
            <w:tcW w:w="0" w:type="auto"/>
            <w:vAlign w:val="center"/>
          </w:tcPr>
          <w:p w:rsidR="0071680D" w:rsidRDefault="001620C9">
            <w:pPr>
              <w:jc w:val="center"/>
            </w:pPr>
            <w:r>
              <w:rPr>
                <w:color w:val="000000"/>
                <w:sz w:val="24"/>
              </w:rPr>
              <w:t>1</w:t>
            </w:r>
          </w:p>
        </w:tc>
        <w:tc>
          <w:tcPr>
            <w:tcW w:w="0" w:type="auto"/>
            <w:vAlign w:val="center"/>
          </w:tcPr>
          <w:p w:rsidR="0071680D" w:rsidRDefault="001620C9">
            <w:pPr>
              <w:jc w:val="center"/>
            </w:pPr>
            <w:r>
              <w:rPr>
                <w:color w:val="000000"/>
                <w:sz w:val="24"/>
              </w:rPr>
              <w:t>128058</w:t>
            </w:r>
          </w:p>
        </w:tc>
        <w:tc>
          <w:tcPr>
            <w:tcW w:w="0" w:type="auto"/>
            <w:vAlign w:val="center"/>
          </w:tcPr>
          <w:p w:rsidR="0071680D" w:rsidRDefault="001620C9">
            <w:pPr>
              <w:jc w:val="center"/>
            </w:pPr>
            <w:r>
              <w:rPr>
                <w:color w:val="000000"/>
                <w:sz w:val="24"/>
              </w:rPr>
              <w:t>拓邦转债</w:t>
            </w:r>
          </w:p>
        </w:tc>
        <w:tc>
          <w:tcPr>
            <w:tcW w:w="0" w:type="auto"/>
            <w:vAlign w:val="center"/>
          </w:tcPr>
          <w:p w:rsidR="0071680D" w:rsidRDefault="001620C9">
            <w:pPr>
              <w:jc w:val="right"/>
            </w:pPr>
            <w:r>
              <w:rPr>
                <w:color w:val="000000"/>
                <w:sz w:val="24"/>
              </w:rPr>
              <w:t>1,748,174.40</w:t>
            </w:r>
          </w:p>
        </w:tc>
        <w:tc>
          <w:tcPr>
            <w:tcW w:w="0" w:type="auto"/>
            <w:vAlign w:val="center"/>
          </w:tcPr>
          <w:p w:rsidR="0071680D" w:rsidRDefault="001620C9">
            <w:pPr>
              <w:jc w:val="right"/>
            </w:pPr>
            <w:r>
              <w:rPr>
                <w:color w:val="000000"/>
                <w:sz w:val="24"/>
              </w:rPr>
              <w:t>0.97</w:t>
            </w:r>
          </w:p>
        </w:tc>
      </w:tr>
      <w:tr w:rsidR="0071680D">
        <w:tc>
          <w:tcPr>
            <w:tcW w:w="0" w:type="auto"/>
            <w:vAlign w:val="center"/>
          </w:tcPr>
          <w:p w:rsidR="0071680D" w:rsidRDefault="001620C9">
            <w:pPr>
              <w:jc w:val="center"/>
            </w:pPr>
            <w:r>
              <w:rPr>
                <w:color w:val="000000"/>
                <w:sz w:val="24"/>
              </w:rPr>
              <w:t>2</w:t>
            </w:r>
          </w:p>
        </w:tc>
        <w:tc>
          <w:tcPr>
            <w:tcW w:w="0" w:type="auto"/>
            <w:vAlign w:val="center"/>
          </w:tcPr>
          <w:p w:rsidR="0071680D" w:rsidRDefault="001620C9">
            <w:pPr>
              <w:jc w:val="center"/>
            </w:pPr>
            <w:r>
              <w:rPr>
                <w:color w:val="000000"/>
                <w:sz w:val="24"/>
              </w:rPr>
              <w:t>123003</w:t>
            </w:r>
          </w:p>
        </w:tc>
        <w:tc>
          <w:tcPr>
            <w:tcW w:w="0" w:type="auto"/>
            <w:vAlign w:val="center"/>
          </w:tcPr>
          <w:p w:rsidR="0071680D" w:rsidRDefault="001620C9">
            <w:pPr>
              <w:jc w:val="center"/>
            </w:pPr>
            <w:r>
              <w:rPr>
                <w:color w:val="000000"/>
                <w:sz w:val="24"/>
              </w:rPr>
              <w:t>蓝思转债</w:t>
            </w:r>
          </w:p>
        </w:tc>
        <w:tc>
          <w:tcPr>
            <w:tcW w:w="0" w:type="auto"/>
            <w:vAlign w:val="center"/>
          </w:tcPr>
          <w:p w:rsidR="0071680D" w:rsidRDefault="001620C9">
            <w:pPr>
              <w:jc w:val="right"/>
            </w:pPr>
            <w:r>
              <w:rPr>
                <w:color w:val="000000"/>
                <w:sz w:val="24"/>
              </w:rPr>
              <w:t>567,350.00</w:t>
            </w:r>
          </w:p>
        </w:tc>
        <w:tc>
          <w:tcPr>
            <w:tcW w:w="0" w:type="auto"/>
            <w:vAlign w:val="center"/>
          </w:tcPr>
          <w:p w:rsidR="0071680D" w:rsidRDefault="001620C9">
            <w:pPr>
              <w:jc w:val="right"/>
            </w:pPr>
            <w:r>
              <w:rPr>
                <w:color w:val="000000"/>
                <w:sz w:val="24"/>
              </w:rPr>
              <w:t>0.31</w:t>
            </w:r>
          </w:p>
        </w:tc>
      </w:tr>
      <w:tr w:rsidR="0071680D">
        <w:tc>
          <w:tcPr>
            <w:tcW w:w="0" w:type="auto"/>
            <w:vAlign w:val="center"/>
          </w:tcPr>
          <w:p w:rsidR="0071680D" w:rsidRDefault="001620C9">
            <w:pPr>
              <w:jc w:val="center"/>
            </w:pPr>
            <w:r>
              <w:rPr>
                <w:color w:val="000000"/>
                <w:sz w:val="24"/>
              </w:rPr>
              <w:t>3</w:t>
            </w:r>
          </w:p>
        </w:tc>
        <w:tc>
          <w:tcPr>
            <w:tcW w:w="0" w:type="auto"/>
            <w:vAlign w:val="center"/>
          </w:tcPr>
          <w:p w:rsidR="0071680D" w:rsidRDefault="001620C9">
            <w:pPr>
              <w:jc w:val="center"/>
            </w:pPr>
            <w:r>
              <w:rPr>
                <w:color w:val="000000"/>
                <w:sz w:val="24"/>
              </w:rPr>
              <w:t>128020</w:t>
            </w:r>
          </w:p>
        </w:tc>
        <w:tc>
          <w:tcPr>
            <w:tcW w:w="0" w:type="auto"/>
            <w:vAlign w:val="center"/>
          </w:tcPr>
          <w:p w:rsidR="0071680D" w:rsidRDefault="001620C9">
            <w:pPr>
              <w:jc w:val="center"/>
            </w:pPr>
            <w:r>
              <w:rPr>
                <w:color w:val="000000"/>
                <w:sz w:val="24"/>
              </w:rPr>
              <w:t>水晶转债</w:t>
            </w:r>
          </w:p>
        </w:tc>
        <w:tc>
          <w:tcPr>
            <w:tcW w:w="0" w:type="auto"/>
            <w:vAlign w:val="center"/>
          </w:tcPr>
          <w:p w:rsidR="0071680D" w:rsidRDefault="001620C9">
            <w:pPr>
              <w:jc w:val="right"/>
            </w:pPr>
            <w:r>
              <w:rPr>
                <w:color w:val="000000"/>
                <w:sz w:val="24"/>
              </w:rPr>
              <w:t>498,200.00</w:t>
            </w:r>
          </w:p>
        </w:tc>
        <w:tc>
          <w:tcPr>
            <w:tcW w:w="0" w:type="auto"/>
            <w:vAlign w:val="center"/>
          </w:tcPr>
          <w:p w:rsidR="0071680D" w:rsidRDefault="001620C9">
            <w:pPr>
              <w:jc w:val="right"/>
            </w:pPr>
            <w:r>
              <w:rPr>
                <w:color w:val="000000"/>
                <w:sz w:val="24"/>
              </w:rPr>
              <w:t>0.28</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易方达瑞程混合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易方达瑞程混合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120,296,315.00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5,656,626.56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83,731.93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1,558,361.82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120,212,583.07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4,098,264.74</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w:t>
            </w:r>
            <w:r w:rsidRPr="00FC0759">
              <w:rPr>
                <w:color w:val="000000"/>
                <w:sz w:val="24"/>
              </w:rPr>
              <w:lastRenderedPageBreak/>
              <w:t>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lastRenderedPageBreak/>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w:t>
            </w:r>
            <w:r w:rsidRPr="00FC0759">
              <w:rPr>
                <w:color w:val="000000"/>
                <w:sz w:val="24"/>
              </w:rPr>
              <w:lastRenderedPageBreak/>
              <w:t>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71680D">
        <w:trPr>
          <w:jc w:val="center"/>
        </w:trPr>
        <w:tc>
          <w:tcPr>
            <w:tcW w:w="709" w:type="dxa"/>
            <w:vMerge w:val="restart"/>
            <w:vAlign w:val="center"/>
          </w:tcPr>
          <w:p w:rsidR="0071680D" w:rsidRDefault="001620C9">
            <w:r>
              <w:rPr>
                <w:rFonts w:eastAsiaTheme="minorEastAsia"/>
                <w:bCs/>
                <w:color w:val="000000" w:themeColor="text1"/>
                <w:sz w:val="24"/>
              </w:rPr>
              <w:t>机构</w:t>
            </w:r>
          </w:p>
        </w:tc>
        <w:tc>
          <w:tcPr>
            <w:tcW w:w="709" w:type="dxa"/>
            <w:vAlign w:val="center"/>
          </w:tcPr>
          <w:p w:rsidR="0071680D" w:rsidRDefault="001620C9">
            <w:pPr>
              <w:jc w:val="center"/>
            </w:pPr>
            <w:r>
              <w:rPr>
                <w:sz w:val="24"/>
              </w:rPr>
              <w:t>1</w:t>
            </w:r>
          </w:p>
        </w:tc>
        <w:tc>
          <w:tcPr>
            <w:tcW w:w="2126" w:type="dxa"/>
            <w:vAlign w:val="center"/>
          </w:tcPr>
          <w:p w:rsidR="0071680D" w:rsidRDefault="001620C9">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71680D" w:rsidRDefault="001620C9">
            <w:pPr>
              <w:jc w:val="center"/>
            </w:pPr>
            <w:r>
              <w:rPr>
                <w:sz w:val="24"/>
              </w:rPr>
              <w:t>72,805,788.13</w:t>
            </w:r>
          </w:p>
        </w:tc>
        <w:tc>
          <w:tcPr>
            <w:tcW w:w="1276" w:type="dxa"/>
            <w:vAlign w:val="center"/>
          </w:tcPr>
          <w:p w:rsidR="0071680D" w:rsidRDefault="001620C9">
            <w:pPr>
              <w:jc w:val="center"/>
            </w:pPr>
            <w:r>
              <w:rPr>
                <w:sz w:val="24"/>
              </w:rPr>
              <w:t>-</w:t>
            </w:r>
          </w:p>
        </w:tc>
        <w:tc>
          <w:tcPr>
            <w:tcW w:w="1276" w:type="dxa"/>
            <w:vAlign w:val="center"/>
          </w:tcPr>
          <w:p w:rsidR="0071680D" w:rsidRDefault="001620C9">
            <w:pPr>
              <w:jc w:val="center"/>
            </w:pPr>
            <w:r>
              <w:rPr>
                <w:sz w:val="24"/>
              </w:rPr>
              <w:t>-</w:t>
            </w:r>
          </w:p>
        </w:tc>
        <w:tc>
          <w:tcPr>
            <w:tcW w:w="1417" w:type="dxa"/>
            <w:vAlign w:val="center"/>
          </w:tcPr>
          <w:p w:rsidR="0071680D" w:rsidRDefault="001620C9">
            <w:pPr>
              <w:jc w:val="center"/>
            </w:pPr>
            <w:r>
              <w:rPr>
                <w:sz w:val="24"/>
              </w:rPr>
              <w:t>72,805,788.13</w:t>
            </w:r>
          </w:p>
        </w:tc>
        <w:tc>
          <w:tcPr>
            <w:tcW w:w="851" w:type="dxa"/>
            <w:vAlign w:val="center"/>
          </w:tcPr>
          <w:p w:rsidR="0071680D" w:rsidRDefault="001620C9">
            <w:pPr>
              <w:jc w:val="center"/>
            </w:pPr>
            <w:r>
              <w:rPr>
                <w:sz w:val="24"/>
              </w:rPr>
              <w:t>58.57%</w:t>
            </w:r>
          </w:p>
        </w:tc>
      </w:tr>
      <w:tr w:rsidR="0071680D">
        <w:trPr>
          <w:jc w:val="center"/>
        </w:trPr>
        <w:tc>
          <w:tcPr>
            <w:tcW w:w="709" w:type="dxa"/>
            <w:vMerge/>
          </w:tcPr>
          <w:p w:rsidR="0071680D" w:rsidRDefault="0071680D"/>
        </w:tc>
        <w:tc>
          <w:tcPr>
            <w:tcW w:w="709" w:type="dxa"/>
            <w:vAlign w:val="center"/>
          </w:tcPr>
          <w:p w:rsidR="0071680D" w:rsidRDefault="001620C9">
            <w:pPr>
              <w:jc w:val="center"/>
            </w:pPr>
            <w:r>
              <w:rPr>
                <w:sz w:val="24"/>
              </w:rPr>
              <w:t>2</w:t>
            </w:r>
          </w:p>
        </w:tc>
        <w:tc>
          <w:tcPr>
            <w:tcW w:w="2126" w:type="dxa"/>
            <w:vAlign w:val="center"/>
          </w:tcPr>
          <w:p w:rsidR="0071680D" w:rsidRDefault="001620C9">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71680D" w:rsidRDefault="001620C9">
            <w:pPr>
              <w:jc w:val="center"/>
            </w:pPr>
            <w:r>
              <w:rPr>
                <w:sz w:val="24"/>
              </w:rPr>
              <w:t>38,705,688.68</w:t>
            </w:r>
          </w:p>
        </w:tc>
        <w:tc>
          <w:tcPr>
            <w:tcW w:w="1276" w:type="dxa"/>
            <w:vAlign w:val="center"/>
          </w:tcPr>
          <w:p w:rsidR="0071680D" w:rsidRDefault="001620C9">
            <w:pPr>
              <w:jc w:val="center"/>
            </w:pPr>
            <w:r>
              <w:rPr>
                <w:sz w:val="24"/>
              </w:rPr>
              <w:t>-</w:t>
            </w:r>
          </w:p>
        </w:tc>
        <w:tc>
          <w:tcPr>
            <w:tcW w:w="1276" w:type="dxa"/>
            <w:vAlign w:val="center"/>
          </w:tcPr>
          <w:p w:rsidR="0071680D" w:rsidRDefault="001620C9">
            <w:pPr>
              <w:jc w:val="center"/>
            </w:pPr>
            <w:r>
              <w:rPr>
                <w:sz w:val="24"/>
              </w:rPr>
              <w:t>-</w:t>
            </w:r>
          </w:p>
        </w:tc>
        <w:tc>
          <w:tcPr>
            <w:tcW w:w="1417" w:type="dxa"/>
            <w:vAlign w:val="center"/>
          </w:tcPr>
          <w:p w:rsidR="0071680D" w:rsidRDefault="001620C9">
            <w:pPr>
              <w:jc w:val="center"/>
            </w:pPr>
            <w:r>
              <w:rPr>
                <w:sz w:val="24"/>
              </w:rPr>
              <w:t>38,705,688.68</w:t>
            </w:r>
          </w:p>
        </w:tc>
        <w:tc>
          <w:tcPr>
            <w:tcW w:w="851" w:type="dxa"/>
            <w:vAlign w:val="center"/>
          </w:tcPr>
          <w:p w:rsidR="0071680D" w:rsidRDefault="001620C9">
            <w:pPr>
              <w:jc w:val="center"/>
            </w:pPr>
            <w:r>
              <w:rPr>
                <w:sz w:val="24"/>
              </w:rPr>
              <w:t>31.14%</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71680D" w:rsidRDefault="001620C9">
      <w:pPr>
        <w:spacing w:line="360" w:lineRule="auto"/>
        <w:ind w:firstLineChars="200" w:firstLine="480"/>
        <w:rPr>
          <w:color w:val="000000"/>
          <w:sz w:val="24"/>
        </w:rPr>
      </w:pPr>
      <w:r>
        <w:rPr>
          <w:color w:val="000000"/>
          <w:sz w:val="24"/>
        </w:rPr>
        <w:t>1.</w:t>
      </w:r>
      <w:r>
        <w:rPr>
          <w:color w:val="000000"/>
          <w:sz w:val="24"/>
        </w:rPr>
        <w:t>中国证监会准予易方达瑞程灵活配置混合型证券投资基金注册的文件；</w:t>
      </w:r>
    </w:p>
    <w:p w:rsidR="0071680D" w:rsidRDefault="001620C9">
      <w:pPr>
        <w:spacing w:line="360" w:lineRule="auto"/>
        <w:ind w:firstLineChars="200" w:firstLine="480"/>
        <w:rPr>
          <w:color w:val="000000"/>
          <w:sz w:val="24"/>
        </w:rPr>
      </w:pPr>
      <w:r>
        <w:rPr>
          <w:color w:val="000000"/>
          <w:sz w:val="24"/>
        </w:rPr>
        <w:t>2.</w:t>
      </w:r>
      <w:r>
        <w:rPr>
          <w:color w:val="000000"/>
          <w:sz w:val="24"/>
        </w:rPr>
        <w:t>《易方达瑞程灵活配置混合型证券投资基金基金合同》；</w:t>
      </w:r>
    </w:p>
    <w:p w:rsidR="0071680D" w:rsidRDefault="001620C9">
      <w:pPr>
        <w:spacing w:line="360" w:lineRule="auto"/>
        <w:ind w:firstLineChars="200" w:firstLine="480"/>
        <w:rPr>
          <w:color w:val="000000"/>
          <w:sz w:val="24"/>
        </w:rPr>
      </w:pPr>
      <w:r>
        <w:rPr>
          <w:color w:val="000000"/>
          <w:sz w:val="24"/>
        </w:rPr>
        <w:t>3.</w:t>
      </w:r>
      <w:r>
        <w:rPr>
          <w:color w:val="000000"/>
          <w:sz w:val="24"/>
        </w:rPr>
        <w:t>《易方达瑞程灵活配置混合型证券投资基金托管协议》；</w:t>
      </w:r>
    </w:p>
    <w:p w:rsidR="0071680D" w:rsidRDefault="001620C9">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1620C9">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1620C9">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1620C9">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易方达瑞程灵活配置混合型证券投资基金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0C9"/>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680D"/>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11E775B-B621-4289-AB16-131448F8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1191</Words>
  <Characters>6790</Characters>
  <Application>Microsoft Office Word</Application>
  <DocSecurity>0</DocSecurity>
  <Lines>56</Lines>
  <Paragraphs>15</Paragraphs>
  <ScaleCrop>false</ScaleCrop>
  <Company>TRT. Ltd. Co.</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