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易方达科瑞灵活配置混合型证券投资基金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交通银行股份有限公司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8C568E" w:rsidRDefault="001066EC">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8C568E" w:rsidRDefault="001066EC">
      <w:pPr>
        <w:spacing w:line="360" w:lineRule="auto"/>
        <w:ind w:firstLineChars="200" w:firstLine="480"/>
        <w:rPr>
          <w:color w:val="000000"/>
          <w:sz w:val="24"/>
          <w:szCs w:val="24"/>
        </w:rPr>
      </w:pPr>
      <w:r>
        <w:rPr>
          <w:color w:val="000000"/>
          <w:sz w:val="24"/>
          <w:szCs w:val="24"/>
        </w:rPr>
        <w:t>基金托管人交通银行股份有限公司根据本基金合同规定，于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8C568E" w:rsidRDefault="001066EC">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8C568E" w:rsidRDefault="001066EC">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8C568E" w:rsidRDefault="001066EC">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易方达科瑞混合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003293</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003293</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2017</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3</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747,841,985.85</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确定组合中股票、债券等资产类别的配置比例。股票投资方面，本基金将根据对各行业的综合分析，确定并调整行业配置比例。在个股选择方面，本基金将精选具有持续竞争优势且估值具有吸引力的</w:t>
            </w:r>
            <w:r w:rsidRPr="00232B03">
              <w:rPr>
                <w:color w:val="000000"/>
                <w:kern w:val="0"/>
                <w:sz w:val="24"/>
                <w:szCs w:val="24"/>
              </w:rPr>
              <w:lastRenderedPageBreak/>
              <w:t>公司进行投资。在债券投资方面，本基金将主要通过类属配置与券种选择两个层次进行投资管理。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×80%+</w:t>
            </w:r>
            <w:r w:rsidRPr="00232B03">
              <w:rPr>
                <w:color w:val="000000"/>
                <w:kern w:val="0"/>
                <w:sz w:val="24"/>
                <w:szCs w:val="24"/>
              </w:rPr>
              <w:t>中债新综合财富指数收益率</w:t>
            </w:r>
            <w:r w:rsidRPr="00232B03">
              <w:rPr>
                <w:color w:val="000000"/>
                <w:kern w:val="0"/>
                <w:sz w:val="24"/>
                <w:szCs w:val="24"/>
              </w:rPr>
              <w:t>×20%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本基金为混合基金，理论上其预期风险与预期收益水平低于股票基金，高于债券基金和货币市场基金。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交通银行股份有限公司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35,574,040.17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66,935,357.91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0.0870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858,330,313.03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1.1477</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8C568E" w:rsidRDefault="001066EC">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8C568E">
        <w:tc>
          <w:tcPr>
            <w:tcW w:w="1395" w:type="dxa"/>
            <w:vAlign w:val="center"/>
          </w:tcPr>
          <w:p w:rsidR="008C568E" w:rsidRDefault="001066EC">
            <w:pPr>
              <w:jc w:val="left"/>
            </w:pPr>
            <w:r>
              <w:rPr>
                <w:color w:val="000000"/>
                <w:kern w:val="0"/>
                <w:sz w:val="24"/>
                <w:szCs w:val="24"/>
              </w:rPr>
              <w:t>过去三个月</w:t>
            </w:r>
          </w:p>
        </w:tc>
        <w:tc>
          <w:tcPr>
            <w:tcW w:w="1092" w:type="dxa"/>
            <w:vAlign w:val="center"/>
          </w:tcPr>
          <w:p w:rsidR="008C568E" w:rsidRDefault="001066EC">
            <w:pPr>
              <w:jc w:val="center"/>
            </w:pPr>
            <w:r>
              <w:rPr>
                <w:color w:val="000000"/>
                <w:kern w:val="0"/>
                <w:sz w:val="24"/>
                <w:szCs w:val="24"/>
              </w:rPr>
              <w:t>8.20%</w:t>
            </w:r>
          </w:p>
        </w:tc>
        <w:tc>
          <w:tcPr>
            <w:tcW w:w="1161" w:type="dxa"/>
            <w:vAlign w:val="center"/>
          </w:tcPr>
          <w:p w:rsidR="008C568E" w:rsidRDefault="001066EC">
            <w:pPr>
              <w:jc w:val="center"/>
            </w:pPr>
            <w:r>
              <w:rPr>
                <w:color w:val="000000"/>
                <w:kern w:val="0"/>
                <w:sz w:val="24"/>
                <w:szCs w:val="24"/>
              </w:rPr>
              <w:t>0.81%</w:t>
            </w:r>
          </w:p>
        </w:tc>
        <w:tc>
          <w:tcPr>
            <w:tcW w:w="1181" w:type="dxa"/>
            <w:vAlign w:val="center"/>
          </w:tcPr>
          <w:p w:rsidR="008C568E" w:rsidRDefault="001066EC">
            <w:pPr>
              <w:jc w:val="center"/>
            </w:pPr>
            <w:r>
              <w:rPr>
                <w:color w:val="000000"/>
                <w:kern w:val="0"/>
                <w:sz w:val="24"/>
                <w:szCs w:val="24"/>
              </w:rPr>
              <w:t>0.05%</w:t>
            </w:r>
          </w:p>
        </w:tc>
        <w:tc>
          <w:tcPr>
            <w:tcW w:w="1188" w:type="dxa"/>
            <w:vAlign w:val="center"/>
          </w:tcPr>
          <w:p w:rsidR="008C568E" w:rsidRDefault="001066EC">
            <w:pPr>
              <w:jc w:val="center"/>
            </w:pPr>
            <w:r>
              <w:rPr>
                <w:color w:val="000000"/>
                <w:kern w:val="0"/>
                <w:sz w:val="24"/>
                <w:szCs w:val="24"/>
              </w:rPr>
              <w:t>0.77%</w:t>
            </w:r>
          </w:p>
        </w:tc>
        <w:tc>
          <w:tcPr>
            <w:tcW w:w="1199" w:type="dxa"/>
            <w:vAlign w:val="center"/>
          </w:tcPr>
          <w:p w:rsidR="008C568E" w:rsidRDefault="001066EC">
            <w:pPr>
              <w:jc w:val="center"/>
            </w:pPr>
            <w:r>
              <w:rPr>
                <w:color w:val="000000"/>
                <w:kern w:val="0"/>
                <w:sz w:val="24"/>
                <w:szCs w:val="24"/>
              </w:rPr>
              <w:t>8.15%</w:t>
            </w:r>
          </w:p>
        </w:tc>
        <w:tc>
          <w:tcPr>
            <w:tcW w:w="1204" w:type="dxa"/>
            <w:vAlign w:val="center"/>
          </w:tcPr>
          <w:p w:rsidR="008C568E" w:rsidRDefault="001066EC">
            <w:pPr>
              <w:jc w:val="center"/>
            </w:pPr>
            <w:r>
              <w:rPr>
                <w:color w:val="000000"/>
                <w:kern w:val="0"/>
                <w:sz w:val="24"/>
                <w:szCs w:val="24"/>
              </w:rPr>
              <w:t>0.04%</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自基金转型以来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易方达科瑞灵活配置混合型证券投资基金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2017</w:t>
      </w:r>
      <w:r w:rsidRPr="0074694E">
        <w:rPr>
          <w:rFonts w:ascii="Times New Roman" w:hAnsi="Times New Roman"/>
          <w:sz w:val="24"/>
          <w:szCs w:val="24"/>
        </w:rPr>
        <w:t>年</w:t>
      </w:r>
      <w:r w:rsidRPr="0074694E">
        <w:rPr>
          <w:rFonts w:ascii="Times New Roman" w:hAnsi="Times New Roman"/>
          <w:sz w:val="24"/>
          <w:szCs w:val="24"/>
        </w:rPr>
        <w:t>1</w:t>
      </w:r>
      <w:r w:rsidRPr="0074694E">
        <w:rPr>
          <w:rFonts w:ascii="Times New Roman" w:hAnsi="Times New Roman"/>
          <w:sz w:val="24"/>
          <w:szCs w:val="24"/>
        </w:rPr>
        <w:t>月</w:t>
      </w:r>
      <w:r w:rsidRPr="0074694E">
        <w:rPr>
          <w:rFonts w:ascii="Times New Roman" w:hAnsi="Times New Roman"/>
          <w:sz w:val="24"/>
          <w:szCs w:val="24"/>
        </w:rPr>
        <w:t>3</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1066EC"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8C568E" w:rsidRDefault="001066EC">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本基金由原科瑞证券投资基金于</w:t>
      </w:r>
      <w:r>
        <w:rPr>
          <w:color w:val="000000"/>
          <w:sz w:val="24"/>
          <w:szCs w:val="24"/>
        </w:rPr>
        <w:t>2017</w:t>
      </w:r>
      <w:r>
        <w:rPr>
          <w:color w:val="000000"/>
          <w:sz w:val="24"/>
          <w:szCs w:val="24"/>
        </w:rPr>
        <w:t>年</w:t>
      </w:r>
      <w:r>
        <w:rPr>
          <w:color w:val="000000"/>
          <w:sz w:val="24"/>
          <w:szCs w:val="24"/>
        </w:rPr>
        <w:t>1</w:t>
      </w:r>
      <w:r>
        <w:rPr>
          <w:color w:val="000000"/>
          <w:sz w:val="24"/>
          <w:szCs w:val="24"/>
        </w:rPr>
        <w:t>月</w:t>
      </w:r>
      <w:r>
        <w:rPr>
          <w:color w:val="000000"/>
          <w:sz w:val="24"/>
          <w:szCs w:val="24"/>
        </w:rPr>
        <w:t>3</w:t>
      </w:r>
      <w:r>
        <w:rPr>
          <w:color w:val="000000"/>
          <w:sz w:val="24"/>
          <w:szCs w:val="24"/>
        </w:rPr>
        <w:t>日转型而来。</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自基金转型至报告期末，基金份额净值增长率为</w:t>
      </w:r>
      <w:r w:rsidRPr="006C56AA">
        <w:rPr>
          <w:color w:val="000000"/>
          <w:sz w:val="24"/>
          <w:szCs w:val="24"/>
        </w:rPr>
        <w:t>34.39%</w:t>
      </w:r>
      <w:r w:rsidRPr="006C56AA">
        <w:rPr>
          <w:color w:val="000000"/>
          <w:sz w:val="24"/>
          <w:szCs w:val="24"/>
        </w:rPr>
        <w:t>，同期业绩比较基准收益率为</w:t>
      </w:r>
      <w:r w:rsidRPr="006C56AA">
        <w:rPr>
          <w:color w:val="000000"/>
          <w:sz w:val="24"/>
          <w:szCs w:val="24"/>
        </w:rPr>
        <w:t>14.59%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8C568E">
        <w:tc>
          <w:tcPr>
            <w:tcW w:w="567" w:type="dxa"/>
            <w:vAlign w:val="center"/>
          </w:tcPr>
          <w:p w:rsidR="008C568E" w:rsidRDefault="001066EC">
            <w:pPr>
              <w:jc w:val="center"/>
            </w:pPr>
            <w:r>
              <w:rPr>
                <w:color w:val="000000"/>
                <w:sz w:val="24"/>
              </w:rPr>
              <w:t>杨嘉文</w:t>
            </w:r>
          </w:p>
        </w:tc>
        <w:tc>
          <w:tcPr>
            <w:tcW w:w="2835" w:type="dxa"/>
            <w:vAlign w:val="center"/>
          </w:tcPr>
          <w:p w:rsidR="008C568E" w:rsidRDefault="001066EC">
            <w:pPr>
              <w:jc w:val="center"/>
            </w:pPr>
            <w:r>
              <w:rPr>
                <w:color w:val="000000"/>
                <w:sz w:val="24"/>
              </w:rPr>
              <w:t>本基金的基金经理</w:t>
            </w:r>
          </w:p>
        </w:tc>
        <w:tc>
          <w:tcPr>
            <w:tcW w:w="851" w:type="dxa"/>
            <w:vAlign w:val="center"/>
          </w:tcPr>
          <w:p w:rsidR="008C568E" w:rsidRDefault="001066EC">
            <w:pPr>
              <w:jc w:val="center"/>
            </w:pPr>
            <w:r>
              <w:rPr>
                <w:color w:val="000000"/>
                <w:sz w:val="24"/>
              </w:rPr>
              <w:t>2017-12-27</w:t>
            </w:r>
          </w:p>
        </w:tc>
        <w:tc>
          <w:tcPr>
            <w:tcW w:w="850" w:type="dxa"/>
            <w:vAlign w:val="center"/>
          </w:tcPr>
          <w:p w:rsidR="008C568E" w:rsidRDefault="001066EC">
            <w:pPr>
              <w:jc w:val="center"/>
            </w:pPr>
            <w:r>
              <w:rPr>
                <w:color w:val="000000"/>
                <w:sz w:val="24"/>
              </w:rPr>
              <w:t>-</w:t>
            </w:r>
          </w:p>
        </w:tc>
        <w:tc>
          <w:tcPr>
            <w:tcW w:w="851" w:type="dxa"/>
            <w:vAlign w:val="center"/>
          </w:tcPr>
          <w:p w:rsidR="008C568E" w:rsidRDefault="001066EC">
            <w:pPr>
              <w:jc w:val="center"/>
            </w:pPr>
            <w:r>
              <w:rPr>
                <w:color w:val="000000"/>
                <w:sz w:val="24"/>
              </w:rPr>
              <w:t>8</w:t>
            </w:r>
            <w:r>
              <w:rPr>
                <w:color w:val="000000"/>
                <w:sz w:val="24"/>
              </w:rPr>
              <w:t>年</w:t>
            </w:r>
          </w:p>
        </w:tc>
        <w:tc>
          <w:tcPr>
            <w:tcW w:w="2977" w:type="dxa"/>
            <w:vAlign w:val="center"/>
          </w:tcPr>
          <w:p w:rsidR="008C568E" w:rsidRDefault="001066EC">
            <w:r>
              <w:rPr>
                <w:color w:val="000000"/>
                <w:sz w:val="24"/>
              </w:rPr>
              <w:t>硕士研究生，曾任大成基金管理有限公司研究部研究员，易方达基金管理有限公司行业研究员、易方达科瑞灵活配置混合型证券投资基金基金经理助理。</w:t>
            </w:r>
          </w:p>
        </w:tc>
      </w:tr>
    </w:tbl>
    <w:p w:rsidR="008C568E" w:rsidRDefault="001066EC">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8C568E" w:rsidRDefault="001066EC">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w:t>
      </w:r>
      <w:r>
        <w:rPr>
          <w:color w:val="000000"/>
          <w:sz w:val="24"/>
          <w:szCs w:val="24"/>
        </w:rPr>
        <w:t>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8C568E" w:rsidRDefault="001066EC">
      <w:pPr>
        <w:spacing w:line="360" w:lineRule="auto"/>
        <w:ind w:firstLineChars="200" w:firstLine="480"/>
        <w:rPr>
          <w:color w:val="000000"/>
          <w:sz w:val="24"/>
          <w:szCs w:val="24"/>
        </w:rPr>
      </w:pPr>
      <w:r>
        <w:rPr>
          <w:color w:val="000000"/>
          <w:sz w:val="24"/>
          <w:szCs w:val="24"/>
        </w:rPr>
        <w:t>2019</w:t>
      </w:r>
      <w:r>
        <w:rPr>
          <w:color w:val="000000"/>
          <w:sz w:val="24"/>
          <w:szCs w:val="24"/>
        </w:rPr>
        <w:t>年第三季度</w:t>
      </w:r>
      <w:r>
        <w:rPr>
          <w:color w:val="000000"/>
          <w:sz w:val="24"/>
          <w:szCs w:val="24"/>
        </w:rPr>
        <w:t>A</w:t>
      </w:r>
      <w:r>
        <w:rPr>
          <w:color w:val="000000"/>
          <w:sz w:val="24"/>
          <w:szCs w:val="24"/>
        </w:rPr>
        <w:t>股主流的市场指数以震荡为主，其中沪深</w:t>
      </w:r>
      <w:r>
        <w:rPr>
          <w:color w:val="000000"/>
          <w:sz w:val="24"/>
          <w:szCs w:val="24"/>
        </w:rPr>
        <w:t>300</w:t>
      </w:r>
      <w:r>
        <w:rPr>
          <w:color w:val="000000"/>
          <w:sz w:val="24"/>
          <w:szCs w:val="24"/>
        </w:rPr>
        <w:t>指数下跌</w:t>
      </w:r>
      <w:r>
        <w:rPr>
          <w:color w:val="000000"/>
          <w:sz w:val="24"/>
          <w:szCs w:val="24"/>
        </w:rPr>
        <w:t>0.29%</w:t>
      </w:r>
      <w:r>
        <w:rPr>
          <w:color w:val="000000"/>
          <w:sz w:val="24"/>
          <w:szCs w:val="24"/>
        </w:rPr>
        <w:t>，上证</w:t>
      </w:r>
      <w:r>
        <w:rPr>
          <w:color w:val="000000"/>
          <w:sz w:val="24"/>
          <w:szCs w:val="24"/>
        </w:rPr>
        <w:t>50</w:t>
      </w:r>
      <w:r>
        <w:rPr>
          <w:color w:val="000000"/>
          <w:sz w:val="24"/>
          <w:szCs w:val="24"/>
        </w:rPr>
        <w:t>指数下跌</w:t>
      </w:r>
      <w:r>
        <w:rPr>
          <w:color w:val="000000"/>
          <w:sz w:val="24"/>
          <w:szCs w:val="24"/>
        </w:rPr>
        <w:t>1.12%</w:t>
      </w:r>
      <w:r>
        <w:rPr>
          <w:color w:val="000000"/>
          <w:sz w:val="24"/>
          <w:szCs w:val="24"/>
        </w:rPr>
        <w:t>，上证综指下跌</w:t>
      </w:r>
      <w:r>
        <w:rPr>
          <w:color w:val="000000"/>
          <w:sz w:val="24"/>
          <w:szCs w:val="24"/>
        </w:rPr>
        <w:t>2.47%</w:t>
      </w:r>
      <w:r>
        <w:rPr>
          <w:color w:val="000000"/>
          <w:sz w:val="24"/>
          <w:szCs w:val="24"/>
        </w:rPr>
        <w:t>，中小板综合指数上涨</w:t>
      </w:r>
      <w:r>
        <w:rPr>
          <w:color w:val="000000"/>
          <w:sz w:val="24"/>
          <w:szCs w:val="24"/>
        </w:rPr>
        <w:t>1.52%</w:t>
      </w:r>
      <w:r>
        <w:rPr>
          <w:color w:val="000000"/>
          <w:sz w:val="24"/>
          <w:szCs w:val="24"/>
        </w:rPr>
        <w:t>，创业板指数上涨</w:t>
      </w:r>
      <w:r>
        <w:rPr>
          <w:color w:val="000000"/>
          <w:sz w:val="24"/>
          <w:szCs w:val="24"/>
        </w:rPr>
        <w:t>7.68%</w:t>
      </w:r>
      <w:r>
        <w:rPr>
          <w:color w:val="000000"/>
          <w:sz w:val="24"/>
          <w:szCs w:val="24"/>
        </w:rPr>
        <w:t>。</w:t>
      </w:r>
    </w:p>
    <w:p w:rsidR="008C568E" w:rsidRDefault="001066EC">
      <w:pPr>
        <w:spacing w:line="360" w:lineRule="auto"/>
        <w:ind w:firstLineChars="200" w:firstLine="480"/>
        <w:rPr>
          <w:color w:val="000000"/>
          <w:sz w:val="24"/>
          <w:szCs w:val="24"/>
        </w:rPr>
      </w:pPr>
      <w:r>
        <w:rPr>
          <w:color w:val="000000"/>
          <w:sz w:val="24"/>
          <w:szCs w:val="24"/>
        </w:rPr>
        <w:t>分析原因：</w:t>
      </w:r>
    </w:p>
    <w:p w:rsidR="008C568E" w:rsidRDefault="001066EC">
      <w:pPr>
        <w:spacing w:line="360" w:lineRule="auto"/>
        <w:ind w:firstLineChars="200" w:firstLine="480"/>
        <w:rPr>
          <w:color w:val="000000"/>
          <w:sz w:val="24"/>
          <w:szCs w:val="24"/>
        </w:rPr>
      </w:pPr>
      <w:r>
        <w:rPr>
          <w:color w:val="000000"/>
          <w:sz w:val="24"/>
          <w:szCs w:val="24"/>
        </w:rPr>
        <w:t>1.</w:t>
      </w:r>
      <w:r>
        <w:rPr>
          <w:color w:val="000000"/>
          <w:sz w:val="24"/>
          <w:szCs w:val="24"/>
        </w:rPr>
        <w:t>宏观经济层面，三季度全球经济增长承压，</w:t>
      </w:r>
      <w:r>
        <w:rPr>
          <w:color w:val="000000"/>
          <w:sz w:val="24"/>
          <w:szCs w:val="24"/>
        </w:rPr>
        <w:t>8</w:t>
      </w:r>
      <w:r>
        <w:rPr>
          <w:color w:val="000000"/>
          <w:sz w:val="24"/>
          <w:szCs w:val="24"/>
        </w:rPr>
        <w:t>月一度出现多国国债收益率倒挂引发经济衰退预期，美联储连续两次降息，欧央行也降息同时重启</w:t>
      </w:r>
      <w:r>
        <w:rPr>
          <w:color w:val="000000"/>
          <w:sz w:val="24"/>
          <w:szCs w:val="24"/>
        </w:rPr>
        <w:t>QE</w:t>
      </w:r>
      <w:r>
        <w:rPr>
          <w:color w:val="000000"/>
          <w:sz w:val="24"/>
          <w:szCs w:val="24"/>
        </w:rPr>
        <w:t>，全球货币宽松；中美谈判反复波折，中方</w:t>
      </w:r>
      <w:r>
        <w:rPr>
          <w:color w:val="000000"/>
          <w:sz w:val="24"/>
          <w:szCs w:val="24"/>
        </w:rPr>
        <w:t>750</w:t>
      </w:r>
      <w:r>
        <w:rPr>
          <w:color w:val="000000"/>
          <w:sz w:val="24"/>
          <w:szCs w:val="24"/>
        </w:rPr>
        <w:t>亿美元关税反制一度引发美国</w:t>
      </w:r>
      <w:r>
        <w:rPr>
          <w:color w:val="000000"/>
          <w:sz w:val="24"/>
          <w:szCs w:val="24"/>
        </w:rPr>
        <w:t>3000</w:t>
      </w:r>
      <w:r>
        <w:rPr>
          <w:color w:val="000000"/>
          <w:sz w:val="24"/>
          <w:szCs w:val="24"/>
        </w:rPr>
        <w:t>亿美元额外关税的强势反弹，近期美国国内</w:t>
      </w:r>
      <w:r>
        <w:rPr>
          <w:color w:val="000000"/>
          <w:sz w:val="24"/>
          <w:szCs w:val="24"/>
        </w:rPr>
        <w:t>“</w:t>
      </w:r>
      <w:r>
        <w:rPr>
          <w:color w:val="000000"/>
          <w:sz w:val="24"/>
          <w:szCs w:val="24"/>
        </w:rPr>
        <w:t>通乌门</w:t>
      </w:r>
      <w:r>
        <w:rPr>
          <w:color w:val="000000"/>
          <w:sz w:val="24"/>
          <w:szCs w:val="24"/>
        </w:rPr>
        <w:t>”</w:t>
      </w:r>
      <w:r>
        <w:rPr>
          <w:color w:val="000000"/>
          <w:sz w:val="24"/>
          <w:szCs w:val="24"/>
        </w:rPr>
        <w:t>发酵，中美重启谈判但美方极限施压政策依然不断；英国硬脱欧风险仍存，沙特油田遇袭导致油价不确定性提升，外部风险偏好扰动频繁，各国指数宽幅震荡。</w:t>
      </w:r>
    </w:p>
    <w:p w:rsidR="008C568E" w:rsidRDefault="001066EC">
      <w:pPr>
        <w:spacing w:line="360" w:lineRule="auto"/>
        <w:ind w:firstLineChars="200" w:firstLine="480"/>
        <w:rPr>
          <w:color w:val="000000"/>
          <w:sz w:val="24"/>
          <w:szCs w:val="24"/>
        </w:rPr>
      </w:pPr>
      <w:r>
        <w:rPr>
          <w:color w:val="000000"/>
          <w:sz w:val="24"/>
          <w:szCs w:val="24"/>
        </w:rPr>
        <w:t>2.</w:t>
      </w:r>
      <w:r>
        <w:rPr>
          <w:color w:val="000000"/>
          <w:sz w:val="24"/>
          <w:szCs w:val="24"/>
        </w:rPr>
        <w:t>国内流动性层面，三季度改革</w:t>
      </w:r>
      <w:r>
        <w:rPr>
          <w:color w:val="000000"/>
          <w:sz w:val="24"/>
          <w:szCs w:val="24"/>
        </w:rPr>
        <w:t>LPR</w:t>
      </w:r>
      <w:r>
        <w:rPr>
          <w:color w:val="000000"/>
          <w:sz w:val="24"/>
          <w:szCs w:val="24"/>
        </w:rPr>
        <w:t>机制理顺流动性传导机制，叠加海外货币政策宽松，国内定向降准和全面降准措施双</w:t>
      </w:r>
      <w:r>
        <w:rPr>
          <w:color w:val="000000"/>
          <w:sz w:val="24"/>
          <w:szCs w:val="24"/>
        </w:rPr>
        <w:t>管齐下，市场发酵流动性宽松预期；</w:t>
      </w:r>
      <w:r>
        <w:rPr>
          <w:color w:val="000000"/>
          <w:sz w:val="24"/>
          <w:szCs w:val="24"/>
        </w:rPr>
        <w:t>9</w:t>
      </w:r>
      <w:r>
        <w:rPr>
          <w:color w:val="000000"/>
          <w:sz w:val="24"/>
          <w:szCs w:val="24"/>
        </w:rPr>
        <w:t>月</w:t>
      </w:r>
      <w:r>
        <w:rPr>
          <w:color w:val="000000"/>
          <w:sz w:val="24"/>
          <w:szCs w:val="24"/>
        </w:rPr>
        <w:t>MLF</w:t>
      </w:r>
      <w:r>
        <w:rPr>
          <w:color w:val="000000"/>
          <w:sz w:val="24"/>
          <w:szCs w:val="24"/>
        </w:rPr>
        <w:t>利率未下调验证货币政策定力，房地产融资监管趋严，信用融资前紧后松，整体流动性保持合理充裕。</w:t>
      </w:r>
    </w:p>
    <w:p w:rsidR="008C568E" w:rsidRDefault="001066EC">
      <w:pPr>
        <w:spacing w:line="360" w:lineRule="auto"/>
        <w:ind w:firstLineChars="200" w:firstLine="480"/>
        <w:rPr>
          <w:color w:val="000000"/>
          <w:sz w:val="24"/>
          <w:szCs w:val="24"/>
        </w:rPr>
      </w:pPr>
      <w:r>
        <w:rPr>
          <w:color w:val="000000"/>
          <w:sz w:val="24"/>
          <w:szCs w:val="24"/>
        </w:rPr>
        <w:t>3.</w:t>
      </w:r>
      <w:r>
        <w:rPr>
          <w:color w:val="000000"/>
          <w:sz w:val="24"/>
          <w:szCs w:val="24"/>
        </w:rPr>
        <w:t>实体经济运行层面，三季度经济增长承压，工业增加值持续回落；投资增速略有回落但仍保持韧性，房地产投资和基建投资构成重要支撑，而制造业投资趋势下行，其中基建投资主要受益于专项债加速发行；消费增速则受汽车销售拖累呈现下跌态势，出口增速在贸易摩擦格局下也面临压力；</w:t>
      </w:r>
      <w:r>
        <w:rPr>
          <w:color w:val="000000"/>
          <w:sz w:val="24"/>
          <w:szCs w:val="24"/>
        </w:rPr>
        <w:t>2020</w:t>
      </w:r>
      <w:r>
        <w:rPr>
          <w:color w:val="000000"/>
          <w:sz w:val="24"/>
          <w:szCs w:val="24"/>
        </w:rPr>
        <w:t>年专项债额度可能提前至</w:t>
      </w:r>
      <w:r>
        <w:rPr>
          <w:color w:val="000000"/>
          <w:sz w:val="24"/>
          <w:szCs w:val="24"/>
        </w:rPr>
        <w:t>2019</w:t>
      </w:r>
      <w:r>
        <w:rPr>
          <w:color w:val="000000"/>
          <w:sz w:val="24"/>
          <w:szCs w:val="24"/>
        </w:rPr>
        <w:t>年发行，对基建投资将构成支撑，未来经济仍将保持韧性，近</w:t>
      </w:r>
      <w:r>
        <w:rPr>
          <w:color w:val="000000"/>
          <w:sz w:val="24"/>
          <w:szCs w:val="24"/>
        </w:rPr>
        <w:t>2</w:t>
      </w:r>
      <w:r>
        <w:rPr>
          <w:color w:val="000000"/>
          <w:sz w:val="24"/>
          <w:szCs w:val="24"/>
        </w:rPr>
        <w:t>个月</w:t>
      </w:r>
      <w:r>
        <w:rPr>
          <w:color w:val="000000"/>
          <w:sz w:val="24"/>
          <w:szCs w:val="24"/>
        </w:rPr>
        <w:t>CPI</w:t>
      </w:r>
      <w:r>
        <w:rPr>
          <w:color w:val="000000"/>
          <w:sz w:val="24"/>
          <w:szCs w:val="24"/>
        </w:rPr>
        <w:t>已经持续维持</w:t>
      </w:r>
      <w:r>
        <w:rPr>
          <w:color w:val="000000"/>
          <w:sz w:val="24"/>
          <w:szCs w:val="24"/>
        </w:rPr>
        <w:t>2</w:t>
      </w:r>
      <w:r>
        <w:rPr>
          <w:color w:val="000000"/>
          <w:sz w:val="24"/>
          <w:szCs w:val="24"/>
        </w:rPr>
        <w:t>.8%</w:t>
      </w:r>
      <w:r>
        <w:rPr>
          <w:color w:val="000000"/>
          <w:sz w:val="24"/>
          <w:szCs w:val="24"/>
        </w:rPr>
        <w:t>高位，猪价带来的通胀压力依然存在，货币政策约束可能增加；而</w:t>
      </w:r>
      <w:r>
        <w:rPr>
          <w:color w:val="000000"/>
          <w:sz w:val="24"/>
          <w:szCs w:val="24"/>
        </w:rPr>
        <w:t>PPI</w:t>
      </w:r>
      <w:r>
        <w:rPr>
          <w:color w:val="000000"/>
          <w:sz w:val="24"/>
          <w:szCs w:val="24"/>
        </w:rPr>
        <w:t>则持续回落，生产资料价格面临通缩压力。</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本基金在</w:t>
      </w:r>
      <w:r w:rsidRPr="006C56AA">
        <w:rPr>
          <w:color w:val="000000"/>
          <w:sz w:val="24"/>
          <w:szCs w:val="24"/>
        </w:rPr>
        <w:t>2019</w:t>
      </w:r>
      <w:r w:rsidRPr="006C56AA">
        <w:rPr>
          <w:color w:val="000000"/>
          <w:sz w:val="24"/>
          <w:szCs w:val="24"/>
        </w:rPr>
        <w:t>年第三季度股票仓位稳定在</w:t>
      </w:r>
      <w:r w:rsidRPr="006C56AA">
        <w:rPr>
          <w:color w:val="000000"/>
          <w:sz w:val="24"/>
          <w:szCs w:val="24"/>
        </w:rPr>
        <w:t>85%</w:t>
      </w:r>
      <w:r w:rsidRPr="006C56AA">
        <w:rPr>
          <w:color w:val="000000"/>
          <w:sz w:val="24"/>
          <w:szCs w:val="24"/>
        </w:rPr>
        <w:t>左右。根据对上述的宏观经济判断，在行业和个股上作出了一些调整，加大了对成长板块的配置，比如计算机、医药、电子。其次，因判断四季度通胀可能会进一步走高，维持白酒、超市、养殖的配置。最后，从估值性价比进行板块比较，增加了轻工、汽车配置。</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1.1477</w:t>
      </w:r>
      <w:r w:rsidRPr="006C56AA">
        <w:rPr>
          <w:color w:val="000000"/>
          <w:sz w:val="24"/>
          <w:szCs w:val="24"/>
        </w:rPr>
        <w:t>元，本报告期份额净值增长率为</w:t>
      </w:r>
      <w:r w:rsidRPr="006C56AA">
        <w:rPr>
          <w:color w:val="000000"/>
          <w:sz w:val="24"/>
          <w:szCs w:val="24"/>
        </w:rPr>
        <w:t>8.20%</w:t>
      </w:r>
      <w:r w:rsidRPr="006C56AA">
        <w:rPr>
          <w:color w:val="000000"/>
          <w:sz w:val="24"/>
          <w:szCs w:val="24"/>
        </w:rPr>
        <w:t>，同期业绩比较基准收益率为</w:t>
      </w:r>
      <w:r w:rsidRPr="006C56AA">
        <w:rPr>
          <w:color w:val="000000"/>
          <w:sz w:val="24"/>
          <w:szCs w:val="24"/>
        </w:rPr>
        <w:t>0.05%</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734,228,115.73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84.58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734,228,115.73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84.58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29,988,000.00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3.45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29,988,000.00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3.45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101,575,136.94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11.70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2,278,274.88</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0.26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868,069,527.55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45,684,762.86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5.32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346,882.00</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0.04</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444,642,546.74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51.80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1,264,802.00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53,626,936.24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3,170,880.00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0.37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78,198.64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127,791,515.62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14.89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13,823,752.80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43,797,838.83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5.10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734,228,115.73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85.54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8C568E">
        <w:tc>
          <w:tcPr>
            <w:tcW w:w="851" w:type="dxa"/>
            <w:vAlign w:val="center"/>
          </w:tcPr>
          <w:p w:rsidR="008C568E" w:rsidRDefault="001066EC">
            <w:pPr>
              <w:jc w:val="center"/>
            </w:pPr>
            <w:r>
              <w:rPr>
                <w:color w:val="000000"/>
                <w:kern w:val="0"/>
                <w:sz w:val="24"/>
                <w:szCs w:val="24"/>
              </w:rPr>
              <w:t>1</w:t>
            </w:r>
          </w:p>
        </w:tc>
        <w:tc>
          <w:tcPr>
            <w:tcW w:w="1276" w:type="dxa"/>
            <w:vAlign w:val="center"/>
          </w:tcPr>
          <w:p w:rsidR="008C568E" w:rsidRDefault="001066EC">
            <w:pPr>
              <w:jc w:val="center"/>
            </w:pPr>
            <w:r>
              <w:rPr>
                <w:color w:val="000000"/>
                <w:kern w:val="0"/>
                <w:sz w:val="24"/>
                <w:szCs w:val="24"/>
              </w:rPr>
              <w:t>600519</w:t>
            </w:r>
          </w:p>
        </w:tc>
        <w:tc>
          <w:tcPr>
            <w:tcW w:w="1418" w:type="dxa"/>
            <w:vAlign w:val="center"/>
          </w:tcPr>
          <w:p w:rsidR="008C568E" w:rsidRDefault="001066EC">
            <w:pPr>
              <w:jc w:val="center"/>
            </w:pPr>
            <w:r>
              <w:rPr>
                <w:color w:val="000000"/>
                <w:kern w:val="0"/>
                <w:sz w:val="24"/>
                <w:szCs w:val="24"/>
              </w:rPr>
              <w:t>贵州茅台</w:t>
            </w:r>
          </w:p>
        </w:tc>
        <w:tc>
          <w:tcPr>
            <w:tcW w:w="1701" w:type="dxa"/>
            <w:vAlign w:val="center"/>
          </w:tcPr>
          <w:p w:rsidR="008C568E" w:rsidRDefault="001066EC">
            <w:pPr>
              <w:jc w:val="right"/>
            </w:pPr>
            <w:r>
              <w:rPr>
                <w:color w:val="000000"/>
                <w:kern w:val="0"/>
                <w:sz w:val="24"/>
                <w:szCs w:val="24"/>
              </w:rPr>
              <w:t>68,583</w:t>
            </w:r>
          </w:p>
        </w:tc>
        <w:tc>
          <w:tcPr>
            <w:tcW w:w="1984" w:type="dxa"/>
            <w:vAlign w:val="center"/>
          </w:tcPr>
          <w:p w:rsidR="008C568E" w:rsidRDefault="001066EC">
            <w:pPr>
              <w:jc w:val="right"/>
            </w:pPr>
            <w:r>
              <w:rPr>
                <w:color w:val="000000"/>
                <w:kern w:val="0"/>
                <w:sz w:val="24"/>
                <w:szCs w:val="24"/>
              </w:rPr>
              <w:t>78,870,450.00</w:t>
            </w:r>
          </w:p>
        </w:tc>
        <w:tc>
          <w:tcPr>
            <w:tcW w:w="1559" w:type="dxa"/>
            <w:vAlign w:val="center"/>
          </w:tcPr>
          <w:p w:rsidR="008C568E" w:rsidRDefault="001066EC">
            <w:pPr>
              <w:jc w:val="right"/>
            </w:pPr>
            <w:r>
              <w:rPr>
                <w:color w:val="000000"/>
                <w:kern w:val="0"/>
                <w:sz w:val="24"/>
                <w:szCs w:val="24"/>
              </w:rPr>
              <w:t>9.19</w:t>
            </w:r>
          </w:p>
        </w:tc>
      </w:tr>
      <w:tr w:rsidR="008C568E">
        <w:tc>
          <w:tcPr>
            <w:tcW w:w="851" w:type="dxa"/>
            <w:vAlign w:val="center"/>
          </w:tcPr>
          <w:p w:rsidR="008C568E" w:rsidRDefault="001066EC">
            <w:pPr>
              <w:jc w:val="center"/>
            </w:pPr>
            <w:r>
              <w:rPr>
                <w:color w:val="000000"/>
                <w:kern w:val="0"/>
                <w:sz w:val="24"/>
                <w:szCs w:val="24"/>
              </w:rPr>
              <w:t>2</w:t>
            </w:r>
          </w:p>
        </w:tc>
        <w:tc>
          <w:tcPr>
            <w:tcW w:w="1276" w:type="dxa"/>
            <w:vAlign w:val="center"/>
          </w:tcPr>
          <w:p w:rsidR="008C568E" w:rsidRDefault="001066EC">
            <w:pPr>
              <w:jc w:val="center"/>
            </w:pPr>
            <w:r>
              <w:rPr>
                <w:color w:val="000000"/>
                <w:kern w:val="0"/>
                <w:sz w:val="24"/>
                <w:szCs w:val="24"/>
              </w:rPr>
              <w:t>601318</w:t>
            </w:r>
          </w:p>
        </w:tc>
        <w:tc>
          <w:tcPr>
            <w:tcW w:w="1418" w:type="dxa"/>
            <w:vAlign w:val="center"/>
          </w:tcPr>
          <w:p w:rsidR="008C568E" w:rsidRDefault="001066EC">
            <w:pPr>
              <w:jc w:val="center"/>
            </w:pPr>
            <w:r>
              <w:rPr>
                <w:color w:val="000000"/>
                <w:kern w:val="0"/>
                <w:sz w:val="24"/>
                <w:szCs w:val="24"/>
              </w:rPr>
              <w:t>中国平安</w:t>
            </w:r>
          </w:p>
        </w:tc>
        <w:tc>
          <w:tcPr>
            <w:tcW w:w="1701" w:type="dxa"/>
            <w:vAlign w:val="center"/>
          </w:tcPr>
          <w:p w:rsidR="008C568E" w:rsidRDefault="001066EC">
            <w:pPr>
              <w:jc w:val="right"/>
            </w:pPr>
            <w:r>
              <w:rPr>
                <w:color w:val="000000"/>
                <w:kern w:val="0"/>
                <w:sz w:val="24"/>
                <w:szCs w:val="24"/>
              </w:rPr>
              <w:t>629,693</w:t>
            </w:r>
          </w:p>
        </w:tc>
        <w:tc>
          <w:tcPr>
            <w:tcW w:w="1984" w:type="dxa"/>
            <w:vAlign w:val="center"/>
          </w:tcPr>
          <w:p w:rsidR="008C568E" w:rsidRDefault="001066EC">
            <w:pPr>
              <w:jc w:val="right"/>
            </w:pPr>
            <w:r>
              <w:rPr>
                <w:color w:val="000000"/>
                <w:kern w:val="0"/>
                <w:sz w:val="24"/>
                <w:szCs w:val="24"/>
              </w:rPr>
              <w:t>54,808,478.72</w:t>
            </w:r>
          </w:p>
        </w:tc>
        <w:tc>
          <w:tcPr>
            <w:tcW w:w="1559" w:type="dxa"/>
            <w:vAlign w:val="center"/>
          </w:tcPr>
          <w:p w:rsidR="008C568E" w:rsidRDefault="001066EC">
            <w:pPr>
              <w:jc w:val="right"/>
            </w:pPr>
            <w:r>
              <w:rPr>
                <w:color w:val="000000"/>
                <w:kern w:val="0"/>
                <w:sz w:val="24"/>
                <w:szCs w:val="24"/>
              </w:rPr>
              <w:t>6.39</w:t>
            </w:r>
          </w:p>
        </w:tc>
      </w:tr>
      <w:tr w:rsidR="008C568E">
        <w:tc>
          <w:tcPr>
            <w:tcW w:w="851" w:type="dxa"/>
            <w:vAlign w:val="center"/>
          </w:tcPr>
          <w:p w:rsidR="008C568E" w:rsidRDefault="001066EC">
            <w:pPr>
              <w:jc w:val="center"/>
            </w:pPr>
            <w:r>
              <w:rPr>
                <w:color w:val="000000"/>
                <w:kern w:val="0"/>
                <w:sz w:val="24"/>
                <w:szCs w:val="24"/>
              </w:rPr>
              <w:t>3</w:t>
            </w:r>
          </w:p>
        </w:tc>
        <w:tc>
          <w:tcPr>
            <w:tcW w:w="1276" w:type="dxa"/>
            <w:vAlign w:val="center"/>
          </w:tcPr>
          <w:p w:rsidR="008C568E" w:rsidRDefault="001066EC">
            <w:pPr>
              <w:jc w:val="center"/>
            </w:pPr>
            <w:r>
              <w:rPr>
                <w:color w:val="000000"/>
                <w:kern w:val="0"/>
                <w:sz w:val="24"/>
                <w:szCs w:val="24"/>
              </w:rPr>
              <w:t>002127</w:t>
            </w:r>
          </w:p>
        </w:tc>
        <w:tc>
          <w:tcPr>
            <w:tcW w:w="1418" w:type="dxa"/>
            <w:vAlign w:val="center"/>
          </w:tcPr>
          <w:p w:rsidR="008C568E" w:rsidRDefault="001066EC">
            <w:pPr>
              <w:jc w:val="center"/>
            </w:pPr>
            <w:r>
              <w:rPr>
                <w:color w:val="000000"/>
                <w:kern w:val="0"/>
                <w:sz w:val="24"/>
                <w:szCs w:val="24"/>
              </w:rPr>
              <w:t>南极电商</w:t>
            </w:r>
          </w:p>
        </w:tc>
        <w:tc>
          <w:tcPr>
            <w:tcW w:w="1701" w:type="dxa"/>
            <w:vAlign w:val="center"/>
          </w:tcPr>
          <w:p w:rsidR="008C568E" w:rsidRDefault="001066EC">
            <w:pPr>
              <w:jc w:val="right"/>
            </w:pPr>
            <w:r>
              <w:rPr>
                <w:color w:val="000000"/>
                <w:kern w:val="0"/>
                <w:sz w:val="24"/>
                <w:szCs w:val="24"/>
              </w:rPr>
              <w:t>4,248,093</w:t>
            </w:r>
          </w:p>
        </w:tc>
        <w:tc>
          <w:tcPr>
            <w:tcW w:w="1984" w:type="dxa"/>
            <w:vAlign w:val="center"/>
          </w:tcPr>
          <w:p w:rsidR="008C568E" w:rsidRDefault="001066EC">
            <w:pPr>
              <w:jc w:val="right"/>
            </w:pPr>
            <w:r>
              <w:rPr>
                <w:color w:val="000000"/>
                <w:kern w:val="0"/>
                <w:sz w:val="24"/>
                <w:szCs w:val="24"/>
              </w:rPr>
              <w:t>43,797,838.83</w:t>
            </w:r>
          </w:p>
        </w:tc>
        <w:tc>
          <w:tcPr>
            <w:tcW w:w="1559" w:type="dxa"/>
            <w:vAlign w:val="center"/>
          </w:tcPr>
          <w:p w:rsidR="008C568E" w:rsidRDefault="001066EC">
            <w:pPr>
              <w:jc w:val="right"/>
            </w:pPr>
            <w:r>
              <w:rPr>
                <w:color w:val="000000"/>
                <w:kern w:val="0"/>
                <w:sz w:val="24"/>
                <w:szCs w:val="24"/>
              </w:rPr>
              <w:t>5.10</w:t>
            </w:r>
          </w:p>
        </w:tc>
      </w:tr>
      <w:tr w:rsidR="008C568E">
        <w:tc>
          <w:tcPr>
            <w:tcW w:w="851" w:type="dxa"/>
            <w:vAlign w:val="center"/>
          </w:tcPr>
          <w:p w:rsidR="008C568E" w:rsidRDefault="001066EC">
            <w:pPr>
              <w:jc w:val="center"/>
            </w:pPr>
            <w:r>
              <w:rPr>
                <w:color w:val="000000"/>
                <w:kern w:val="0"/>
                <w:sz w:val="24"/>
                <w:szCs w:val="24"/>
              </w:rPr>
              <w:t>4</w:t>
            </w:r>
          </w:p>
        </w:tc>
        <w:tc>
          <w:tcPr>
            <w:tcW w:w="1276" w:type="dxa"/>
            <w:vAlign w:val="center"/>
          </w:tcPr>
          <w:p w:rsidR="008C568E" w:rsidRDefault="001066EC">
            <w:pPr>
              <w:jc w:val="center"/>
            </w:pPr>
            <w:r>
              <w:rPr>
                <w:color w:val="000000"/>
                <w:kern w:val="0"/>
                <w:sz w:val="24"/>
                <w:szCs w:val="24"/>
              </w:rPr>
              <w:t>603708</w:t>
            </w:r>
          </w:p>
        </w:tc>
        <w:tc>
          <w:tcPr>
            <w:tcW w:w="1418" w:type="dxa"/>
            <w:vAlign w:val="center"/>
          </w:tcPr>
          <w:p w:rsidR="008C568E" w:rsidRDefault="001066EC">
            <w:pPr>
              <w:jc w:val="center"/>
            </w:pPr>
            <w:r>
              <w:rPr>
                <w:color w:val="000000"/>
                <w:kern w:val="0"/>
                <w:sz w:val="24"/>
                <w:szCs w:val="24"/>
              </w:rPr>
              <w:t>家家悦</w:t>
            </w:r>
          </w:p>
        </w:tc>
        <w:tc>
          <w:tcPr>
            <w:tcW w:w="1701" w:type="dxa"/>
            <w:vAlign w:val="center"/>
          </w:tcPr>
          <w:p w:rsidR="008C568E" w:rsidRDefault="001066EC">
            <w:pPr>
              <w:jc w:val="right"/>
            </w:pPr>
            <w:r>
              <w:rPr>
                <w:color w:val="000000"/>
                <w:kern w:val="0"/>
                <w:sz w:val="24"/>
                <w:szCs w:val="24"/>
              </w:rPr>
              <w:t>1,599,852</w:t>
            </w:r>
          </w:p>
        </w:tc>
        <w:tc>
          <w:tcPr>
            <w:tcW w:w="1984" w:type="dxa"/>
            <w:vAlign w:val="center"/>
          </w:tcPr>
          <w:p w:rsidR="008C568E" w:rsidRDefault="001066EC">
            <w:pPr>
              <w:jc w:val="right"/>
            </w:pPr>
            <w:r>
              <w:rPr>
                <w:color w:val="000000"/>
                <w:kern w:val="0"/>
                <w:sz w:val="24"/>
                <w:szCs w:val="24"/>
              </w:rPr>
              <w:t>42,588,060.24</w:t>
            </w:r>
          </w:p>
        </w:tc>
        <w:tc>
          <w:tcPr>
            <w:tcW w:w="1559" w:type="dxa"/>
            <w:vAlign w:val="center"/>
          </w:tcPr>
          <w:p w:rsidR="008C568E" w:rsidRDefault="001066EC">
            <w:pPr>
              <w:jc w:val="right"/>
            </w:pPr>
            <w:r>
              <w:rPr>
                <w:color w:val="000000"/>
                <w:kern w:val="0"/>
                <w:sz w:val="24"/>
                <w:szCs w:val="24"/>
              </w:rPr>
              <w:t>4.96</w:t>
            </w:r>
          </w:p>
        </w:tc>
      </w:tr>
      <w:tr w:rsidR="008C568E">
        <w:tc>
          <w:tcPr>
            <w:tcW w:w="851" w:type="dxa"/>
            <w:vAlign w:val="center"/>
          </w:tcPr>
          <w:p w:rsidR="008C568E" w:rsidRDefault="001066EC">
            <w:pPr>
              <w:jc w:val="center"/>
            </w:pPr>
            <w:r>
              <w:rPr>
                <w:color w:val="000000"/>
                <w:kern w:val="0"/>
                <w:sz w:val="24"/>
                <w:szCs w:val="24"/>
              </w:rPr>
              <w:t>5</w:t>
            </w:r>
          </w:p>
        </w:tc>
        <w:tc>
          <w:tcPr>
            <w:tcW w:w="1276" w:type="dxa"/>
            <w:vAlign w:val="center"/>
          </w:tcPr>
          <w:p w:rsidR="008C568E" w:rsidRDefault="001066EC">
            <w:pPr>
              <w:jc w:val="center"/>
            </w:pPr>
            <w:r>
              <w:rPr>
                <w:color w:val="000000"/>
                <w:kern w:val="0"/>
                <w:sz w:val="24"/>
                <w:szCs w:val="24"/>
              </w:rPr>
              <w:t>300498</w:t>
            </w:r>
          </w:p>
        </w:tc>
        <w:tc>
          <w:tcPr>
            <w:tcW w:w="1418" w:type="dxa"/>
            <w:vAlign w:val="center"/>
          </w:tcPr>
          <w:p w:rsidR="008C568E" w:rsidRDefault="001066EC">
            <w:pPr>
              <w:jc w:val="center"/>
            </w:pPr>
            <w:r>
              <w:rPr>
                <w:color w:val="000000"/>
                <w:kern w:val="0"/>
                <w:sz w:val="24"/>
                <w:szCs w:val="24"/>
              </w:rPr>
              <w:t>温氏股份</w:t>
            </w:r>
          </w:p>
        </w:tc>
        <w:tc>
          <w:tcPr>
            <w:tcW w:w="1701" w:type="dxa"/>
            <w:vAlign w:val="center"/>
          </w:tcPr>
          <w:p w:rsidR="008C568E" w:rsidRDefault="001066EC">
            <w:pPr>
              <w:jc w:val="right"/>
            </w:pPr>
            <w:r>
              <w:rPr>
                <w:color w:val="000000"/>
                <w:kern w:val="0"/>
                <w:sz w:val="24"/>
                <w:szCs w:val="24"/>
              </w:rPr>
              <w:t>1,088,727</w:t>
            </w:r>
          </w:p>
        </w:tc>
        <w:tc>
          <w:tcPr>
            <w:tcW w:w="1984" w:type="dxa"/>
            <w:vAlign w:val="center"/>
          </w:tcPr>
          <w:p w:rsidR="008C568E" w:rsidRDefault="001066EC">
            <w:pPr>
              <w:jc w:val="right"/>
            </w:pPr>
            <w:r>
              <w:rPr>
                <w:color w:val="000000"/>
                <w:kern w:val="0"/>
                <w:sz w:val="24"/>
                <w:szCs w:val="24"/>
              </w:rPr>
              <w:t>40,478,869.86</w:t>
            </w:r>
          </w:p>
        </w:tc>
        <w:tc>
          <w:tcPr>
            <w:tcW w:w="1559" w:type="dxa"/>
            <w:vAlign w:val="center"/>
          </w:tcPr>
          <w:p w:rsidR="008C568E" w:rsidRDefault="001066EC">
            <w:pPr>
              <w:jc w:val="right"/>
            </w:pPr>
            <w:r>
              <w:rPr>
                <w:color w:val="000000"/>
                <w:kern w:val="0"/>
                <w:sz w:val="24"/>
                <w:szCs w:val="24"/>
              </w:rPr>
              <w:t>4.72</w:t>
            </w:r>
          </w:p>
        </w:tc>
      </w:tr>
      <w:tr w:rsidR="008C568E">
        <w:tc>
          <w:tcPr>
            <w:tcW w:w="851" w:type="dxa"/>
            <w:vAlign w:val="center"/>
          </w:tcPr>
          <w:p w:rsidR="008C568E" w:rsidRDefault="001066EC">
            <w:pPr>
              <w:jc w:val="center"/>
            </w:pPr>
            <w:r>
              <w:rPr>
                <w:color w:val="000000"/>
                <w:kern w:val="0"/>
                <w:sz w:val="24"/>
                <w:szCs w:val="24"/>
              </w:rPr>
              <w:t>6</w:t>
            </w:r>
          </w:p>
        </w:tc>
        <w:tc>
          <w:tcPr>
            <w:tcW w:w="1276" w:type="dxa"/>
            <w:vAlign w:val="center"/>
          </w:tcPr>
          <w:p w:rsidR="008C568E" w:rsidRDefault="001066EC">
            <w:pPr>
              <w:jc w:val="center"/>
            </w:pPr>
            <w:r>
              <w:rPr>
                <w:color w:val="000000"/>
                <w:kern w:val="0"/>
                <w:sz w:val="24"/>
                <w:szCs w:val="24"/>
              </w:rPr>
              <w:t>002376</w:t>
            </w:r>
          </w:p>
        </w:tc>
        <w:tc>
          <w:tcPr>
            <w:tcW w:w="1418" w:type="dxa"/>
            <w:vAlign w:val="center"/>
          </w:tcPr>
          <w:p w:rsidR="008C568E" w:rsidRDefault="001066EC">
            <w:pPr>
              <w:jc w:val="center"/>
            </w:pPr>
            <w:r>
              <w:rPr>
                <w:color w:val="000000"/>
                <w:kern w:val="0"/>
                <w:sz w:val="24"/>
                <w:szCs w:val="24"/>
              </w:rPr>
              <w:t>新北洋</w:t>
            </w:r>
          </w:p>
        </w:tc>
        <w:tc>
          <w:tcPr>
            <w:tcW w:w="1701" w:type="dxa"/>
            <w:vAlign w:val="center"/>
          </w:tcPr>
          <w:p w:rsidR="008C568E" w:rsidRDefault="001066EC">
            <w:pPr>
              <w:jc w:val="right"/>
            </w:pPr>
            <w:r>
              <w:rPr>
                <w:color w:val="000000"/>
                <w:kern w:val="0"/>
                <w:sz w:val="24"/>
                <w:szCs w:val="24"/>
              </w:rPr>
              <w:t>3,218,900</w:t>
            </w:r>
          </w:p>
        </w:tc>
        <w:tc>
          <w:tcPr>
            <w:tcW w:w="1984" w:type="dxa"/>
            <w:vAlign w:val="center"/>
          </w:tcPr>
          <w:p w:rsidR="008C568E" w:rsidRDefault="001066EC">
            <w:pPr>
              <w:jc w:val="right"/>
            </w:pPr>
            <w:r>
              <w:rPr>
                <w:color w:val="000000"/>
                <w:kern w:val="0"/>
                <w:sz w:val="24"/>
                <w:szCs w:val="24"/>
              </w:rPr>
              <w:t>40,236,250.00</w:t>
            </w:r>
          </w:p>
        </w:tc>
        <w:tc>
          <w:tcPr>
            <w:tcW w:w="1559" w:type="dxa"/>
            <w:vAlign w:val="center"/>
          </w:tcPr>
          <w:p w:rsidR="008C568E" w:rsidRDefault="001066EC">
            <w:pPr>
              <w:jc w:val="right"/>
            </w:pPr>
            <w:r>
              <w:rPr>
                <w:color w:val="000000"/>
                <w:kern w:val="0"/>
                <w:sz w:val="24"/>
                <w:szCs w:val="24"/>
              </w:rPr>
              <w:t>4.69</w:t>
            </w:r>
          </w:p>
        </w:tc>
      </w:tr>
      <w:tr w:rsidR="008C568E">
        <w:tc>
          <w:tcPr>
            <w:tcW w:w="851" w:type="dxa"/>
            <w:vAlign w:val="center"/>
          </w:tcPr>
          <w:p w:rsidR="008C568E" w:rsidRDefault="001066EC">
            <w:pPr>
              <w:jc w:val="center"/>
            </w:pPr>
            <w:r>
              <w:rPr>
                <w:color w:val="000000"/>
                <w:kern w:val="0"/>
                <w:sz w:val="24"/>
                <w:szCs w:val="24"/>
              </w:rPr>
              <w:t>7</w:t>
            </w:r>
          </w:p>
        </w:tc>
        <w:tc>
          <w:tcPr>
            <w:tcW w:w="1276" w:type="dxa"/>
            <w:vAlign w:val="center"/>
          </w:tcPr>
          <w:p w:rsidR="008C568E" w:rsidRDefault="001066EC">
            <w:pPr>
              <w:jc w:val="center"/>
            </w:pPr>
            <w:r>
              <w:rPr>
                <w:color w:val="000000"/>
                <w:kern w:val="0"/>
                <w:sz w:val="24"/>
                <w:szCs w:val="24"/>
              </w:rPr>
              <w:t>000651</w:t>
            </w:r>
          </w:p>
        </w:tc>
        <w:tc>
          <w:tcPr>
            <w:tcW w:w="1418" w:type="dxa"/>
            <w:vAlign w:val="center"/>
          </w:tcPr>
          <w:p w:rsidR="008C568E" w:rsidRDefault="001066EC">
            <w:pPr>
              <w:jc w:val="center"/>
            </w:pPr>
            <w:r>
              <w:rPr>
                <w:color w:val="000000"/>
                <w:kern w:val="0"/>
                <w:sz w:val="24"/>
                <w:szCs w:val="24"/>
              </w:rPr>
              <w:t>格力电器</w:t>
            </w:r>
          </w:p>
        </w:tc>
        <w:tc>
          <w:tcPr>
            <w:tcW w:w="1701" w:type="dxa"/>
            <w:vAlign w:val="center"/>
          </w:tcPr>
          <w:p w:rsidR="008C568E" w:rsidRDefault="001066EC">
            <w:pPr>
              <w:jc w:val="right"/>
            </w:pPr>
            <w:r>
              <w:rPr>
                <w:color w:val="000000"/>
                <w:kern w:val="0"/>
                <w:sz w:val="24"/>
                <w:szCs w:val="24"/>
              </w:rPr>
              <w:t>642,700</w:t>
            </w:r>
          </w:p>
        </w:tc>
        <w:tc>
          <w:tcPr>
            <w:tcW w:w="1984" w:type="dxa"/>
            <w:vAlign w:val="center"/>
          </w:tcPr>
          <w:p w:rsidR="008C568E" w:rsidRDefault="001066EC">
            <w:pPr>
              <w:jc w:val="right"/>
            </w:pPr>
            <w:r>
              <w:rPr>
                <w:color w:val="000000"/>
                <w:kern w:val="0"/>
                <w:sz w:val="24"/>
                <w:szCs w:val="24"/>
              </w:rPr>
              <w:t>36,826,710.00</w:t>
            </w:r>
          </w:p>
        </w:tc>
        <w:tc>
          <w:tcPr>
            <w:tcW w:w="1559" w:type="dxa"/>
            <w:vAlign w:val="center"/>
          </w:tcPr>
          <w:p w:rsidR="008C568E" w:rsidRDefault="001066EC">
            <w:pPr>
              <w:jc w:val="right"/>
            </w:pPr>
            <w:r>
              <w:rPr>
                <w:color w:val="000000"/>
                <w:kern w:val="0"/>
                <w:sz w:val="24"/>
                <w:szCs w:val="24"/>
              </w:rPr>
              <w:t>4.29</w:t>
            </w:r>
          </w:p>
        </w:tc>
      </w:tr>
      <w:tr w:rsidR="008C568E">
        <w:tc>
          <w:tcPr>
            <w:tcW w:w="851" w:type="dxa"/>
            <w:vAlign w:val="center"/>
          </w:tcPr>
          <w:p w:rsidR="008C568E" w:rsidRDefault="001066EC">
            <w:pPr>
              <w:jc w:val="center"/>
            </w:pPr>
            <w:r>
              <w:rPr>
                <w:color w:val="000000"/>
                <w:kern w:val="0"/>
                <w:sz w:val="24"/>
                <w:szCs w:val="24"/>
              </w:rPr>
              <w:t>8</w:t>
            </w:r>
          </w:p>
        </w:tc>
        <w:tc>
          <w:tcPr>
            <w:tcW w:w="1276" w:type="dxa"/>
            <w:vAlign w:val="center"/>
          </w:tcPr>
          <w:p w:rsidR="008C568E" w:rsidRDefault="001066EC">
            <w:pPr>
              <w:jc w:val="center"/>
            </w:pPr>
            <w:r>
              <w:rPr>
                <w:color w:val="000000"/>
                <w:kern w:val="0"/>
                <w:sz w:val="24"/>
                <w:szCs w:val="24"/>
              </w:rPr>
              <w:t>603806</w:t>
            </w:r>
          </w:p>
        </w:tc>
        <w:tc>
          <w:tcPr>
            <w:tcW w:w="1418" w:type="dxa"/>
            <w:vAlign w:val="center"/>
          </w:tcPr>
          <w:p w:rsidR="008C568E" w:rsidRDefault="001066EC">
            <w:pPr>
              <w:jc w:val="center"/>
            </w:pPr>
            <w:r>
              <w:rPr>
                <w:color w:val="000000"/>
                <w:kern w:val="0"/>
                <w:sz w:val="24"/>
                <w:szCs w:val="24"/>
              </w:rPr>
              <w:t>福斯特</w:t>
            </w:r>
          </w:p>
        </w:tc>
        <w:tc>
          <w:tcPr>
            <w:tcW w:w="1701" w:type="dxa"/>
            <w:vAlign w:val="center"/>
          </w:tcPr>
          <w:p w:rsidR="008C568E" w:rsidRDefault="001066EC">
            <w:pPr>
              <w:jc w:val="right"/>
            </w:pPr>
            <w:r>
              <w:rPr>
                <w:color w:val="000000"/>
                <w:kern w:val="0"/>
                <w:sz w:val="24"/>
                <w:szCs w:val="24"/>
              </w:rPr>
              <w:t>765,010</w:t>
            </w:r>
          </w:p>
        </w:tc>
        <w:tc>
          <w:tcPr>
            <w:tcW w:w="1984" w:type="dxa"/>
            <w:vAlign w:val="center"/>
          </w:tcPr>
          <w:p w:rsidR="008C568E" w:rsidRDefault="001066EC">
            <w:pPr>
              <w:jc w:val="right"/>
            </w:pPr>
            <w:r>
              <w:rPr>
                <w:color w:val="000000"/>
                <w:kern w:val="0"/>
                <w:sz w:val="24"/>
                <w:szCs w:val="24"/>
              </w:rPr>
              <w:t>34,731,454.00</w:t>
            </w:r>
          </w:p>
        </w:tc>
        <w:tc>
          <w:tcPr>
            <w:tcW w:w="1559" w:type="dxa"/>
            <w:vAlign w:val="center"/>
          </w:tcPr>
          <w:p w:rsidR="008C568E" w:rsidRDefault="001066EC">
            <w:pPr>
              <w:jc w:val="right"/>
            </w:pPr>
            <w:r>
              <w:rPr>
                <w:color w:val="000000"/>
                <w:kern w:val="0"/>
                <w:sz w:val="24"/>
                <w:szCs w:val="24"/>
              </w:rPr>
              <w:t>4.05</w:t>
            </w:r>
          </w:p>
        </w:tc>
      </w:tr>
      <w:tr w:rsidR="008C568E">
        <w:tc>
          <w:tcPr>
            <w:tcW w:w="851" w:type="dxa"/>
            <w:vAlign w:val="center"/>
          </w:tcPr>
          <w:p w:rsidR="008C568E" w:rsidRDefault="001066EC">
            <w:pPr>
              <w:jc w:val="center"/>
            </w:pPr>
            <w:r>
              <w:rPr>
                <w:color w:val="000000"/>
                <w:kern w:val="0"/>
                <w:sz w:val="24"/>
                <w:szCs w:val="24"/>
              </w:rPr>
              <w:t>9</w:t>
            </w:r>
          </w:p>
        </w:tc>
        <w:tc>
          <w:tcPr>
            <w:tcW w:w="1276" w:type="dxa"/>
            <w:vAlign w:val="center"/>
          </w:tcPr>
          <w:p w:rsidR="008C568E" w:rsidRDefault="001066EC">
            <w:pPr>
              <w:jc w:val="center"/>
            </w:pPr>
            <w:r>
              <w:rPr>
                <w:color w:val="000000"/>
                <w:kern w:val="0"/>
                <w:sz w:val="24"/>
                <w:szCs w:val="24"/>
              </w:rPr>
              <w:t>600036</w:t>
            </w:r>
          </w:p>
        </w:tc>
        <w:tc>
          <w:tcPr>
            <w:tcW w:w="1418" w:type="dxa"/>
            <w:vAlign w:val="center"/>
          </w:tcPr>
          <w:p w:rsidR="008C568E" w:rsidRDefault="001066EC">
            <w:pPr>
              <w:jc w:val="center"/>
            </w:pPr>
            <w:r>
              <w:rPr>
                <w:color w:val="000000"/>
                <w:kern w:val="0"/>
                <w:sz w:val="24"/>
                <w:szCs w:val="24"/>
              </w:rPr>
              <w:t>招商银行</w:t>
            </w:r>
          </w:p>
        </w:tc>
        <w:tc>
          <w:tcPr>
            <w:tcW w:w="1701" w:type="dxa"/>
            <w:vAlign w:val="center"/>
          </w:tcPr>
          <w:p w:rsidR="008C568E" w:rsidRDefault="001066EC">
            <w:pPr>
              <w:jc w:val="right"/>
            </w:pPr>
            <w:r>
              <w:rPr>
                <w:color w:val="000000"/>
                <w:kern w:val="0"/>
                <w:sz w:val="24"/>
                <w:szCs w:val="24"/>
              </w:rPr>
              <w:t>865,572</w:t>
            </w:r>
          </w:p>
        </w:tc>
        <w:tc>
          <w:tcPr>
            <w:tcW w:w="1984" w:type="dxa"/>
            <w:vAlign w:val="center"/>
          </w:tcPr>
          <w:p w:rsidR="008C568E" w:rsidRDefault="001066EC">
            <w:pPr>
              <w:jc w:val="right"/>
            </w:pPr>
            <w:r>
              <w:rPr>
                <w:color w:val="000000"/>
                <w:kern w:val="0"/>
                <w:sz w:val="24"/>
                <w:szCs w:val="24"/>
              </w:rPr>
              <w:t>30,078,627.00</w:t>
            </w:r>
          </w:p>
        </w:tc>
        <w:tc>
          <w:tcPr>
            <w:tcW w:w="1559" w:type="dxa"/>
            <w:vAlign w:val="center"/>
          </w:tcPr>
          <w:p w:rsidR="008C568E" w:rsidRDefault="001066EC">
            <w:pPr>
              <w:jc w:val="right"/>
            </w:pPr>
            <w:r>
              <w:rPr>
                <w:color w:val="000000"/>
                <w:kern w:val="0"/>
                <w:sz w:val="24"/>
                <w:szCs w:val="24"/>
              </w:rPr>
              <w:t>3.50</w:t>
            </w:r>
          </w:p>
        </w:tc>
      </w:tr>
      <w:tr w:rsidR="008C568E">
        <w:tc>
          <w:tcPr>
            <w:tcW w:w="851" w:type="dxa"/>
            <w:vAlign w:val="center"/>
          </w:tcPr>
          <w:p w:rsidR="008C568E" w:rsidRDefault="001066EC">
            <w:pPr>
              <w:jc w:val="center"/>
            </w:pPr>
            <w:r>
              <w:rPr>
                <w:color w:val="000000"/>
                <w:kern w:val="0"/>
                <w:sz w:val="24"/>
                <w:szCs w:val="24"/>
              </w:rPr>
              <w:t>10</w:t>
            </w:r>
          </w:p>
        </w:tc>
        <w:tc>
          <w:tcPr>
            <w:tcW w:w="1276" w:type="dxa"/>
            <w:vAlign w:val="center"/>
          </w:tcPr>
          <w:p w:rsidR="008C568E" w:rsidRDefault="001066EC">
            <w:pPr>
              <w:jc w:val="center"/>
            </w:pPr>
            <w:r>
              <w:rPr>
                <w:color w:val="000000"/>
                <w:kern w:val="0"/>
                <w:sz w:val="24"/>
                <w:szCs w:val="24"/>
              </w:rPr>
              <w:t>000568</w:t>
            </w:r>
          </w:p>
        </w:tc>
        <w:tc>
          <w:tcPr>
            <w:tcW w:w="1418" w:type="dxa"/>
            <w:vAlign w:val="center"/>
          </w:tcPr>
          <w:p w:rsidR="008C568E" w:rsidRDefault="001066EC">
            <w:pPr>
              <w:jc w:val="center"/>
            </w:pPr>
            <w:r>
              <w:rPr>
                <w:color w:val="000000"/>
                <w:kern w:val="0"/>
                <w:sz w:val="24"/>
                <w:szCs w:val="24"/>
              </w:rPr>
              <w:t>泸州老窖</w:t>
            </w:r>
          </w:p>
        </w:tc>
        <w:tc>
          <w:tcPr>
            <w:tcW w:w="1701" w:type="dxa"/>
            <w:vAlign w:val="center"/>
          </w:tcPr>
          <w:p w:rsidR="008C568E" w:rsidRDefault="001066EC">
            <w:pPr>
              <w:jc w:val="right"/>
            </w:pPr>
            <w:r>
              <w:rPr>
                <w:color w:val="000000"/>
                <w:kern w:val="0"/>
                <w:sz w:val="24"/>
                <w:szCs w:val="24"/>
              </w:rPr>
              <w:t>293,056</w:t>
            </w:r>
          </w:p>
        </w:tc>
        <w:tc>
          <w:tcPr>
            <w:tcW w:w="1984" w:type="dxa"/>
            <w:vAlign w:val="center"/>
          </w:tcPr>
          <w:p w:rsidR="008C568E" w:rsidRDefault="001066EC">
            <w:pPr>
              <w:jc w:val="right"/>
            </w:pPr>
            <w:r>
              <w:rPr>
                <w:color w:val="000000"/>
                <w:kern w:val="0"/>
                <w:sz w:val="24"/>
                <w:szCs w:val="24"/>
              </w:rPr>
              <w:t>24,974,232.32</w:t>
            </w:r>
          </w:p>
        </w:tc>
        <w:tc>
          <w:tcPr>
            <w:tcW w:w="1559" w:type="dxa"/>
            <w:vAlign w:val="center"/>
          </w:tcPr>
          <w:p w:rsidR="008C568E" w:rsidRDefault="001066EC">
            <w:pPr>
              <w:jc w:val="right"/>
            </w:pPr>
            <w:r>
              <w:rPr>
                <w:color w:val="000000"/>
                <w:kern w:val="0"/>
                <w:sz w:val="24"/>
                <w:szCs w:val="24"/>
              </w:rPr>
              <w:t>2.91</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29,988,000.00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3.49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29,988,000.00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3.49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29,988,000.00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3.49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8C568E">
        <w:tc>
          <w:tcPr>
            <w:tcW w:w="959" w:type="dxa"/>
            <w:vAlign w:val="center"/>
          </w:tcPr>
          <w:p w:rsidR="008C568E" w:rsidRDefault="001066EC">
            <w:pPr>
              <w:jc w:val="center"/>
            </w:pPr>
            <w:r>
              <w:rPr>
                <w:color w:val="000000"/>
                <w:kern w:val="0"/>
                <w:sz w:val="24"/>
                <w:szCs w:val="24"/>
              </w:rPr>
              <w:t>1</w:t>
            </w:r>
          </w:p>
        </w:tc>
        <w:tc>
          <w:tcPr>
            <w:tcW w:w="1276" w:type="dxa"/>
            <w:vAlign w:val="center"/>
          </w:tcPr>
          <w:p w:rsidR="008C568E" w:rsidRDefault="001066EC">
            <w:pPr>
              <w:jc w:val="center"/>
            </w:pPr>
            <w:r>
              <w:rPr>
                <w:color w:val="000000"/>
                <w:kern w:val="0"/>
                <w:sz w:val="24"/>
                <w:szCs w:val="24"/>
              </w:rPr>
              <w:t>190302</w:t>
            </w:r>
          </w:p>
        </w:tc>
        <w:tc>
          <w:tcPr>
            <w:tcW w:w="1275" w:type="dxa"/>
            <w:vAlign w:val="center"/>
          </w:tcPr>
          <w:p w:rsidR="008C568E" w:rsidRDefault="001066EC">
            <w:pPr>
              <w:jc w:val="center"/>
            </w:pPr>
            <w:r>
              <w:rPr>
                <w:color w:val="000000"/>
                <w:kern w:val="0"/>
                <w:sz w:val="24"/>
                <w:szCs w:val="24"/>
              </w:rPr>
              <w:t>19</w:t>
            </w:r>
            <w:r>
              <w:rPr>
                <w:color w:val="000000"/>
                <w:kern w:val="0"/>
                <w:sz w:val="24"/>
                <w:szCs w:val="24"/>
              </w:rPr>
              <w:t>进出</w:t>
            </w:r>
            <w:r>
              <w:rPr>
                <w:color w:val="000000"/>
                <w:kern w:val="0"/>
                <w:sz w:val="24"/>
                <w:szCs w:val="24"/>
              </w:rPr>
              <w:t>02</w:t>
            </w:r>
          </w:p>
        </w:tc>
        <w:tc>
          <w:tcPr>
            <w:tcW w:w="1560" w:type="dxa"/>
            <w:vAlign w:val="center"/>
          </w:tcPr>
          <w:p w:rsidR="008C568E" w:rsidRDefault="001066EC">
            <w:pPr>
              <w:jc w:val="right"/>
            </w:pPr>
            <w:r>
              <w:rPr>
                <w:color w:val="000000"/>
                <w:kern w:val="0"/>
                <w:sz w:val="24"/>
                <w:szCs w:val="24"/>
              </w:rPr>
              <w:t>300,000</w:t>
            </w:r>
          </w:p>
        </w:tc>
        <w:tc>
          <w:tcPr>
            <w:tcW w:w="1984" w:type="dxa"/>
            <w:vAlign w:val="center"/>
          </w:tcPr>
          <w:p w:rsidR="008C568E" w:rsidRDefault="001066EC">
            <w:pPr>
              <w:jc w:val="right"/>
            </w:pPr>
            <w:r>
              <w:rPr>
                <w:color w:val="000000"/>
                <w:kern w:val="0"/>
                <w:sz w:val="24"/>
                <w:szCs w:val="24"/>
              </w:rPr>
              <w:t>29,988,000.00</w:t>
            </w:r>
          </w:p>
        </w:tc>
        <w:tc>
          <w:tcPr>
            <w:tcW w:w="1474" w:type="dxa"/>
            <w:vAlign w:val="center"/>
          </w:tcPr>
          <w:p w:rsidR="008C568E" w:rsidRDefault="001066EC">
            <w:pPr>
              <w:jc w:val="right"/>
            </w:pPr>
            <w:r>
              <w:rPr>
                <w:color w:val="000000"/>
                <w:kern w:val="0"/>
                <w:sz w:val="24"/>
                <w:szCs w:val="24"/>
              </w:rPr>
              <w:t>3.49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招商银行（代码：600036）为易方达科瑞灵活配置混合型证券投资基金的前十大重仓证券之一。2019年7月8日，中国银行保险监督管理委员会上海监管局对招商银行股份有限公司信用卡中心2016年9月至2018年6月在为部分客户办理信用卡业务时，未遵守总授信额度管理制度的违法违规事实，处以责令改正，并处罚款20万元的行政处罚。</w:t>
      </w:r>
    </w:p>
    <w:p w:rsidR="008C568E" w:rsidRDefault="001066EC">
      <w:pPr>
        <w:spacing w:line="360" w:lineRule="auto"/>
        <w:rPr>
          <w:rFonts w:ascii="宋体" w:hAnsi="宋体"/>
          <w:color w:val="000000"/>
          <w:sz w:val="24"/>
          <w:szCs w:val="24"/>
        </w:rPr>
      </w:pPr>
      <w:r>
        <w:rPr>
          <w:rFonts w:ascii="宋体" w:hAnsi="宋体"/>
          <w:color w:val="000000"/>
          <w:sz w:val="24"/>
          <w:szCs w:val="24"/>
        </w:rPr>
        <w:t>本基金投资招商银行的投资决策程序符合公司投资制度的规定。</w:t>
      </w:r>
    </w:p>
    <w:p w:rsidR="008C568E" w:rsidRDefault="001066EC">
      <w:pPr>
        <w:spacing w:line="360" w:lineRule="auto"/>
        <w:rPr>
          <w:rFonts w:ascii="宋体" w:hAnsi="宋体"/>
          <w:color w:val="000000"/>
          <w:sz w:val="24"/>
          <w:szCs w:val="24"/>
        </w:rPr>
      </w:pPr>
      <w:r>
        <w:rPr>
          <w:rFonts w:ascii="宋体" w:hAnsi="宋体"/>
          <w:color w:val="000000"/>
          <w:sz w:val="24"/>
          <w:szCs w:val="24"/>
        </w:rPr>
        <w:t>除招商银行外，本基金投资的前十名证券的发行主体本期没有出现被监管部门立案调查，或在报告编制日前一年内受到公开谴责、处罚的情形。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237,307.62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1,559,609.92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435,726.30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45,631.04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2,278,274.88</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795,409,133.83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13,671,549.29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61,238,697.27</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747,841,985.85</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123,612,662.00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123,612,662.00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16.53</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8C568E" w:rsidRDefault="001066EC">
      <w:pPr>
        <w:spacing w:line="360" w:lineRule="auto"/>
        <w:ind w:firstLineChars="200" w:firstLine="480"/>
        <w:rPr>
          <w:color w:val="000000"/>
          <w:sz w:val="24"/>
          <w:szCs w:val="24"/>
        </w:rPr>
      </w:pPr>
      <w:r>
        <w:rPr>
          <w:color w:val="000000"/>
          <w:sz w:val="24"/>
          <w:szCs w:val="24"/>
        </w:rPr>
        <w:t>1.</w:t>
      </w:r>
      <w:r>
        <w:rPr>
          <w:color w:val="000000"/>
          <w:sz w:val="24"/>
          <w:szCs w:val="24"/>
        </w:rPr>
        <w:t>中国证监会准予科瑞证券投资基金变更注册的文件；</w:t>
      </w:r>
    </w:p>
    <w:p w:rsidR="008C568E" w:rsidRDefault="001066EC">
      <w:pPr>
        <w:spacing w:line="360" w:lineRule="auto"/>
        <w:ind w:firstLineChars="200" w:firstLine="480"/>
        <w:rPr>
          <w:color w:val="000000"/>
          <w:sz w:val="24"/>
          <w:szCs w:val="24"/>
        </w:rPr>
      </w:pPr>
      <w:r>
        <w:rPr>
          <w:color w:val="000000"/>
          <w:sz w:val="24"/>
          <w:szCs w:val="24"/>
        </w:rPr>
        <w:t>2.</w:t>
      </w:r>
      <w:r>
        <w:rPr>
          <w:color w:val="000000"/>
          <w:sz w:val="24"/>
          <w:szCs w:val="24"/>
        </w:rPr>
        <w:t>关于科瑞证券投资基金基金份额持有人大会表决结果暨决议生效的公告；</w:t>
      </w:r>
    </w:p>
    <w:p w:rsidR="008C568E" w:rsidRDefault="001066EC">
      <w:pPr>
        <w:spacing w:line="360" w:lineRule="auto"/>
        <w:ind w:firstLineChars="200" w:firstLine="480"/>
        <w:rPr>
          <w:color w:val="000000"/>
          <w:sz w:val="24"/>
          <w:szCs w:val="24"/>
        </w:rPr>
      </w:pPr>
      <w:r>
        <w:rPr>
          <w:color w:val="000000"/>
          <w:sz w:val="24"/>
          <w:szCs w:val="24"/>
        </w:rPr>
        <w:t>3.</w:t>
      </w:r>
      <w:r>
        <w:rPr>
          <w:color w:val="000000"/>
          <w:sz w:val="24"/>
          <w:szCs w:val="24"/>
        </w:rPr>
        <w:t>《易方达科瑞灵活配置混合型证券投资基金基金合同》；</w:t>
      </w:r>
    </w:p>
    <w:p w:rsidR="008C568E" w:rsidRDefault="001066EC">
      <w:pPr>
        <w:spacing w:line="360" w:lineRule="auto"/>
        <w:ind w:firstLineChars="200" w:firstLine="480"/>
        <w:rPr>
          <w:color w:val="000000"/>
          <w:sz w:val="24"/>
          <w:szCs w:val="24"/>
        </w:rPr>
      </w:pPr>
      <w:r>
        <w:rPr>
          <w:color w:val="000000"/>
          <w:sz w:val="24"/>
          <w:szCs w:val="24"/>
        </w:rPr>
        <w:t>4.</w:t>
      </w:r>
      <w:r>
        <w:rPr>
          <w:color w:val="000000"/>
          <w:sz w:val="24"/>
          <w:szCs w:val="24"/>
        </w:rPr>
        <w:t>《易方达科瑞灵活配置混合型证券投资基金托管协议》；</w:t>
      </w:r>
    </w:p>
    <w:p w:rsidR="008C568E" w:rsidRDefault="001066EC">
      <w:pPr>
        <w:spacing w:line="360" w:lineRule="auto"/>
        <w:ind w:firstLineChars="200" w:firstLine="480"/>
        <w:rPr>
          <w:color w:val="000000"/>
          <w:sz w:val="24"/>
          <w:szCs w:val="24"/>
        </w:rPr>
      </w:pPr>
      <w:r>
        <w:rPr>
          <w:color w:val="000000"/>
          <w:sz w:val="24"/>
          <w:szCs w:val="24"/>
        </w:rPr>
        <w:t>5.</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6.</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066EC">
      <w:rPr>
        <w:rStyle w:val="a7"/>
        <w:noProof/>
      </w:rPr>
      <w:t>1</w:t>
    </w:r>
    <w:r>
      <w:rPr>
        <w:rStyle w:val="a7"/>
      </w:rPr>
      <w:fldChar w:fldCharType="end"/>
    </w:r>
    <w:r>
      <w:rPr>
        <w:rStyle w:val="a7"/>
        <w:rFonts w:hint="eastAsia"/>
      </w:rPr>
      <w:t>页共</w:t>
    </w:r>
    <w:r w:rsidR="001066EC">
      <w:fldChar w:fldCharType="begin"/>
    </w:r>
    <w:r w:rsidR="001066EC">
      <w:instrText xml:space="preserve"> NUMPAGES  \* Arabic  \* MERGEFORMAT </w:instrText>
    </w:r>
    <w:r w:rsidR="001066EC">
      <w:fldChar w:fldCharType="separate"/>
    </w:r>
    <w:r w:rsidR="001066EC" w:rsidRPr="001066EC">
      <w:rPr>
        <w:rStyle w:val="a7"/>
        <w:noProof/>
      </w:rPr>
      <w:t>3</w:t>
    </w:r>
    <w:r w:rsidR="001066EC">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066EC">
      <w:rPr>
        <w:rStyle w:val="a7"/>
        <w:noProof/>
      </w:rPr>
      <w:t>12</w:t>
    </w:r>
    <w:r>
      <w:rPr>
        <w:rStyle w:val="a7"/>
      </w:rPr>
      <w:fldChar w:fldCharType="end"/>
    </w:r>
    <w:r>
      <w:rPr>
        <w:rStyle w:val="a7"/>
        <w:rFonts w:hint="eastAsia"/>
      </w:rPr>
      <w:t>页共</w:t>
    </w:r>
    <w:fldSimple w:instr=" NUMPAGES  \* Arabic  \* MERGEFORMAT ">
      <w:r w:rsidR="001066EC" w:rsidRPr="001066EC">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易方达科瑞灵活配置混合型证券投资基金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066EC"/>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568E"/>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FD7EB-543E-4509-8D5D-D441D25C1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