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易方达供给改革灵活配置混合型证券投资基金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62383" w:rsidRDefault="00850312">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62383" w:rsidRDefault="00850312">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62383" w:rsidRDefault="00850312">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62383" w:rsidRDefault="00850312">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62383" w:rsidRDefault="00850312">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易方达供给改革混合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002910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002910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25</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60,995,580.81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在行业配置方面，本基金将自上而下地综合考虑经济周期、产业发展规律、产业政策等因素，进行股票资产在与供给改革主题相关或受益的行业间的配</w:t>
            </w:r>
            <w:r w:rsidRPr="00232B03">
              <w:rPr>
                <w:color w:val="000000"/>
                <w:kern w:val="0"/>
                <w:sz w:val="24"/>
                <w:szCs w:val="24"/>
              </w:rPr>
              <w:lastRenderedPageBreak/>
              <w:t>置。在个股选择方面，本基金将精选与供给改革主题相关的受益于创新红利、制度红利和落后产能淘汰、产能优化重组的相关上市公司。在债券投资方面，本基金将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 xml:space="preserve">300 </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中债新综合财富指数收益率</w:t>
            </w:r>
            <w:r w:rsidRPr="00232B03">
              <w:rPr>
                <w:color w:val="000000"/>
                <w:kern w:val="0"/>
                <w:sz w:val="24"/>
                <w:szCs w:val="24"/>
              </w:rPr>
              <w:t>×35%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1,132,767.38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1,388,136.25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0.0235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51,441,083.15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0.8434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62383" w:rsidRDefault="00850312">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62383">
        <w:tc>
          <w:tcPr>
            <w:tcW w:w="1395" w:type="dxa"/>
            <w:vAlign w:val="center"/>
          </w:tcPr>
          <w:p w:rsidR="00962383" w:rsidRDefault="00850312">
            <w:pPr>
              <w:jc w:val="left"/>
            </w:pPr>
            <w:r>
              <w:rPr>
                <w:color w:val="000000"/>
                <w:kern w:val="0"/>
                <w:sz w:val="24"/>
                <w:szCs w:val="24"/>
              </w:rPr>
              <w:t>过去三个月</w:t>
            </w:r>
          </w:p>
        </w:tc>
        <w:tc>
          <w:tcPr>
            <w:tcW w:w="1092" w:type="dxa"/>
            <w:vAlign w:val="center"/>
          </w:tcPr>
          <w:p w:rsidR="00962383" w:rsidRDefault="00850312">
            <w:pPr>
              <w:jc w:val="center"/>
            </w:pPr>
            <w:r>
              <w:rPr>
                <w:color w:val="000000"/>
                <w:kern w:val="0"/>
                <w:sz w:val="24"/>
                <w:szCs w:val="24"/>
              </w:rPr>
              <w:t>3.13%</w:t>
            </w:r>
          </w:p>
        </w:tc>
        <w:tc>
          <w:tcPr>
            <w:tcW w:w="1161" w:type="dxa"/>
            <w:vAlign w:val="center"/>
          </w:tcPr>
          <w:p w:rsidR="00962383" w:rsidRDefault="00850312">
            <w:pPr>
              <w:jc w:val="center"/>
            </w:pPr>
            <w:r>
              <w:rPr>
                <w:color w:val="000000"/>
                <w:kern w:val="0"/>
                <w:sz w:val="24"/>
                <w:szCs w:val="24"/>
              </w:rPr>
              <w:t>1.07%</w:t>
            </w:r>
          </w:p>
        </w:tc>
        <w:tc>
          <w:tcPr>
            <w:tcW w:w="1181" w:type="dxa"/>
            <w:vAlign w:val="center"/>
          </w:tcPr>
          <w:p w:rsidR="00962383" w:rsidRDefault="00850312">
            <w:pPr>
              <w:jc w:val="center"/>
            </w:pPr>
            <w:r>
              <w:rPr>
                <w:color w:val="000000"/>
                <w:kern w:val="0"/>
                <w:sz w:val="24"/>
                <w:szCs w:val="24"/>
              </w:rPr>
              <w:t>0.30%</w:t>
            </w:r>
          </w:p>
        </w:tc>
        <w:tc>
          <w:tcPr>
            <w:tcW w:w="1188" w:type="dxa"/>
            <w:vAlign w:val="center"/>
          </w:tcPr>
          <w:p w:rsidR="00962383" w:rsidRDefault="00850312">
            <w:pPr>
              <w:jc w:val="center"/>
            </w:pPr>
            <w:r>
              <w:rPr>
                <w:color w:val="000000"/>
                <w:kern w:val="0"/>
                <w:sz w:val="24"/>
                <w:szCs w:val="24"/>
              </w:rPr>
              <w:t>0.62%</w:t>
            </w:r>
          </w:p>
        </w:tc>
        <w:tc>
          <w:tcPr>
            <w:tcW w:w="1199" w:type="dxa"/>
            <w:vAlign w:val="center"/>
          </w:tcPr>
          <w:p w:rsidR="00962383" w:rsidRDefault="00850312">
            <w:pPr>
              <w:jc w:val="center"/>
            </w:pPr>
            <w:r>
              <w:rPr>
                <w:color w:val="000000"/>
                <w:kern w:val="0"/>
                <w:sz w:val="24"/>
                <w:szCs w:val="24"/>
              </w:rPr>
              <w:t>2.83%</w:t>
            </w:r>
          </w:p>
        </w:tc>
        <w:tc>
          <w:tcPr>
            <w:tcW w:w="1204" w:type="dxa"/>
            <w:vAlign w:val="center"/>
          </w:tcPr>
          <w:p w:rsidR="00962383" w:rsidRDefault="00850312">
            <w:pPr>
              <w:jc w:val="center"/>
            </w:pPr>
            <w:r>
              <w:rPr>
                <w:color w:val="000000"/>
                <w:kern w:val="0"/>
                <w:sz w:val="24"/>
                <w:szCs w:val="24"/>
              </w:rPr>
              <w:t>0.45%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易方达供给改革灵活配置混合型证券投资基金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1</w:t>
      </w:r>
      <w:r w:rsidRPr="0074694E">
        <w:rPr>
          <w:rFonts w:ascii="Times New Roman" w:hAnsi="Times New Roman"/>
          <w:sz w:val="24"/>
          <w:szCs w:val="24"/>
        </w:rPr>
        <w:t>月</w:t>
      </w:r>
      <w:r w:rsidRPr="0074694E">
        <w:rPr>
          <w:rFonts w:ascii="Times New Roman" w:hAnsi="Times New Roman"/>
          <w:sz w:val="24"/>
          <w:szCs w:val="24"/>
        </w:rPr>
        <w:t>25</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50312"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 xml:space="preserve">-15.66% </w:t>
      </w:r>
      <w:r w:rsidRPr="006C56AA">
        <w:rPr>
          <w:color w:val="000000"/>
          <w:sz w:val="24"/>
          <w:szCs w:val="24"/>
        </w:rPr>
        <w:t>，同期业绩比较基准收益率为</w:t>
      </w:r>
      <w:r w:rsidRPr="006C56AA">
        <w:rPr>
          <w:color w:val="000000"/>
          <w:sz w:val="24"/>
          <w:szCs w:val="24"/>
        </w:rPr>
        <w:t>12.96%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62383">
        <w:tc>
          <w:tcPr>
            <w:tcW w:w="567" w:type="dxa"/>
            <w:vAlign w:val="center"/>
          </w:tcPr>
          <w:p w:rsidR="00962383" w:rsidRDefault="00850312">
            <w:pPr>
              <w:jc w:val="center"/>
            </w:pPr>
            <w:r>
              <w:rPr>
                <w:color w:val="000000"/>
                <w:sz w:val="24"/>
              </w:rPr>
              <w:t>兰传杰</w:t>
            </w:r>
          </w:p>
        </w:tc>
        <w:tc>
          <w:tcPr>
            <w:tcW w:w="2835" w:type="dxa"/>
            <w:vAlign w:val="center"/>
          </w:tcPr>
          <w:p w:rsidR="00962383" w:rsidRDefault="00850312">
            <w:pPr>
              <w:jc w:val="center"/>
            </w:pPr>
            <w:r>
              <w:rPr>
                <w:color w:val="000000"/>
                <w:sz w:val="24"/>
              </w:rPr>
              <w:t>本基金的基金经理、易方达资源行业混合型证券投资基金的基金经理、宏观策略研究员</w:t>
            </w:r>
          </w:p>
        </w:tc>
        <w:tc>
          <w:tcPr>
            <w:tcW w:w="851" w:type="dxa"/>
            <w:vAlign w:val="center"/>
          </w:tcPr>
          <w:p w:rsidR="00962383" w:rsidRDefault="00850312">
            <w:pPr>
              <w:jc w:val="center"/>
            </w:pPr>
            <w:r>
              <w:rPr>
                <w:color w:val="000000"/>
                <w:sz w:val="24"/>
              </w:rPr>
              <w:t>2018-12-25</w:t>
            </w:r>
          </w:p>
        </w:tc>
        <w:tc>
          <w:tcPr>
            <w:tcW w:w="850" w:type="dxa"/>
            <w:vAlign w:val="center"/>
          </w:tcPr>
          <w:p w:rsidR="00962383" w:rsidRDefault="00850312">
            <w:pPr>
              <w:jc w:val="center"/>
            </w:pPr>
            <w:r>
              <w:rPr>
                <w:color w:val="000000"/>
                <w:sz w:val="24"/>
              </w:rPr>
              <w:t>-</w:t>
            </w:r>
          </w:p>
        </w:tc>
        <w:tc>
          <w:tcPr>
            <w:tcW w:w="851" w:type="dxa"/>
            <w:vAlign w:val="center"/>
          </w:tcPr>
          <w:p w:rsidR="00962383" w:rsidRDefault="00850312">
            <w:pPr>
              <w:jc w:val="center"/>
            </w:pPr>
            <w:r>
              <w:rPr>
                <w:color w:val="000000"/>
                <w:sz w:val="24"/>
              </w:rPr>
              <w:t>6</w:t>
            </w:r>
            <w:r>
              <w:rPr>
                <w:color w:val="000000"/>
                <w:sz w:val="24"/>
              </w:rPr>
              <w:t>年</w:t>
            </w:r>
          </w:p>
        </w:tc>
        <w:tc>
          <w:tcPr>
            <w:tcW w:w="2977" w:type="dxa"/>
            <w:vAlign w:val="center"/>
          </w:tcPr>
          <w:p w:rsidR="00962383" w:rsidRDefault="00850312">
            <w:r>
              <w:rPr>
                <w:color w:val="000000"/>
                <w:sz w:val="24"/>
              </w:rPr>
              <w:t>硕士研究生，曾任北京市星石投资管理有限公司周期投资部研究员。</w:t>
            </w:r>
          </w:p>
        </w:tc>
      </w:tr>
      <w:tr w:rsidR="00962383">
        <w:tc>
          <w:tcPr>
            <w:tcW w:w="567" w:type="dxa"/>
            <w:vAlign w:val="center"/>
          </w:tcPr>
          <w:p w:rsidR="00962383" w:rsidRDefault="00850312">
            <w:pPr>
              <w:jc w:val="center"/>
            </w:pPr>
            <w:r>
              <w:rPr>
                <w:color w:val="000000"/>
                <w:sz w:val="24"/>
              </w:rPr>
              <w:t>杨宗昌</w:t>
            </w:r>
          </w:p>
        </w:tc>
        <w:tc>
          <w:tcPr>
            <w:tcW w:w="2835" w:type="dxa"/>
            <w:vAlign w:val="center"/>
          </w:tcPr>
          <w:p w:rsidR="00962383" w:rsidRDefault="00850312">
            <w:pPr>
              <w:jc w:val="center"/>
            </w:pPr>
            <w:r>
              <w:rPr>
                <w:color w:val="000000"/>
                <w:sz w:val="24"/>
              </w:rPr>
              <w:t>本基金的基金经理、行业研究员</w:t>
            </w:r>
          </w:p>
        </w:tc>
        <w:tc>
          <w:tcPr>
            <w:tcW w:w="851" w:type="dxa"/>
            <w:vAlign w:val="center"/>
          </w:tcPr>
          <w:p w:rsidR="00962383" w:rsidRDefault="00850312">
            <w:pPr>
              <w:jc w:val="center"/>
            </w:pPr>
            <w:r>
              <w:rPr>
                <w:color w:val="000000"/>
                <w:sz w:val="24"/>
              </w:rPr>
              <w:t>2019-04-23</w:t>
            </w:r>
          </w:p>
        </w:tc>
        <w:tc>
          <w:tcPr>
            <w:tcW w:w="850" w:type="dxa"/>
            <w:vAlign w:val="center"/>
          </w:tcPr>
          <w:p w:rsidR="00962383" w:rsidRDefault="00850312">
            <w:pPr>
              <w:jc w:val="center"/>
            </w:pPr>
            <w:r>
              <w:rPr>
                <w:color w:val="000000"/>
                <w:sz w:val="24"/>
              </w:rPr>
              <w:t>-</w:t>
            </w:r>
          </w:p>
        </w:tc>
        <w:tc>
          <w:tcPr>
            <w:tcW w:w="851" w:type="dxa"/>
            <w:vAlign w:val="center"/>
          </w:tcPr>
          <w:p w:rsidR="00962383" w:rsidRDefault="00850312">
            <w:pPr>
              <w:jc w:val="center"/>
            </w:pPr>
            <w:r>
              <w:rPr>
                <w:color w:val="000000"/>
                <w:sz w:val="24"/>
              </w:rPr>
              <w:t>5</w:t>
            </w:r>
            <w:r>
              <w:rPr>
                <w:color w:val="000000"/>
                <w:sz w:val="24"/>
              </w:rPr>
              <w:t>年</w:t>
            </w:r>
          </w:p>
        </w:tc>
        <w:tc>
          <w:tcPr>
            <w:tcW w:w="2977" w:type="dxa"/>
            <w:vAlign w:val="center"/>
          </w:tcPr>
          <w:p w:rsidR="00962383" w:rsidRDefault="00850312">
            <w:r>
              <w:rPr>
                <w:color w:val="000000"/>
                <w:sz w:val="24"/>
              </w:rPr>
              <w:t>博士研究生，曾任易方达基金管理有限公司行业研究员。</w:t>
            </w:r>
          </w:p>
        </w:tc>
      </w:tr>
    </w:tbl>
    <w:p w:rsidR="00962383" w:rsidRDefault="00850312">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62383" w:rsidRDefault="00850312">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62383" w:rsidRDefault="00850312">
      <w:pPr>
        <w:spacing w:line="360" w:lineRule="auto"/>
        <w:ind w:firstLineChars="200" w:firstLine="480"/>
        <w:rPr>
          <w:color w:val="000000"/>
          <w:sz w:val="24"/>
          <w:szCs w:val="24"/>
        </w:rPr>
      </w:pPr>
      <w:r>
        <w:rPr>
          <w:color w:val="000000"/>
          <w:sz w:val="24"/>
          <w:szCs w:val="24"/>
        </w:rPr>
        <w:t xml:space="preserve">2019 </w:t>
      </w:r>
      <w:r>
        <w:rPr>
          <w:color w:val="000000"/>
          <w:sz w:val="24"/>
          <w:szCs w:val="24"/>
        </w:rPr>
        <w:t>年三季度，受流动性预期变化、中央政治会议召开、中美贸易摩擦等宏观因素影响，股票市场表现区间震荡，指数之间出现分化，上证综指下跌</w:t>
      </w:r>
      <w:r>
        <w:rPr>
          <w:color w:val="000000"/>
          <w:sz w:val="24"/>
          <w:szCs w:val="24"/>
        </w:rPr>
        <w:t>2.47%</w:t>
      </w:r>
      <w:r>
        <w:rPr>
          <w:color w:val="000000"/>
          <w:sz w:val="24"/>
          <w:szCs w:val="24"/>
        </w:rPr>
        <w:t>，深证成指上涨</w:t>
      </w:r>
      <w:r>
        <w:rPr>
          <w:color w:val="000000"/>
          <w:sz w:val="24"/>
          <w:szCs w:val="24"/>
        </w:rPr>
        <w:t>2.92%</w:t>
      </w:r>
      <w:r>
        <w:rPr>
          <w:color w:val="000000"/>
          <w:sz w:val="24"/>
          <w:szCs w:val="24"/>
        </w:rPr>
        <w:t>，创业板指上涨</w:t>
      </w:r>
      <w:r>
        <w:rPr>
          <w:color w:val="000000"/>
          <w:sz w:val="24"/>
          <w:szCs w:val="24"/>
        </w:rPr>
        <w:t>7.68%</w:t>
      </w:r>
      <w:r>
        <w:rPr>
          <w:color w:val="000000"/>
          <w:sz w:val="24"/>
          <w:szCs w:val="24"/>
        </w:rPr>
        <w:t>。</w:t>
      </w:r>
    </w:p>
    <w:p w:rsidR="00962383" w:rsidRDefault="00850312">
      <w:pPr>
        <w:spacing w:line="360" w:lineRule="auto"/>
        <w:ind w:firstLineChars="200" w:firstLine="480"/>
        <w:rPr>
          <w:color w:val="000000"/>
          <w:sz w:val="24"/>
          <w:szCs w:val="24"/>
        </w:rPr>
      </w:pPr>
      <w:r>
        <w:rPr>
          <w:color w:val="000000"/>
          <w:sz w:val="24"/>
          <w:szCs w:val="24"/>
        </w:rPr>
        <w:t>行业表现分化非常明显，电子、计算机、医药等行业指数三季度上涨幅度居前，而房地产、钢铁、有色金属、采掘等板块指数下跌明显。</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虽然国内外政治、经济环境有所波动，供给侧优化一直在进行。本基金持续关注供给侧有一定竞争优势、估值合理偏低的优质公司。三季度本基金仓位维持相对稳定，持仓结构做了一定调整。行业配置上，增加了受益于进口替代加速的新材料子行业以及行业供给受明显政策影响子行业的配置。个股层面，对核心竞争力突出、估值水平合理的个股配置力度较大。</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0.8434</w:t>
      </w:r>
      <w:r w:rsidRPr="006C56AA">
        <w:rPr>
          <w:color w:val="000000"/>
          <w:sz w:val="24"/>
          <w:szCs w:val="24"/>
        </w:rPr>
        <w:t>元，本报告期份额净值增长率为</w:t>
      </w:r>
      <w:r w:rsidRPr="006C56AA">
        <w:rPr>
          <w:color w:val="000000"/>
          <w:sz w:val="24"/>
          <w:szCs w:val="24"/>
        </w:rPr>
        <w:t>3.13%</w:t>
      </w:r>
      <w:r w:rsidRPr="006C56AA">
        <w:rPr>
          <w:color w:val="000000"/>
          <w:sz w:val="24"/>
          <w:szCs w:val="24"/>
        </w:rPr>
        <w:t>，同期业绩比较基准收益率为</w:t>
      </w:r>
      <w:r w:rsidRPr="006C56AA">
        <w:rPr>
          <w:color w:val="000000"/>
          <w:sz w:val="24"/>
          <w:szCs w:val="24"/>
        </w:rPr>
        <w:t>0.30%</w:t>
      </w:r>
      <w:r w:rsidRPr="006C56AA">
        <w:rPr>
          <w:color w:val="000000"/>
          <w:sz w:val="24"/>
          <w:szCs w:val="24"/>
        </w:rPr>
        <w:t>。</w:t>
      </w:r>
    </w:p>
    <w:p w:rsidR="00D62BEE" w:rsidRPr="00701A03" w:rsidRDefault="00D62BEE" w:rsidP="00D62BEE">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Pr="00701A03">
        <w:rPr>
          <w:rFonts w:ascii="宋体" w:hAnsi="宋体" w:cs="Arial" w:hint="eastAsia"/>
          <w:b/>
          <w:color w:val="000000"/>
          <w:kern w:val="0"/>
          <w:sz w:val="24"/>
        </w:rPr>
        <w:t>.5报告期内基金持有人数或基金资产净值预警说明</w:t>
      </w:r>
    </w:p>
    <w:p w:rsidR="00D62BEE" w:rsidRPr="006C56AA" w:rsidRDefault="00D62BEE" w:rsidP="00D62BEE">
      <w:pPr>
        <w:spacing w:line="360" w:lineRule="auto"/>
        <w:ind w:firstLineChars="200" w:firstLine="480"/>
        <w:rPr>
          <w:color w:val="000000"/>
          <w:sz w:val="24"/>
          <w:szCs w:val="24"/>
        </w:rPr>
      </w:pPr>
      <w:r w:rsidRPr="0006661F">
        <w:rPr>
          <w:color w:val="000000"/>
          <w:sz w:val="24"/>
          <w:szCs w:val="24"/>
        </w:rPr>
        <w:t>自</w:t>
      </w:r>
      <w:r w:rsidRPr="0006661F">
        <w:rPr>
          <w:color w:val="000000"/>
          <w:sz w:val="24"/>
          <w:szCs w:val="24"/>
        </w:rPr>
        <w:t>2019</w:t>
      </w:r>
      <w:r w:rsidRPr="0006661F">
        <w:rPr>
          <w:color w:val="000000"/>
          <w:sz w:val="24"/>
          <w:szCs w:val="24"/>
        </w:rPr>
        <w:t>年</w:t>
      </w:r>
      <w:r w:rsidRPr="0006661F">
        <w:rPr>
          <w:color w:val="000000"/>
          <w:sz w:val="24"/>
          <w:szCs w:val="24"/>
        </w:rPr>
        <w:t>8</w:t>
      </w:r>
      <w:r w:rsidRPr="0006661F">
        <w:rPr>
          <w:color w:val="000000"/>
          <w:sz w:val="24"/>
          <w:szCs w:val="24"/>
        </w:rPr>
        <w:t>月</w:t>
      </w:r>
      <w:r w:rsidRPr="0006661F">
        <w:rPr>
          <w:color w:val="000000"/>
          <w:sz w:val="24"/>
          <w:szCs w:val="24"/>
        </w:rPr>
        <w:t>16</w:t>
      </w:r>
      <w:r w:rsidRPr="0006661F">
        <w:rPr>
          <w:color w:val="000000"/>
          <w:sz w:val="24"/>
          <w:szCs w:val="24"/>
        </w:rPr>
        <w:t>日至</w:t>
      </w:r>
      <w:r w:rsidRPr="0006661F">
        <w:rPr>
          <w:color w:val="000000"/>
          <w:sz w:val="24"/>
          <w:szCs w:val="24"/>
        </w:rPr>
        <w:t>2019</w:t>
      </w:r>
      <w:r w:rsidRPr="0006661F">
        <w:rPr>
          <w:color w:val="000000"/>
          <w:sz w:val="24"/>
          <w:szCs w:val="24"/>
        </w:rPr>
        <w:t>年</w:t>
      </w:r>
      <w:r w:rsidRPr="0006661F">
        <w:rPr>
          <w:color w:val="000000"/>
          <w:sz w:val="24"/>
          <w:szCs w:val="24"/>
        </w:rPr>
        <w:t>9</w:t>
      </w:r>
      <w:r w:rsidRPr="0006661F">
        <w:rPr>
          <w:color w:val="000000"/>
          <w:sz w:val="24"/>
          <w:szCs w:val="24"/>
        </w:rPr>
        <w:t>月</w:t>
      </w:r>
      <w:r w:rsidRPr="0006661F">
        <w:rPr>
          <w:color w:val="000000"/>
          <w:sz w:val="24"/>
          <w:szCs w:val="24"/>
        </w:rPr>
        <w:t>9</w:t>
      </w:r>
      <w:r w:rsidRPr="0006661F">
        <w:rPr>
          <w:color w:val="000000"/>
          <w:sz w:val="24"/>
          <w:szCs w:val="24"/>
        </w:rPr>
        <w:t>日，本基金均存在连续二十个工作日基金资产净值低于五千万元的情形。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41,926,142.05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41,926,142.05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10,175,110.78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19.51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62,579.79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52,163,832.62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41,384,487.11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80.45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54,756.74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448,632.00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41,926,142.05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81.50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62383">
        <w:tc>
          <w:tcPr>
            <w:tcW w:w="851" w:type="dxa"/>
            <w:vAlign w:val="center"/>
          </w:tcPr>
          <w:p w:rsidR="00962383" w:rsidRDefault="00850312">
            <w:pPr>
              <w:jc w:val="center"/>
            </w:pPr>
            <w:r>
              <w:rPr>
                <w:color w:val="000000"/>
                <w:kern w:val="0"/>
                <w:sz w:val="24"/>
                <w:szCs w:val="24"/>
              </w:rPr>
              <w:t>1</w:t>
            </w:r>
          </w:p>
        </w:tc>
        <w:tc>
          <w:tcPr>
            <w:tcW w:w="1276" w:type="dxa"/>
            <w:vAlign w:val="center"/>
          </w:tcPr>
          <w:p w:rsidR="00962383" w:rsidRDefault="00850312">
            <w:pPr>
              <w:jc w:val="center"/>
            </w:pPr>
            <w:r>
              <w:rPr>
                <w:color w:val="000000"/>
                <w:kern w:val="0"/>
                <w:sz w:val="24"/>
                <w:szCs w:val="24"/>
              </w:rPr>
              <w:t>600486</w:t>
            </w:r>
          </w:p>
        </w:tc>
        <w:tc>
          <w:tcPr>
            <w:tcW w:w="1418" w:type="dxa"/>
            <w:vAlign w:val="center"/>
          </w:tcPr>
          <w:p w:rsidR="00962383" w:rsidRDefault="00850312">
            <w:pPr>
              <w:jc w:val="center"/>
            </w:pPr>
            <w:r>
              <w:rPr>
                <w:color w:val="000000"/>
                <w:kern w:val="0"/>
                <w:sz w:val="24"/>
                <w:szCs w:val="24"/>
              </w:rPr>
              <w:t>扬农化工</w:t>
            </w:r>
          </w:p>
        </w:tc>
        <w:tc>
          <w:tcPr>
            <w:tcW w:w="1701" w:type="dxa"/>
            <w:vAlign w:val="center"/>
          </w:tcPr>
          <w:p w:rsidR="00962383" w:rsidRDefault="00850312">
            <w:pPr>
              <w:jc w:val="right"/>
            </w:pPr>
            <w:r>
              <w:rPr>
                <w:color w:val="000000"/>
                <w:kern w:val="0"/>
                <w:sz w:val="24"/>
                <w:szCs w:val="24"/>
              </w:rPr>
              <w:t>67,300</w:t>
            </w:r>
          </w:p>
        </w:tc>
        <w:tc>
          <w:tcPr>
            <w:tcW w:w="1984" w:type="dxa"/>
            <w:vAlign w:val="center"/>
          </w:tcPr>
          <w:p w:rsidR="00962383" w:rsidRDefault="00850312">
            <w:pPr>
              <w:jc w:val="right"/>
            </w:pPr>
            <w:r>
              <w:rPr>
                <w:color w:val="000000"/>
                <w:kern w:val="0"/>
                <w:sz w:val="24"/>
                <w:szCs w:val="24"/>
              </w:rPr>
              <w:t>3,351,540.00</w:t>
            </w:r>
          </w:p>
        </w:tc>
        <w:tc>
          <w:tcPr>
            <w:tcW w:w="1559" w:type="dxa"/>
            <w:vAlign w:val="center"/>
          </w:tcPr>
          <w:p w:rsidR="00962383" w:rsidRDefault="00850312">
            <w:pPr>
              <w:jc w:val="right"/>
            </w:pPr>
            <w:r>
              <w:rPr>
                <w:color w:val="000000"/>
                <w:kern w:val="0"/>
                <w:sz w:val="24"/>
                <w:szCs w:val="24"/>
              </w:rPr>
              <w:t>6.52</w:t>
            </w:r>
          </w:p>
        </w:tc>
      </w:tr>
      <w:tr w:rsidR="00962383">
        <w:tc>
          <w:tcPr>
            <w:tcW w:w="851" w:type="dxa"/>
            <w:vAlign w:val="center"/>
          </w:tcPr>
          <w:p w:rsidR="00962383" w:rsidRDefault="00850312">
            <w:pPr>
              <w:jc w:val="center"/>
            </w:pPr>
            <w:r>
              <w:rPr>
                <w:color w:val="000000"/>
                <w:kern w:val="0"/>
                <w:sz w:val="24"/>
                <w:szCs w:val="24"/>
              </w:rPr>
              <w:t>2</w:t>
            </w:r>
          </w:p>
        </w:tc>
        <w:tc>
          <w:tcPr>
            <w:tcW w:w="1276" w:type="dxa"/>
            <w:vAlign w:val="center"/>
          </w:tcPr>
          <w:p w:rsidR="00962383" w:rsidRDefault="00850312">
            <w:pPr>
              <w:jc w:val="center"/>
            </w:pPr>
            <w:r>
              <w:rPr>
                <w:color w:val="000000"/>
                <w:kern w:val="0"/>
                <w:sz w:val="24"/>
                <w:szCs w:val="24"/>
              </w:rPr>
              <w:t>002597</w:t>
            </w:r>
          </w:p>
        </w:tc>
        <w:tc>
          <w:tcPr>
            <w:tcW w:w="1418" w:type="dxa"/>
            <w:vAlign w:val="center"/>
          </w:tcPr>
          <w:p w:rsidR="00962383" w:rsidRDefault="00850312">
            <w:pPr>
              <w:jc w:val="center"/>
            </w:pPr>
            <w:r>
              <w:rPr>
                <w:color w:val="000000"/>
                <w:kern w:val="0"/>
                <w:sz w:val="24"/>
                <w:szCs w:val="24"/>
              </w:rPr>
              <w:t>金禾实业</w:t>
            </w:r>
          </w:p>
        </w:tc>
        <w:tc>
          <w:tcPr>
            <w:tcW w:w="1701" w:type="dxa"/>
            <w:vAlign w:val="center"/>
          </w:tcPr>
          <w:p w:rsidR="00962383" w:rsidRDefault="00850312">
            <w:pPr>
              <w:jc w:val="right"/>
            </w:pPr>
            <w:r>
              <w:rPr>
                <w:color w:val="000000"/>
                <w:kern w:val="0"/>
                <w:sz w:val="24"/>
                <w:szCs w:val="24"/>
              </w:rPr>
              <w:t>143,000</w:t>
            </w:r>
          </w:p>
        </w:tc>
        <w:tc>
          <w:tcPr>
            <w:tcW w:w="1984" w:type="dxa"/>
            <w:vAlign w:val="center"/>
          </w:tcPr>
          <w:p w:rsidR="00962383" w:rsidRDefault="00850312">
            <w:pPr>
              <w:jc w:val="right"/>
            </w:pPr>
            <w:r>
              <w:rPr>
                <w:color w:val="000000"/>
                <w:kern w:val="0"/>
                <w:sz w:val="24"/>
                <w:szCs w:val="24"/>
              </w:rPr>
              <w:t>2,845,700.00</w:t>
            </w:r>
          </w:p>
        </w:tc>
        <w:tc>
          <w:tcPr>
            <w:tcW w:w="1559" w:type="dxa"/>
            <w:vAlign w:val="center"/>
          </w:tcPr>
          <w:p w:rsidR="00962383" w:rsidRDefault="00850312">
            <w:pPr>
              <w:jc w:val="right"/>
            </w:pPr>
            <w:r>
              <w:rPr>
                <w:color w:val="000000"/>
                <w:kern w:val="0"/>
                <w:sz w:val="24"/>
                <w:szCs w:val="24"/>
              </w:rPr>
              <w:t>5.53</w:t>
            </w:r>
          </w:p>
        </w:tc>
      </w:tr>
      <w:tr w:rsidR="00962383">
        <w:tc>
          <w:tcPr>
            <w:tcW w:w="851" w:type="dxa"/>
            <w:vAlign w:val="center"/>
          </w:tcPr>
          <w:p w:rsidR="00962383" w:rsidRDefault="00850312">
            <w:pPr>
              <w:jc w:val="center"/>
            </w:pPr>
            <w:r>
              <w:rPr>
                <w:color w:val="000000"/>
                <w:kern w:val="0"/>
                <w:sz w:val="24"/>
                <w:szCs w:val="24"/>
              </w:rPr>
              <w:t>3</w:t>
            </w:r>
          </w:p>
        </w:tc>
        <w:tc>
          <w:tcPr>
            <w:tcW w:w="1276" w:type="dxa"/>
            <w:vAlign w:val="center"/>
          </w:tcPr>
          <w:p w:rsidR="00962383" w:rsidRDefault="00850312">
            <w:pPr>
              <w:jc w:val="center"/>
            </w:pPr>
            <w:r>
              <w:rPr>
                <w:color w:val="000000"/>
                <w:kern w:val="0"/>
                <w:sz w:val="24"/>
                <w:szCs w:val="24"/>
              </w:rPr>
              <w:t>002734</w:t>
            </w:r>
          </w:p>
        </w:tc>
        <w:tc>
          <w:tcPr>
            <w:tcW w:w="1418" w:type="dxa"/>
            <w:vAlign w:val="center"/>
          </w:tcPr>
          <w:p w:rsidR="00962383" w:rsidRDefault="00850312">
            <w:pPr>
              <w:jc w:val="center"/>
            </w:pPr>
            <w:r>
              <w:rPr>
                <w:color w:val="000000"/>
                <w:kern w:val="0"/>
                <w:sz w:val="24"/>
                <w:szCs w:val="24"/>
              </w:rPr>
              <w:t>利民股份</w:t>
            </w:r>
          </w:p>
        </w:tc>
        <w:tc>
          <w:tcPr>
            <w:tcW w:w="1701" w:type="dxa"/>
            <w:vAlign w:val="center"/>
          </w:tcPr>
          <w:p w:rsidR="00962383" w:rsidRDefault="00850312">
            <w:pPr>
              <w:jc w:val="right"/>
            </w:pPr>
            <w:r>
              <w:rPr>
                <w:color w:val="000000"/>
                <w:kern w:val="0"/>
                <w:sz w:val="24"/>
                <w:szCs w:val="24"/>
              </w:rPr>
              <w:t>174,500</w:t>
            </w:r>
          </w:p>
        </w:tc>
        <w:tc>
          <w:tcPr>
            <w:tcW w:w="1984" w:type="dxa"/>
            <w:vAlign w:val="center"/>
          </w:tcPr>
          <w:p w:rsidR="00962383" w:rsidRDefault="00850312">
            <w:pPr>
              <w:jc w:val="right"/>
            </w:pPr>
            <w:r>
              <w:rPr>
                <w:color w:val="000000"/>
                <w:kern w:val="0"/>
                <w:sz w:val="24"/>
                <w:szCs w:val="24"/>
              </w:rPr>
              <w:t>2,704,750.00</w:t>
            </w:r>
          </w:p>
        </w:tc>
        <w:tc>
          <w:tcPr>
            <w:tcW w:w="1559" w:type="dxa"/>
            <w:vAlign w:val="center"/>
          </w:tcPr>
          <w:p w:rsidR="00962383" w:rsidRDefault="00850312">
            <w:pPr>
              <w:jc w:val="right"/>
            </w:pPr>
            <w:r>
              <w:rPr>
                <w:color w:val="000000"/>
                <w:kern w:val="0"/>
                <w:sz w:val="24"/>
                <w:szCs w:val="24"/>
              </w:rPr>
              <w:t>5.26</w:t>
            </w:r>
          </w:p>
        </w:tc>
      </w:tr>
      <w:tr w:rsidR="00962383">
        <w:tc>
          <w:tcPr>
            <w:tcW w:w="851" w:type="dxa"/>
            <w:vAlign w:val="center"/>
          </w:tcPr>
          <w:p w:rsidR="00962383" w:rsidRDefault="00850312">
            <w:pPr>
              <w:jc w:val="center"/>
            </w:pPr>
            <w:r>
              <w:rPr>
                <w:color w:val="000000"/>
                <w:kern w:val="0"/>
                <w:sz w:val="24"/>
                <w:szCs w:val="24"/>
              </w:rPr>
              <w:t>4</w:t>
            </w:r>
          </w:p>
        </w:tc>
        <w:tc>
          <w:tcPr>
            <w:tcW w:w="1276" w:type="dxa"/>
            <w:vAlign w:val="center"/>
          </w:tcPr>
          <w:p w:rsidR="00962383" w:rsidRDefault="00850312">
            <w:pPr>
              <w:jc w:val="center"/>
            </w:pPr>
            <w:r>
              <w:rPr>
                <w:color w:val="000000"/>
                <w:kern w:val="0"/>
                <w:sz w:val="24"/>
                <w:szCs w:val="24"/>
              </w:rPr>
              <w:t>600141</w:t>
            </w:r>
          </w:p>
        </w:tc>
        <w:tc>
          <w:tcPr>
            <w:tcW w:w="1418" w:type="dxa"/>
            <w:vAlign w:val="center"/>
          </w:tcPr>
          <w:p w:rsidR="00962383" w:rsidRDefault="00850312">
            <w:pPr>
              <w:jc w:val="center"/>
            </w:pPr>
            <w:r>
              <w:rPr>
                <w:color w:val="000000"/>
                <w:kern w:val="0"/>
                <w:sz w:val="24"/>
                <w:szCs w:val="24"/>
              </w:rPr>
              <w:t>兴发集团</w:t>
            </w:r>
          </w:p>
        </w:tc>
        <w:tc>
          <w:tcPr>
            <w:tcW w:w="1701" w:type="dxa"/>
            <w:vAlign w:val="center"/>
          </w:tcPr>
          <w:p w:rsidR="00962383" w:rsidRDefault="00850312">
            <w:pPr>
              <w:jc w:val="right"/>
            </w:pPr>
            <w:r>
              <w:rPr>
                <w:color w:val="000000"/>
                <w:kern w:val="0"/>
                <w:sz w:val="24"/>
                <w:szCs w:val="24"/>
              </w:rPr>
              <w:t>247,800</w:t>
            </w:r>
          </w:p>
        </w:tc>
        <w:tc>
          <w:tcPr>
            <w:tcW w:w="1984" w:type="dxa"/>
            <w:vAlign w:val="center"/>
          </w:tcPr>
          <w:p w:rsidR="00962383" w:rsidRDefault="00850312">
            <w:pPr>
              <w:jc w:val="right"/>
            </w:pPr>
            <w:r>
              <w:rPr>
                <w:color w:val="000000"/>
                <w:kern w:val="0"/>
                <w:sz w:val="24"/>
                <w:szCs w:val="24"/>
              </w:rPr>
              <w:t>2,572,164.00</w:t>
            </w:r>
          </w:p>
        </w:tc>
        <w:tc>
          <w:tcPr>
            <w:tcW w:w="1559" w:type="dxa"/>
            <w:vAlign w:val="center"/>
          </w:tcPr>
          <w:p w:rsidR="00962383" w:rsidRDefault="00850312">
            <w:pPr>
              <w:jc w:val="right"/>
            </w:pPr>
            <w:r>
              <w:rPr>
                <w:color w:val="000000"/>
                <w:kern w:val="0"/>
                <w:sz w:val="24"/>
                <w:szCs w:val="24"/>
              </w:rPr>
              <w:t>5.00</w:t>
            </w:r>
          </w:p>
        </w:tc>
      </w:tr>
      <w:tr w:rsidR="00962383">
        <w:tc>
          <w:tcPr>
            <w:tcW w:w="851" w:type="dxa"/>
            <w:vAlign w:val="center"/>
          </w:tcPr>
          <w:p w:rsidR="00962383" w:rsidRDefault="00850312">
            <w:pPr>
              <w:jc w:val="center"/>
            </w:pPr>
            <w:r>
              <w:rPr>
                <w:color w:val="000000"/>
                <w:kern w:val="0"/>
                <w:sz w:val="24"/>
                <w:szCs w:val="24"/>
              </w:rPr>
              <w:t>5</w:t>
            </w:r>
          </w:p>
        </w:tc>
        <w:tc>
          <w:tcPr>
            <w:tcW w:w="1276" w:type="dxa"/>
            <w:vAlign w:val="center"/>
          </w:tcPr>
          <w:p w:rsidR="00962383" w:rsidRDefault="00850312">
            <w:pPr>
              <w:jc w:val="center"/>
            </w:pPr>
            <w:r>
              <w:rPr>
                <w:color w:val="000000"/>
                <w:kern w:val="0"/>
                <w:sz w:val="24"/>
                <w:szCs w:val="24"/>
              </w:rPr>
              <w:t>600309</w:t>
            </w:r>
          </w:p>
        </w:tc>
        <w:tc>
          <w:tcPr>
            <w:tcW w:w="1418" w:type="dxa"/>
            <w:vAlign w:val="center"/>
          </w:tcPr>
          <w:p w:rsidR="00962383" w:rsidRDefault="00850312">
            <w:pPr>
              <w:jc w:val="center"/>
            </w:pPr>
            <w:r>
              <w:rPr>
                <w:color w:val="000000"/>
                <w:kern w:val="0"/>
                <w:sz w:val="24"/>
                <w:szCs w:val="24"/>
              </w:rPr>
              <w:t>万华化学</w:t>
            </w:r>
          </w:p>
        </w:tc>
        <w:tc>
          <w:tcPr>
            <w:tcW w:w="1701" w:type="dxa"/>
            <w:vAlign w:val="center"/>
          </w:tcPr>
          <w:p w:rsidR="00962383" w:rsidRDefault="00850312">
            <w:pPr>
              <w:jc w:val="right"/>
            </w:pPr>
            <w:r>
              <w:rPr>
                <w:color w:val="000000"/>
                <w:kern w:val="0"/>
                <w:sz w:val="24"/>
                <w:szCs w:val="24"/>
              </w:rPr>
              <w:t>44,600</w:t>
            </w:r>
          </w:p>
        </w:tc>
        <w:tc>
          <w:tcPr>
            <w:tcW w:w="1984" w:type="dxa"/>
            <w:vAlign w:val="center"/>
          </w:tcPr>
          <w:p w:rsidR="00962383" w:rsidRDefault="00850312">
            <w:pPr>
              <w:jc w:val="right"/>
            </w:pPr>
            <w:r>
              <w:rPr>
                <w:color w:val="000000"/>
                <w:kern w:val="0"/>
                <w:sz w:val="24"/>
                <w:szCs w:val="24"/>
              </w:rPr>
              <w:t>1,969,090.00</w:t>
            </w:r>
          </w:p>
        </w:tc>
        <w:tc>
          <w:tcPr>
            <w:tcW w:w="1559" w:type="dxa"/>
            <w:vAlign w:val="center"/>
          </w:tcPr>
          <w:p w:rsidR="00962383" w:rsidRDefault="00850312">
            <w:pPr>
              <w:jc w:val="right"/>
            </w:pPr>
            <w:r>
              <w:rPr>
                <w:color w:val="000000"/>
                <w:kern w:val="0"/>
                <w:sz w:val="24"/>
                <w:szCs w:val="24"/>
              </w:rPr>
              <w:t>3.83</w:t>
            </w:r>
          </w:p>
        </w:tc>
      </w:tr>
      <w:tr w:rsidR="00962383">
        <w:tc>
          <w:tcPr>
            <w:tcW w:w="851" w:type="dxa"/>
            <w:vAlign w:val="center"/>
          </w:tcPr>
          <w:p w:rsidR="00962383" w:rsidRDefault="00850312">
            <w:pPr>
              <w:jc w:val="center"/>
            </w:pPr>
            <w:r>
              <w:rPr>
                <w:color w:val="000000"/>
                <w:kern w:val="0"/>
                <w:sz w:val="24"/>
                <w:szCs w:val="24"/>
              </w:rPr>
              <w:t>6</w:t>
            </w:r>
          </w:p>
        </w:tc>
        <w:tc>
          <w:tcPr>
            <w:tcW w:w="1276" w:type="dxa"/>
            <w:vAlign w:val="center"/>
          </w:tcPr>
          <w:p w:rsidR="00962383" w:rsidRDefault="00850312">
            <w:pPr>
              <w:jc w:val="center"/>
            </w:pPr>
            <w:r>
              <w:rPr>
                <w:color w:val="000000"/>
                <w:kern w:val="0"/>
                <w:sz w:val="24"/>
                <w:szCs w:val="24"/>
              </w:rPr>
              <w:t>600409</w:t>
            </w:r>
          </w:p>
        </w:tc>
        <w:tc>
          <w:tcPr>
            <w:tcW w:w="1418" w:type="dxa"/>
            <w:vAlign w:val="center"/>
          </w:tcPr>
          <w:p w:rsidR="00962383" w:rsidRDefault="00850312">
            <w:pPr>
              <w:jc w:val="center"/>
            </w:pPr>
            <w:r>
              <w:rPr>
                <w:color w:val="000000"/>
                <w:kern w:val="0"/>
                <w:sz w:val="24"/>
                <w:szCs w:val="24"/>
              </w:rPr>
              <w:t>三友化工</w:t>
            </w:r>
          </w:p>
        </w:tc>
        <w:tc>
          <w:tcPr>
            <w:tcW w:w="1701" w:type="dxa"/>
            <w:vAlign w:val="center"/>
          </w:tcPr>
          <w:p w:rsidR="00962383" w:rsidRDefault="00850312">
            <w:pPr>
              <w:jc w:val="right"/>
            </w:pPr>
            <w:r>
              <w:rPr>
                <w:color w:val="000000"/>
                <w:kern w:val="0"/>
                <w:sz w:val="24"/>
                <w:szCs w:val="24"/>
              </w:rPr>
              <w:t>334,600</w:t>
            </w:r>
          </w:p>
        </w:tc>
        <w:tc>
          <w:tcPr>
            <w:tcW w:w="1984" w:type="dxa"/>
            <w:vAlign w:val="center"/>
          </w:tcPr>
          <w:p w:rsidR="00962383" w:rsidRDefault="00850312">
            <w:pPr>
              <w:jc w:val="right"/>
            </w:pPr>
            <w:r>
              <w:rPr>
                <w:color w:val="000000"/>
                <w:kern w:val="0"/>
                <w:sz w:val="24"/>
                <w:szCs w:val="24"/>
              </w:rPr>
              <w:t>1,726,536.00</w:t>
            </w:r>
          </w:p>
        </w:tc>
        <w:tc>
          <w:tcPr>
            <w:tcW w:w="1559" w:type="dxa"/>
            <w:vAlign w:val="center"/>
          </w:tcPr>
          <w:p w:rsidR="00962383" w:rsidRDefault="00850312">
            <w:pPr>
              <w:jc w:val="right"/>
            </w:pPr>
            <w:r>
              <w:rPr>
                <w:color w:val="000000"/>
                <w:kern w:val="0"/>
                <w:sz w:val="24"/>
                <w:szCs w:val="24"/>
              </w:rPr>
              <w:t>3.36</w:t>
            </w:r>
          </w:p>
        </w:tc>
      </w:tr>
      <w:tr w:rsidR="00962383">
        <w:tc>
          <w:tcPr>
            <w:tcW w:w="851" w:type="dxa"/>
            <w:vAlign w:val="center"/>
          </w:tcPr>
          <w:p w:rsidR="00962383" w:rsidRDefault="00850312">
            <w:pPr>
              <w:jc w:val="center"/>
            </w:pPr>
            <w:r>
              <w:rPr>
                <w:color w:val="000000"/>
                <w:kern w:val="0"/>
                <w:sz w:val="24"/>
                <w:szCs w:val="24"/>
              </w:rPr>
              <w:t>7</w:t>
            </w:r>
          </w:p>
        </w:tc>
        <w:tc>
          <w:tcPr>
            <w:tcW w:w="1276" w:type="dxa"/>
            <w:vAlign w:val="center"/>
          </w:tcPr>
          <w:p w:rsidR="00962383" w:rsidRDefault="00850312">
            <w:pPr>
              <w:jc w:val="center"/>
            </w:pPr>
            <w:r>
              <w:rPr>
                <w:color w:val="000000"/>
                <w:kern w:val="0"/>
                <w:sz w:val="24"/>
                <w:szCs w:val="24"/>
              </w:rPr>
              <w:t>603799</w:t>
            </w:r>
          </w:p>
        </w:tc>
        <w:tc>
          <w:tcPr>
            <w:tcW w:w="1418" w:type="dxa"/>
            <w:vAlign w:val="center"/>
          </w:tcPr>
          <w:p w:rsidR="00962383" w:rsidRDefault="00850312">
            <w:pPr>
              <w:jc w:val="center"/>
            </w:pPr>
            <w:r>
              <w:rPr>
                <w:color w:val="000000"/>
                <w:kern w:val="0"/>
                <w:sz w:val="24"/>
                <w:szCs w:val="24"/>
              </w:rPr>
              <w:t>华友钴业</w:t>
            </w:r>
          </w:p>
        </w:tc>
        <w:tc>
          <w:tcPr>
            <w:tcW w:w="1701" w:type="dxa"/>
            <w:vAlign w:val="center"/>
          </w:tcPr>
          <w:p w:rsidR="00962383" w:rsidRDefault="00850312">
            <w:pPr>
              <w:jc w:val="right"/>
            </w:pPr>
            <w:r>
              <w:rPr>
                <w:color w:val="000000"/>
                <w:kern w:val="0"/>
                <w:sz w:val="24"/>
                <w:szCs w:val="24"/>
              </w:rPr>
              <w:t>60,190</w:t>
            </w:r>
          </w:p>
        </w:tc>
        <w:tc>
          <w:tcPr>
            <w:tcW w:w="1984" w:type="dxa"/>
            <w:vAlign w:val="center"/>
          </w:tcPr>
          <w:p w:rsidR="00962383" w:rsidRDefault="00850312">
            <w:pPr>
              <w:jc w:val="right"/>
            </w:pPr>
            <w:r>
              <w:rPr>
                <w:color w:val="000000"/>
                <w:kern w:val="0"/>
                <w:sz w:val="24"/>
                <w:szCs w:val="24"/>
              </w:rPr>
              <w:t>1,619,712.90</w:t>
            </w:r>
          </w:p>
        </w:tc>
        <w:tc>
          <w:tcPr>
            <w:tcW w:w="1559" w:type="dxa"/>
            <w:vAlign w:val="center"/>
          </w:tcPr>
          <w:p w:rsidR="00962383" w:rsidRDefault="00850312">
            <w:pPr>
              <w:jc w:val="right"/>
            </w:pPr>
            <w:r>
              <w:rPr>
                <w:color w:val="000000"/>
                <w:kern w:val="0"/>
                <w:sz w:val="24"/>
                <w:szCs w:val="24"/>
              </w:rPr>
              <w:t>3.15</w:t>
            </w:r>
          </w:p>
        </w:tc>
      </w:tr>
      <w:tr w:rsidR="00962383">
        <w:tc>
          <w:tcPr>
            <w:tcW w:w="851" w:type="dxa"/>
            <w:vAlign w:val="center"/>
          </w:tcPr>
          <w:p w:rsidR="00962383" w:rsidRDefault="00850312">
            <w:pPr>
              <w:jc w:val="center"/>
            </w:pPr>
            <w:r>
              <w:rPr>
                <w:color w:val="000000"/>
                <w:kern w:val="0"/>
                <w:sz w:val="24"/>
                <w:szCs w:val="24"/>
              </w:rPr>
              <w:t>8</w:t>
            </w:r>
          </w:p>
        </w:tc>
        <w:tc>
          <w:tcPr>
            <w:tcW w:w="1276" w:type="dxa"/>
            <w:vAlign w:val="center"/>
          </w:tcPr>
          <w:p w:rsidR="00962383" w:rsidRDefault="00850312">
            <w:pPr>
              <w:jc w:val="center"/>
            </w:pPr>
            <w:r>
              <w:rPr>
                <w:color w:val="000000"/>
                <w:kern w:val="0"/>
                <w:sz w:val="24"/>
                <w:szCs w:val="24"/>
              </w:rPr>
              <w:t>002643</w:t>
            </w:r>
          </w:p>
        </w:tc>
        <w:tc>
          <w:tcPr>
            <w:tcW w:w="1418" w:type="dxa"/>
            <w:vAlign w:val="center"/>
          </w:tcPr>
          <w:p w:rsidR="00962383" w:rsidRDefault="00850312">
            <w:pPr>
              <w:jc w:val="center"/>
            </w:pPr>
            <w:r>
              <w:rPr>
                <w:color w:val="000000"/>
                <w:kern w:val="0"/>
                <w:sz w:val="24"/>
                <w:szCs w:val="24"/>
              </w:rPr>
              <w:t>万润股份</w:t>
            </w:r>
          </w:p>
        </w:tc>
        <w:tc>
          <w:tcPr>
            <w:tcW w:w="1701" w:type="dxa"/>
            <w:vAlign w:val="center"/>
          </w:tcPr>
          <w:p w:rsidR="00962383" w:rsidRDefault="00850312">
            <w:pPr>
              <w:jc w:val="right"/>
            </w:pPr>
            <w:r>
              <w:rPr>
                <w:color w:val="000000"/>
                <w:kern w:val="0"/>
                <w:sz w:val="24"/>
                <w:szCs w:val="24"/>
              </w:rPr>
              <w:t>129,357</w:t>
            </w:r>
          </w:p>
        </w:tc>
        <w:tc>
          <w:tcPr>
            <w:tcW w:w="1984" w:type="dxa"/>
            <w:vAlign w:val="center"/>
          </w:tcPr>
          <w:p w:rsidR="00962383" w:rsidRDefault="00850312">
            <w:pPr>
              <w:jc w:val="right"/>
            </w:pPr>
            <w:r>
              <w:rPr>
                <w:color w:val="000000"/>
                <w:kern w:val="0"/>
                <w:sz w:val="24"/>
                <w:szCs w:val="24"/>
              </w:rPr>
              <w:t>1,618,256.07</w:t>
            </w:r>
          </w:p>
        </w:tc>
        <w:tc>
          <w:tcPr>
            <w:tcW w:w="1559" w:type="dxa"/>
            <w:vAlign w:val="center"/>
          </w:tcPr>
          <w:p w:rsidR="00962383" w:rsidRDefault="00850312">
            <w:pPr>
              <w:jc w:val="right"/>
            </w:pPr>
            <w:r>
              <w:rPr>
                <w:color w:val="000000"/>
                <w:kern w:val="0"/>
                <w:sz w:val="24"/>
                <w:szCs w:val="24"/>
              </w:rPr>
              <w:t>3.15</w:t>
            </w:r>
          </w:p>
        </w:tc>
      </w:tr>
      <w:tr w:rsidR="00962383">
        <w:tc>
          <w:tcPr>
            <w:tcW w:w="851" w:type="dxa"/>
            <w:vAlign w:val="center"/>
          </w:tcPr>
          <w:p w:rsidR="00962383" w:rsidRDefault="00850312">
            <w:pPr>
              <w:jc w:val="center"/>
            </w:pPr>
            <w:r>
              <w:rPr>
                <w:color w:val="000000"/>
                <w:kern w:val="0"/>
                <w:sz w:val="24"/>
                <w:szCs w:val="24"/>
              </w:rPr>
              <w:t>9</w:t>
            </w:r>
          </w:p>
        </w:tc>
        <w:tc>
          <w:tcPr>
            <w:tcW w:w="1276" w:type="dxa"/>
            <w:vAlign w:val="center"/>
          </w:tcPr>
          <w:p w:rsidR="00962383" w:rsidRDefault="00850312">
            <w:pPr>
              <w:jc w:val="center"/>
            </w:pPr>
            <w:r>
              <w:rPr>
                <w:color w:val="000000"/>
                <w:kern w:val="0"/>
                <w:sz w:val="24"/>
                <w:szCs w:val="24"/>
              </w:rPr>
              <w:t>600352</w:t>
            </w:r>
          </w:p>
        </w:tc>
        <w:tc>
          <w:tcPr>
            <w:tcW w:w="1418" w:type="dxa"/>
            <w:vAlign w:val="center"/>
          </w:tcPr>
          <w:p w:rsidR="00962383" w:rsidRDefault="00850312">
            <w:pPr>
              <w:jc w:val="center"/>
            </w:pPr>
            <w:r>
              <w:rPr>
                <w:color w:val="000000"/>
                <w:kern w:val="0"/>
                <w:sz w:val="24"/>
                <w:szCs w:val="24"/>
              </w:rPr>
              <w:t>浙江龙盛</w:t>
            </w:r>
          </w:p>
        </w:tc>
        <w:tc>
          <w:tcPr>
            <w:tcW w:w="1701" w:type="dxa"/>
            <w:vAlign w:val="center"/>
          </w:tcPr>
          <w:p w:rsidR="00962383" w:rsidRDefault="00850312">
            <w:pPr>
              <w:jc w:val="right"/>
            </w:pPr>
            <w:r>
              <w:rPr>
                <w:color w:val="000000"/>
                <w:kern w:val="0"/>
                <w:sz w:val="24"/>
                <w:szCs w:val="24"/>
              </w:rPr>
              <w:t>91,800</w:t>
            </w:r>
          </w:p>
        </w:tc>
        <w:tc>
          <w:tcPr>
            <w:tcW w:w="1984" w:type="dxa"/>
            <w:vAlign w:val="center"/>
          </w:tcPr>
          <w:p w:rsidR="00962383" w:rsidRDefault="00850312">
            <w:pPr>
              <w:jc w:val="right"/>
            </w:pPr>
            <w:r>
              <w:rPr>
                <w:color w:val="000000"/>
                <w:kern w:val="0"/>
                <w:sz w:val="24"/>
                <w:szCs w:val="24"/>
              </w:rPr>
              <w:t>1,290,708.00</w:t>
            </w:r>
          </w:p>
        </w:tc>
        <w:tc>
          <w:tcPr>
            <w:tcW w:w="1559" w:type="dxa"/>
            <w:vAlign w:val="center"/>
          </w:tcPr>
          <w:p w:rsidR="00962383" w:rsidRDefault="00850312">
            <w:pPr>
              <w:jc w:val="right"/>
            </w:pPr>
            <w:r>
              <w:rPr>
                <w:color w:val="000000"/>
                <w:kern w:val="0"/>
                <w:sz w:val="24"/>
                <w:szCs w:val="24"/>
              </w:rPr>
              <w:t>2.51</w:t>
            </w:r>
          </w:p>
        </w:tc>
      </w:tr>
      <w:tr w:rsidR="00962383">
        <w:tc>
          <w:tcPr>
            <w:tcW w:w="851" w:type="dxa"/>
            <w:vAlign w:val="center"/>
          </w:tcPr>
          <w:p w:rsidR="00962383" w:rsidRDefault="00850312">
            <w:pPr>
              <w:jc w:val="center"/>
            </w:pPr>
            <w:r>
              <w:rPr>
                <w:color w:val="000000"/>
                <w:kern w:val="0"/>
                <w:sz w:val="24"/>
                <w:szCs w:val="24"/>
              </w:rPr>
              <w:t>10</w:t>
            </w:r>
          </w:p>
        </w:tc>
        <w:tc>
          <w:tcPr>
            <w:tcW w:w="1276" w:type="dxa"/>
            <w:vAlign w:val="center"/>
          </w:tcPr>
          <w:p w:rsidR="00962383" w:rsidRDefault="00850312">
            <w:pPr>
              <w:jc w:val="center"/>
            </w:pPr>
            <w:r>
              <w:rPr>
                <w:color w:val="000000"/>
                <w:kern w:val="0"/>
                <w:sz w:val="24"/>
                <w:szCs w:val="24"/>
              </w:rPr>
              <w:t>600389</w:t>
            </w:r>
          </w:p>
        </w:tc>
        <w:tc>
          <w:tcPr>
            <w:tcW w:w="1418" w:type="dxa"/>
            <w:vAlign w:val="center"/>
          </w:tcPr>
          <w:p w:rsidR="00962383" w:rsidRDefault="00850312">
            <w:pPr>
              <w:jc w:val="center"/>
            </w:pPr>
            <w:r>
              <w:rPr>
                <w:color w:val="000000"/>
                <w:kern w:val="0"/>
                <w:sz w:val="24"/>
                <w:szCs w:val="24"/>
              </w:rPr>
              <w:t>江山股份</w:t>
            </w:r>
          </w:p>
        </w:tc>
        <w:tc>
          <w:tcPr>
            <w:tcW w:w="1701" w:type="dxa"/>
            <w:vAlign w:val="center"/>
          </w:tcPr>
          <w:p w:rsidR="00962383" w:rsidRDefault="00850312">
            <w:pPr>
              <w:jc w:val="right"/>
            </w:pPr>
            <w:r>
              <w:rPr>
                <w:color w:val="000000"/>
                <w:kern w:val="0"/>
                <w:sz w:val="24"/>
                <w:szCs w:val="24"/>
              </w:rPr>
              <w:t>50,100</w:t>
            </w:r>
          </w:p>
        </w:tc>
        <w:tc>
          <w:tcPr>
            <w:tcW w:w="1984" w:type="dxa"/>
            <w:vAlign w:val="center"/>
          </w:tcPr>
          <w:p w:rsidR="00962383" w:rsidRDefault="00850312">
            <w:pPr>
              <w:jc w:val="right"/>
            </w:pPr>
            <w:r>
              <w:rPr>
                <w:color w:val="000000"/>
                <w:kern w:val="0"/>
                <w:sz w:val="24"/>
                <w:szCs w:val="24"/>
              </w:rPr>
              <w:t>1,062,120.00</w:t>
            </w:r>
          </w:p>
        </w:tc>
        <w:tc>
          <w:tcPr>
            <w:tcW w:w="1559" w:type="dxa"/>
            <w:vAlign w:val="center"/>
          </w:tcPr>
          <w:p w:rsidR="00962383" w:rsidRDefault="00850312">
            <w:pPr>
              <w:jc w:val="right"/>
            </w:pPr>
            <w:r>
              <w:rPr>
                <w:color w:val="000000"/>
                <w:kern w:val="0"/>
                <w:sz w:val="24"/>
                <w:szCs w:val="24"/>
              </w:rPr>
              <w:t>2.06</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26,713.29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1,936.87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33,929.63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62,579.79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60,758,328.43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12,898,168.32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12,660,915.94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60,995,580.81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962383" w:rsidRDefault="00850312">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中国证监会准予易方达供给改革灵活配置混合型证券投资基金注册的文件；</w:t>
      </w:r>
    </w:p>
    <w:p w:rsidR="00962383" w:rsidRDefault="00850312">
      <w:pPr>
        <w:spacing w:line="360" w:lineRule="auto"/>
        <w:ind w:firstLineChars="200" w:firstLine="480"/>
        <w:rPr>
          <w:color w:val="000000"/>
          <w:sz w:val="24"/>
          <w:szCs w:val="24"/>
        </w:rPr>
      </w:pPr>
      <w:r>
        <w:rPr>
          <w:color w:val="000000"/>
          <w:sz w:val="24"/>
          <w:szCs w:val="24"/>
        </w:rPr>
        <w:t>2.</w:t>
      </w:r>
      <w:r>
        <w:rPr>
          <w:color w:val="000000"/>
          <w:sz w:val="24"/>
          <w:szCs w:val="24"/>
        </w:rPr>
        <w:t>《易方达供给改革灵活配置混合型证券投资基金基金合同》；</w:t>
      </w:r>
    </w:p>
    <w:p w:rsidR="00962383" w:rsidRDefault="00850312">
      <w:pPr>
        <w:spacing w:line="360" w:lineRule="auto"/>
        <w:ind w:firstLineChars="200" w:firstLine="480"/>
        <w:rPr>
          <w:color w:val="000000"/>
          <w:sz w:val="24"/>
          <w:szCs w:val="24"/>
        </w:rPr>
      </w:pPr>
      <w:r>
        <w:rPr>
          <w:color w:val="000000"/>
          <w:sz w:val="24"/>
          <w:szCs w:val="24"/>
        </w:rPr>
        <w:t>3.</w:t>
      </w:r>
      <w:r>
        <w:rPr>
          <w:color w:val="000000"/>
          <w:sz w:val="24"/>
          <w:szCs w:val="24"/>
        </w:rPr>
        <w:t>《易方达供给改革灵活配置混合型证券投资基金托管协议》；</w:t>
      </w:r>
    </w:p>
    <w:p w:rsidR="00962383" w:rsidRDefault="00850312">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50312">
      <w:rPr>
        <w:rStyle w:val="a7"/>
        <w:noProof/>
      </w:rPr>
      <w:t>1</w:t>
    </w:r>
    <w:r>
      <w:rPr>
        <w:rStyle w:val="a7"/>
      </w:rPr>
      <w:fldChar w:fldCharType="end"/>
    </w:r>
    <w:r>
      <w:rPr>
        <w:rStyle w:val="a7"/>
        <w:rFonts w:hint="eastAsia"/>
      </w:rPr>
      <w:t>页共</w:t>
    </w:r>
    <w:r w:rsidR="00850312">
      <w:fldChar w:fldCharType="begin"/>
    </w:r>
    <w:r w:rsidR="00850312">
      <w:instrText xml:space="preserve"> NUMPAGES  \* Arabic  \* MERGEFORMAT </w:instrText>
    </w:r>
    <w:r w:rsidR="00850312">
      <w:fldChar w:fldCharType="separate"/>
    </w:r>
    <w:r w:rsidR="00850312" w:rsidRPr="00850312">
      <w:rPr>
        <w:rStyle w:val="a7"/>
        <w:noProof/>
      </w:rPr>
      <w:t>3</w:t>
    </w:r>
    <w:r w:rsidR="00850312">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50312">
      <w:rPr>
        <w:rStyle w:val="a7"/>
        <w:noProof/>
      </w:rPr>
      <w:t>11</w:t>
    </w:r>
    <w:r>
      <w:rPr>
        <w:rStyle w:val="a7"/>
      </w:rPr>
      <w:fldChar w:fldCharType="end"/>
    </w:r>
    <w:r>
      <w:rPr>
        <w:rStyle w:val="a7"/>
        <w:rFonts w:hint="eastAsia"/>
      </w:rPr>
      <w:t>页共</w:t>
    </w:r>
    <w:fldSimple w:instr=" NUMPAGES  \* Arabic  \* MERGEFORMAT ">
      <w:r w:rsidR="00850312" w:rsidRPr="00850312">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易方达供给改革灵活配置混合型证券投资基金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0312"/>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2383"/>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3DEA-C388-468F-8071-E32A2A9F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