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易方达量化策略精选灵活配置混合型证券投资基金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中国建设银行股份有限公司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D15861" w:rsidRDefault="00324FB5">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D15861" w:rsidRDefault="00324FB5">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D15861" w:rsidRDefault="00324FB5">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D15861" w:rsidRDefault="00324FB5">
      <w:pPr>
        <w:spacing w:line="360" w:lineRule="auto"/>
        <w:ind w:firstLineChars="200" w:firstLine="480"/>
        <w:rPr>
          <w:color w:val="000000"/>
          <w:sz w:val="24"/>
        </w:rPr>
      </w:pPr>
      <w:r>
        <w:rPr>
          <w:color w:val="000000"/>
          <w:sz w:val="24"/>
        </w:rPr>
        <w:t>基金的过往业绩并不代表其未来表现。投资有</w:t>
      </w:r>
      <w:r>
        <w:rPr>
          <w:color w:val="000000"/>
          <w:sz w:val="24"/>
        </w:rPr>
        <w:t>风险，投资者在作出投资决策前应仔细阅读本基金的招募说明书。</w:t>
      </w:r>
      <w:r>
        <w:rPr>
          <w:color w:val="000000"/>
          <w:sz w:val="24"/>
        </w:rPr>
        <w:t xml:space="preserve"> </w:t>
      </w:r>
    </w:p>
    <w:p w:rsidR="00D15861" w:rsidRDefault="00324FB5">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易方达量化策略精选混合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002216</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2017</w:t>
            </w:r>
            <w:r w:rsidRPr="00C30CFF">
              <w:rPr>
                <w:color w:val="000000"/>
                <w:kern w:val="0"/>
                <w:sz w:val="24"/>
              </w:rPr>
              <w:t>年</w:t>
            </w:r>
            <w:r w:rsidRPr="00C30CFF">
              <w:rPr>
                <w:color w:val="000000"/>
                <w:kern w:val="0"/>
                <w:sz w:val="24"/>
              </w:rPr>
              <w:t>12</w:t>
            </w:r>
            <w:r w:rsidRPr="00C30CFF">
              <w:rPr>
                <w:color w:val="000000"/>
                <w:kern w:val="0"/>
                <w:sz w:val="24"/>
              </w:rPr>
              <w:t>月</w:t>
            </w:r>
            <w:r w:rsidRPr="00C30CFF">
              <w:rPr>
                <w:color w:val="000000"/>
                <w:kern w:val="0"/>
                <w:sz w:val="24"/>
              </w:rPr>
              <w:t>19</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143,487,913.60</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本基金采用量化策略进行投资组合管理，追求基金资产的长期稳健增值。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量化策略是指根据金融市场历史数据，借助量化模型，进行金融市场的分析、判断和交易的策略。本基金基于不同市场情况，精选多种量化模型进行投资，运用的量化模型包括但不限于量化资产配置模型、多因子量化模型、行业轮动模型、事件超额收益模型。精选多种量化模型进行投资的原因，一是</w:t>
            </w:r>
            <w:r w:rsidRPr="00C30CFF">
              <w:rPr>
                <w:color w:val="000000"/>
                <w:kern w:val="0"/>
                <w:sz w:val="24"/>
              </w:rPr>
              <w:lastRenderedPageBreak/>
              <w:t>建立多种量化策略可以弥补单一量化策略失效的可能，并形成互补，保证整体投资业绩的持续性；二是精选多种量化策略进行投资，量化策略之间相关性越低，组合的整体风险越分散，有利于追求基金资产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×60% +</w:t>
            </w:r>
            <w:r w:rsidRPr="00C30CFF">
              <w:rPr>
                <w:color w:val="000000"/>
                <w:kern w:val="0"/>
                <w:sz w:val="24"/>
              </w:rPr>
              <w:t>上证国债指数收益率</w:t>
            </w:r>
            <w:r w:rsidRPr="00C30CFF">
              <w:rPr>
                <w:color w:val="000000"/>
                <w:kern w:val="0"/>
                <w:sz w:val="24"/>
              </w:rPr>
              <w:t>×40%</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中国建设银行股份有限公司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易方达量化策略精选混合</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易方达量化策略精选混合</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002216</w:t>
            </w:r>
          </w:p>
        </w:tc>
        <w:tc>
          <w:tcPr>
            <w:tcW w:w="2790" w:type="dxa"/>
            <w:vAlign w:val="center"/>
          </w:tcPr>
          <w:p w:rsidR="00F016DD" w:rsidRPr="00C30CFF" w:rsidRDefault="00F016DD" w:rsidP="00950413">
            <w:pPr>
              <w:jc w:val="left"/>
              <w:rPr>
                <w:color w:val="000000"/>
                <w:sz w:val="24"/>
              </w:rPr>
            </w:pPr>
            <w:r w:rsidRPr="00C30CFF">
              <w:rPr>
                <w:color w:val="000000"/>
                <w:sz w:val="24"/>
              </w:rPr>
              <w:t>002217</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116,314,244.26</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27,173,669.34</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易方达量化策略精选混合</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易方达量化策略精选混合</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10,642,505.34</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2,149,430.30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7,218,885.42</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1,399,822.08</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lastRenderedPageBreak/>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0.0584</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0.0541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112,646,322.85</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26,082,742.40</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0.968</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0.960</w:t>
            </w:r>
          </w:p>
        </w:tc>
      </w:tr>
    </w:tbl>
    <w:p w:rsidR="00D15861" w:rsidRDefault="00324FB5">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易方达量化策略精选混合A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D15861">
        <w:tc>
          <w:tcPr>
            <w:tcW w:w="1290" w:type="dxa"/>
            <w:vAlign w:val="center"/>
          </w:tcPr>
          <w:p w:rsidR="00D15861" w:rsidRDefault="00324FB5">
            <w:pPr>
              <w:jc w:val="left"/>
            </w:pPr>
            <w:r>
              <w:rPr>
                <w:color w:val="000000"/>
                <w:sz w:val="24"/>
              </w:rPr>
              <w:t>过去三个月</w:t>
            </w:r>
          </w:p>
        </w:tc>
        <w:tc>
          <w:tcPr>
            <w:tcW w:w="1291" w:type="dxa"/>
            <w:vAlign w:val="center"/>
          </w:tcPr>
          <w:p w:rsidR="00D15861" w:rsidRDefault="00324FB5">
            <w:pPr>
              <w:jc w:val="center"/>
            </w:pPr>
            <w:r>
              <w:rPr>
                <w:color w:val="000000"/>
                <w:sz w:val="24"/>
              </w:rPr>
              <w:t>6.26%</w:t>
            </w:r>
          </w:p>
        </w:tc>
        <w:tc>
          <w:tcPr>
            <w:tcW w:w="1291" w:type="dxa"/>
            <w:vAlign w:val="center"/>
          </w:tcPr>
          <w:p w:rsidR="00D15861" w:rsidRDefault="00324FB5">
            <w:pPr>
              <w:jc w:val="center"/>
            </w:pPr>
            <w:r>
              <w:rPr>
                <w:color w:val="000000"/>
                <w:sz w:val="24"/>
              </w:rPr>
              <w:t>0.92%</w:t>
            </w:r>
          </w:p>
        </w:tc>
        <w:tc>
          <w:tcPr>
            <w:tcW w:w="1291" w:type="dxa"/>
            <w:vAlign w:val="center"/>
          </w:tcPr>
          <w:p w:rsidR="00D15861" w:rsidRDefault="00324FB5">
            <w:pPr>
              <w:jc w:val="center"/>
            </w:pPr>
            <w:r>
              <w:rPr>
                <w:color w:val="000000"/>
                <w:sz w:val="24"/>
              </w:rPr>
              <w:t>0.41%</w:t>
            </w:r>
          </w:p>
        </w:tc>
        <w:tc>
          <w:tcPr>
            <w:tcW w:w="1291" w:type="dxa"/>
            <w:vAlign w:val="center"/>
          </w:tcPr>
          <w:p w:rsidR="00D15861" w:rsidRDefault="00324FB5">
            <w:pPr>
              <w:jc w:val="center"/>
            </w:pPr>
            <w:r>
              <w:rPr>
                <w:color w:val="000000"/>
                <w:sz w:val="24"/>
              </w:rPr>
              <w:t>0.57%</w:t>
            </w:r>
          </w:p>
        </w:tc>
        <w:tc>
          <w:tcPr>
            <w:tcW w:w="1291" w:type="dxa"/>
            <w:vAlign w:val="center"/>
          </w:tcPr>
          <w:p w:rsidR="00D15861" w:rsidRDefault="00324FB5">
            <w:pPr>
              <w:jc w:val="center"/>
            </w:pPr>
            <w:r>
              <w:rPr>
                <w:color w:val="000000"/>
                <w:sz w:val="24"/>
              </w:rPr>
              <w:t>5.85%</w:t>
            </w:r>
          </w:p>
        </w:tc>
        <w:tc>
          <w:tcPr>
            <w:tcW w:w="1291" w:type="dxa"/>
            <w:vAlign w:val="center"/>
          </w:tcPr>
          <w:p w:rsidR="00D15861" w:rsidRDefault="00324FB5">
            <w:pPr>
              <w:jc w:val="center"/>
            </w:pPr>
            <w:r>
              <w:rPr>
                <w:color w:val="000000"/>
                <w:sz w:val="24"/>
              </w:rPr>
              <w:t>0.35%</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易方达量化策略精选混合C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D15861">
        <w:tc>
          <w:tcPr>
            <w:tcW w:w="1290" w:type="dxa"/>
            <w:vAlign w:val="center"/>
          </w:tcPr>
          <w:p w:rsidR="00D15861" w:rsidRDefault="00324FB5">
            <w:pPr>
              <w:jc w:val="left"/>
            </w:pPr>
            <w:r>
              <w:rPr>
                <w:color w:val="000000"/>
                <w:sz w:val="24"/>
              </w:rPr>
              <w:t>过去三个月</w:t>
            </w:r>
          </w:p>
        </w:tc>
        <w:tc>
          <w:tcPr>
            <w:tcW w:w="1291" w:type="dxa"/>
            <w:vAlign w:val="center"/>
          </w:tcPr>
          <w:p w:rsidR="00D15861" w:rsidRDefault="00324FB5">
            <w:pPr>
              <w:jc w:val="center"/>
            </w:pPr>
            <w:r>
              <w:rPr>
                <w:color w:val="000000"/>
                <w:sz w:val="24"/>
              </w:rPr>
              <w:t>6.19%</w:t>
            </w:r>
          </w:p>
        </w:tc>
        <w:tc>
          <w:tcPr>
            <w:tcW w:w="1291" w:type="dxa"/>
            <w:vAlign w:val="center"/>
          </w:tcPr>
          <w:p w:rsidR="00D15861" w:rsidRDefault="00324FB5">
            <w:pPr>
              <w:jc w:val="center"/>
            </w:pPr>
            <w:r>
              <w:rPr>
                <w:color w:val="000000"/>
                <w:sz w:val="24"/>
              </w:rPr>
              <w:t>0.93%</w:t>
            </w:r>
          </w:p>
        </w:tc>
        <w:tc>
          <w:tcPr>
            <w:tcW w:w="1291" w:type="dxa"/>
            <w:vAlign w:val="center"/>
          </w:tcPr>
          <w:p w:rsidR="00D15861" w:rsidRDefault="00324FB5">
            <w:pPr>
              <w:jc w:val="center"/>
            </w:pPr>
            <w:r>
              <w:rPr>
                <w:color w:val="000000"/>
                <w:sz w:val="24"/>
              </w:rPr>
              <w:t>0.41%</w:t>
            </w:r>
          </w:p>
        </w:tc>
        <w:tc>
          <w:tcPr>
            <w:tcW w:w="1291" w:type="dxa"/>
            <w:vAlign w:val="center"/>
          </w:tcPr>
          <w:p w:rsidR="00D15861" w:rsidRDefault="00324FB5">
            <w:pPr>
              <w:jc w:val="center"/>
            </w:pPr>
            <w:r>
              <w:rPr>
                <w:color w:val="000000"/>
                <w:sz w:val="24"/>
              </w:rPr>
              <w:t>0.57%</w:t>
            </w:r>
          </w:p>
        </w:tc>
        <w:tc>
          <w:tcPr>
            <w:tcW w:w="1291" w:type="dxa"/>
            <w:vAlign w:val="center"/>
          </w:tcPr>
          <w:p w:rsidR="00D15861" w:rsidRDefault="00324FB5">
            <w:pPr>
              <w:jc w:val="center"/>
            </w:pPr>
            <w:r>
              <w:rPr>
                <w:color w:val="000000"/>
                <w:sz w:val="24"/>
              </w:rPr>
              <w:t>5.78%</w:t>
            </w:r>
          </w:p>
        </w:tc>
        <w:tc>
          <w:tcPr>
            <w:tcW w:w="1291" w:type="dxa"/>
            <w:vAlign w:val="center"/>
          </w:tcPr>
          <w:p w:rsidR="00D15861" w:rsidRDefault="00324FB5">
            <w:pPr>
              <w:jc w:val="center"/>
            </w:pPr>
            <w:r>
              <w:rPr>
                <w:color w:val="000000"/>
                <w:sz w:val="24"/>
              </w:rPr>
              <w:t>0.36%</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易方达量化策略精选灵活配置混合型证券投资基金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(2017</w:t>
      </w:r>
      <w:r w:rsidRPr="00FA472B">
        <w:rPr>
          <w:rFonts w:ascii="Times New Roman" w:hAnsi="Times New Roman"/>
          <w:sz w:val="24"/>
          <w:szCs w:val="24"/>
        </w:rPr>
        <w:t>年</w:t>
      </w:r>
      <w:r w:rsidRPr="00FA472B">
        <w:rPr>
          <w:rFonts w:ascii="Times New Roman" w:hAnsi="Times New Roman"/>
          <w:sz w:val="24"/>
          <w:szCs w:val="24"/>
        </w:rPr>
        <w:t>12</w:t>
      </w:r>
      <w:r w:rsidRPr="00FA472B">
        <w:rPr>
          <w:rFonts w:ascii="Times New Roman" w:hAnsi="Times New Roman"/>
          <w:sz w:val="24"/>
          <w:szCs w:val="24"/>
        </w:rPr>
        <w:t>月</w:t>
      </w:r>
      <w:r w:rsidRPr="00FA472B">
        <w:rPr>
          <w:rFonts w:ascii="Times New Roman" w:hAnsi="Times New Roman"/>
          <w:sz w:val="24"/>
          <w:szCs w:val="24"/>
        </w:rPr>
        <w:t>19</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易方达量化策略精选混合</w:t>
      </w:r>
      <w:r w:rsidRPr="00611CB2">
        <w:rPr>
          <w:color w:val="000000"/>
          <w:sz w:val="24"/>
        </w:rPr>
        <w:t>A</w:t>
      </w:r>
    </w:p>
    <w:p w:rsidR="00F016DD" w:rsidRPr="0078105B" w:rsidRDefault="00324FB5"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易方达量化策略精选混合</w:t>
      </w:r>
      <w:r w:rsidRPr="00611CB2">
        <w:rPr>
          <w:color w:val="000000"/>
          <w:sz w:val="24"/>
        </w:rPr>
        <w:t>C</w:t>
      </w:r>
    </w:p>
    <w:p w:rsidR="00F016DD" w:rsidRPr="0078105B" w:rsidRDefault="00324FB5"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-3.20%</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-4.00%</w:t>
      </w:r>
      <w:r w:rsidRPr="00DF18FE">
        <w:rPr>
          <w:color w:val="000000"/>
          <w:sz w:val="24"/>
        </w:rPr>
        <w:t>，同期业绩比较基准收益率为</w:t>
      </w:r>
      <w:r w:rsidRPr="00DF18FE">
        <w:rPr>
          <w:color w:val="000000"/>
          <w:sz w:val="24"/>
        </w:rPr>
        <w:t>1.81%</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D15861">
        <w:tc>
          <w:tcPr>
            <w:tcW w:w="567" w:type="dxa"/>
            <w:vAlign w:val="center"/>
          </w:tcPr>
          <w:p w:rsidR="00D15861" w:rsidRDefault="00324FB5">
            <w:pPr>
              <w:jc w:val="center"/>
            </w:pPr>
            <w:r>
              <w:rPr>
                <w:color w:val="000000"/>
                <w:sz w:val="24"/>
              </w:rPr>
              <w:t>官泽帆</w:t>
            </w:r>
          </w:p>
        </w:tc>
        <w:tc>
          <w:tcPr>
            <w:tcW w:w="2835" w:type="dxa"/>
            <w:vAlign w:val="center"/>
          </w:tcPr>
          <w:p w:rsidR="00D15861" w:rsidRDefault="00324FB5">
            <w:pPr>
              <w:jc w:val="center"/>
            </w:pPr>
            <w:r>
              <w:rPr>
                <w:color w:val="000000"/>
                <w:sz w:val="24"/>
              </w:rPr>
              <w:t>本基金的基金经理、易方达易百智能量化策略灵活配置混合型证券投资基金的基金经理、易方达沪深</w:t>
            </w:r>
            <w:r>
              <w:rPr>
                <w:color w:val="000000"/>
                <w:sz w:val="24"/>
              </w:rPr>
              <w:t>300</w:t>
            </w:r>
            <w:r>
              <w:rPr>
                <w:color w:val="000000"/>
                <w:sz w:val="24"/>
              </w:rPr>
              <w:t>量化增强证券投资基金的基金经理</w:t>
            </w:r>
          </w:p>
        </w:tc>
        <w:tc>
          <w:tcPr>
            <w:tcW w:w="851" w:type="dxa"/>
            <w:vAlign w:val="center"/>
          </w:tcPr>
          <w:p w:rsidR="00D15861" w:rsidRDefault="00324FB5">
            <w:pPr>
              <w:jc w:val="center"/>
            </w:pPr>
            <w:r>
              <w:rPr>
                <w:color w:val="000000"/>
                <w:sz w:val="24"/>
              </w:rPr>
              <w:t>2017-12-19</w:t>
            </w:r>
          </w:p>
        </w:tc>
        <w:tc>
          <w:tcPr>
            <w:tcW w:w="850" w:type="dxa"/>
            <w:vAlign w:val="center"/>
          </w:tcPr>
          <w:p w:rsidR="00D15861" w:rsidRDefault="00324FB5">
            <w:pPr>
              <w:jc w:val="center"/>
            </w:pPr>
            <w:r>
              <w:rPr>
                <w:color w:val="000000"/>
                <w:sz w:val="24"/>
              </w:rPr>
              <w:t>-</w:t>
            </w:r>
          </w:p>
        </w:tc>
        <w:tc>
          <w:tcPr>
            <w:tcW w:w="851" w:type="dxa"/>
            <w:vAlign w:val="center"/>
          </w:tcPr>
          <w:p w:rsidR="00D15861" w:rsidRDefault="00324FB5">
            <w:pPr>
              <w:jc w:val="center"/>
            </w:pPr>
            <w:r>
              <w:rPr>
                <w:color w:val="000000"/>
                <w:sz w:val="24"/>
              </w:rPr>
              <w:t>9</w:t>
            </w:r>
            <w:r>
              <w:rPr>
                <w:color w:val="000000"/>
                <w:sz w:val="24"/>
              </w:rPr>
              <w:t>年</w:t>
            </w:r>
          </w:p>
        </w:tc>
        <w:tc>
          <w:tcPr>
            <w:tcW w:w="2977" w:type="dxa"/>
            <w:vAlign w:val="center"/>
          </w:tcPr>
          <w:p w:rsidR="00D15861" w:rsidRDefault="00324FB5">
            <w:r>
              <w:rPr>
                <w:color w:val="000000"/>
                <w:sz w:val="24"/>
              </w:rPr>
              <w:t>硕士研究生，曾任招商基金管理有限公司投资开发工程师，摩根士丹利华鑫基金管理有限公司数量化研究员、基金经理助理，易方达基金管理有限公司易方达沪深</w:t>
            </w:r>
            <w:r>
              <w:rPr>
                <w:color w:val="000000"/>
                <w:sz w:val="24"/>
              </w:rPr>
              <w:t>300</w:t>
            </w:r>
            <w:r>
              <w:rPr>
                <w:color w:val="000000"/>
                <w:sz w:val="24"/>
              </w:rPr>
              <w:t>量化增强证券投资基金基金经理助理。</w:t>
            </w:r>
          </w:p>
        </w:tc>
      </w:tr>
    </w:tbl>
    <w:p w:rsidR="00D15861" w:rsidRDefault="00324FB5">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D15861" w:rsidRDefault="00324FB5">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w:t>
      </w:r>
      <w:r>
        <w:rPr>
          <w:color w:val="000000"/>
          <w:sz w:val="24"/>
        </w:rPr>
        <w:lastRenderedPageBreak/>
        <w:t>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D15861" w:rsidRDefault="00324FB5">
      <w:pPr>
        <w:spacing w:line="360" w:lineRule="auto"/>
        <w:ind w:firstLineChars="200" w:firstLine="480"/>
        <w:rPr>
          <w:color w:val="000000"/>
          <w:sz w:val="24"/>
        </w:rPr>
      </w:pPr>
      <w:r>
        <w:rPr>
          <w:color w:val="000000"/>
          <w:sz w:val="24"/>
        </w:rPr>
        <w:t>回顾本报告期，从传统意义上的经济的</w:t>
      </w:r>
      <w:r>
        <w:rPr>
          <w:color w:val="000000"/>
          <w:sz w:val="24"/>
        </w:rPr>
        <w:t>“</w:t>
      </w:r>
      <w:r>
        <w:rPr>
          <w:color w:val="000000"/>
          <w:sz w:val="24"/>
        </w:rPr>
        <w:t>三驾马车</w:t>
      </w:r>
      <w:r>
        <w:rPr>
          <w:color w:val="000000"/>
          <w:sz w:val="24"/>
        </w:rPr>
        <w:t>”</w:t>
      </w:r>
      <w:r>
        <w:rPr>
          <w:color w:val="000000"/>
          <w:sz w:val="24"/>
        </w:rPr>
        <w:t>：投资、消费、净出口相关数据来看，国内宏观经济下行压力依旧。</w:t>
      </w:r>
      <w:r>
        <w:rPr>
          <w:color w:val="000000"/>
          <w:sz w:val="24"/>
        </w:rPr>
        <w:t>8</w:t>
      </w:r>
      <w:r>
        <w:rPr>
          <w:color w:val="000000"/>
          <w:sz w:val="24"/>
        </w:rPr>
        <w:t>月份固定资产投资完成额累计同比增长</w:t>
      </w:r>
      <w:r>
        <w:rPr>
          <w:color w:val="000000"/>
          <w:sz w:val="24"/>
        </w:rPr>
        <w:t>5.5%</w:t>
      </w:r>
      <w:r>
        <w:rPr>
          <w:color w:val="000000"/>
          <w:sz w:val="24"/>
        </w:rPr>
        <w:t>，社会消费品零售总额当月同比增长</w:t>
      </w:r>
      <w:r>
        <w:rPr>
          <w:color w:val="000000"/>
          <w:sz w:val="24"/>
        </w:rPr>
        <w:t>7.5%</w:t>
      </w:r>
      <w:r>
        <w:rPr>
          <w:color w:val="000000"/>
          <w:sz w:val="24"/>
        </w:rPr>
        <w:t>，均显著低于二季度末的值。进出口方面，受</w:t>
      </w:r>
      <w:r>
        <w:rPr>
          <w:color w:val="000000"/>
          <w:sz w:val="24"/>
        </w:rPr>
        <w:t>贸易战影响，虽然我国对外贸易整体仍处在贸易顺差的环境中，但</w:t>
      </w:r>
      <w:r>
        <w:rPr>
          <w:color w:val="000000"/>
          <w:sz w:val="24"/>
        </w:rPr>
        <w:t>8</w:t>
      </w:r>
      <w:r>
        <w:rPr>
          <w:color w:val="000000"/>
          <w:sz w:val="24"/>
        </w:rPr>
        <w:t>月份的出口金额当月同比下降了</w:t>
      </w:r>
      <w:r>
        <w:rPr>
          <w:color w:val="000000"/>
          <w:sz w:val="24"/>
        </w:rPr>
        <w:t>1%</w:t>
      </w:r>
      <w:r>
        <w:rPr>
          <w:color w:val="000000"/>
          <w:sz w:val="24"/>
        </w:rPr>
        <w:t>。资金方面，货币政策有一定的宽松，但由于受猪肉价格影响，今年以来</w:t>
      </w:r>
      <w:r>
        <w:rPr>
          <w:color w:val="000000"/>
          <w:sz w:val="24"/>
        </w:rPr>
        <w:t>CPI</w:t>
      </w:r>
      <w:r>
        <w:rPr>
          <w:color w:val="000000"/>
          <w:sz w:val="24"/>
        </w:rPr>
        <w:t>持续走高，一定程度上延缓了宽松的步伐。但与此同时，我国金融市场逐步开放的方向不变，国家外汇管理局近日正式宣布全面取消合格境外机构投资者</w:t>
      </w:r>
      <w:r>
        <w:rPr>
          <w:color w:val="000000"/>
          <w:sz w:val="24"/>
        </w:rPr>
        <w:t>(QFII)</w:t>
      </w:r>
      <w:r>
        <w:rPr>
          <w:color w:val="000000"/>
          <w:sz w:val="24"/>
        </w:rPr>
        <w:t>和人民币合格境外机构投资者</w:t>
      </w:r>
      <w:r>
        <w:rPr>
          <w:color w:val="000000"/>
          <w:sz w:val="24"/>
        </w:rPr>
        <w:t>(RQFII)</w:t>
      </w:r>
      <w:r>
        <w:rPr>
          <w:color w:val="000000"/>
          <w:sz w:val="24"/>
        </w:rPr>
        <w:t>投资额度限制，料将带来大量增量资金，并且进一步促进</w:t>
      </w:r>
      <w:r>
        <w:rPr>
          <w:color w:val="000000"/>
          <w:sz w:val="24"/>
        </w:rPr>
        <w:t>A</w:t>
      </w:r>
      <w:r>
        <w:rPr>
          <w:color w:val="000000"/>
          <w:sz w:val="24"/>
        </w:rPr>
        <w:t>股市场的机构化。</w:t>
      </w:r>
    </w:p>
    <w:p w:rsidR="00D15861" w:rsidRDefault="00324FB5">
      <w:pPr>
        <w:spacing w:line="360" w:lineRule="auto"/>
        <w:ind w:firstLineChars="200" w:firstLine="480"/>
        <w:rPr>
          <w:color w:val="000000"/>
          <w:sz w:val="24"/>
        </w:rPr>
      </w:pPr>
      <w:r>
        <w:rPr>
          <w:color w:val="000000"/>
          <w:sz w:val="24"/>
        </w:rPr>
        <w:t>得益于政策的边际宽松，以及</w:t>
      </w:r>
      <w:r>
        <w:rPr>
          <w:color w:val="000000"/>
          <w:sz w:val="24"/>
        </w:rPr>
        <w:t>7</w:t>
      </w:r>
      <w:r>
        <w:rPr>
          <w:color w:val="000000"/>
          <w:sz w:val="24"/>
        </w:rPr>
        <w:t>月份科创板的正式开板，三季度市场情绪有所修复，市场风格整体上偏向成</w:t>
      </w:r>
      <w:r>
        <w:rPr>
          <w:color w:val="000000"/>
          <w:sz w:val="24"/>
        </w:rPr>
        <w:t>长股。因此，在三季度中，上证综指跌</w:t>
      </w:r>
      <w:r>
        <w:rPr>
          <w:color w:val="000000"/>
          <w:sz w:val="24"/>
        </w:rPr>
        <w:t>2.47%</w:t>
      </w:r>
      <w:r>
        <w:rPr>
          <w:color w:val="000000"/>
          <w:sz w:val="24"/>
        </w:rPr>
        <w:t>，而深证成指和创业板指则分别涨</w:t>
      </w:r>
      <w:r>
        <w:rPr>
          <w:color w:val="000000"/>
          <w:sz w:val="24"/>
        </w:rPr>
        <w:t>2.92%</w:t>
      </w:r>
      <w:r>
        <w:rPr>
          <w:color w:val="000000"/>
          <w:sz w:val="24"/>
        </w:rPr>
        <w:t>和</w:t>
      </w:r>
      <w:r>
        <w:rPr>
          <w:color w:val="000000"/>
          <w:sz w:val="24"/>
        </w:rPr>
        <w:t>7.68%</w:t>
      </w:r>
      <w:r>
        <w:rPr>
          <w:color w:val="000000"/>
          <w:sz w:val="24"/>
        </w:rPr>
        <w:t>，深证成指和创业板指在三季度的表现明显强于上证综指。而行业方面，也同样是偏高科技、成长类的行业如电子、医药生物和计算机表现最为强势，而部分传统周期类行业如钢铁、采掘、建筑装饰和有色金属则表现较弱。市场情绪修复下的成长股行情也在因子层面得到了体现，动量、盈利质量和历史成长等因子在三季度整体表现较为突出，而传统估值类因子和短期反转类因子则集体失效。</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行业配置相对均衡，在选股方面依托量化选股模型，立足长期增长逻辑，顺应市场风格趋势进行配置，优选经营稳健、盈利质量高的个股。本基金将继续坚持采用基本面量化模型进行选股，配置长期稳健的策略模型优选个股，力争为投资人创造优良的投资回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0.968</w:t>
      </w:r>
      <w:r w:rsidRPr="00DF18FE">
        <w:rPr>
          <w:color w:val="000000"/>
          <w:sz w:val="24"/>
        </w:rPr>
        <w:t>元，本报告期份额净值增长率为</w:t>
      </w:r>
      <w:r w:rsidRPr="00DF18FE">
        <w:rPr>
          <w:color w:val="000000"/>
          <w:sz w:val="24"/>
        </w:rPr>
        <w:t>6.26%</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0.960</w:t>
      </w:r>
      <w:r w:rsidRPr="00DF18FE">
        <w:rPr>
          <w:color w:val="000000"/>
          <w:sz w:val="24"/>
        </w:rPr>
        <w:t>元，本报告期份额净值增长率为</w:t>
      </w:r>
      <w:r w:rsidRPr="00DF18FE">
        <w:rPr>
          <w:color w:val="000000"/>
          <w:sz w:val="24"/>
        </w:rPr>
        <w:t>6.19%</w:t>
      </w:r>
      <w:r w:rsidRPr="00DF18FE">
        <w:rPr>
          <w:color w:val="000000"/>
          <w:sz w:val="24"/>
        </w:rPr>
        <w:t>；同期业绩比较基准收益率为</w:t>
      </w:r>
      <w:r w:rsidRPr="00DF18FE">
        <w:rPr>
          <w:color w:val="000000"/>
          <w:sz w:val="24"/>
        </w:rPr>
        <w:t>0.41%</w:t>
      </w:r>
      <w:r w:rsidRPr="00DF18FE">
        <w:rPr>
          <w:color w:val="000000"/>
          <w:sz w:val="24"/>
        </w:rPr>
        <w:t>，各项指标均在合同规定的目标控制范围之内。</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124,218,218.92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89.01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124,218,218.92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89.01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14,096,713.88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10.10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1,243,783.11</w:t>
            </w:r>
          </w:p>
        </w:tc>
        <w:tc>
          <w:tcPr>
            <w:tcW w:w="1843" w:type="dxa"/>
            <w:vAlign w:val="center"/>
          </w:tcPr>
          <w:p w:rsidR="00F016DD" w:rsidRPr="00FA472B" w:rsidRDefault="00F016DD" w:rsidP="00F4518C">
            <w:pPr>
              <w:jc w:val="right"/>
              <w:rPr>
                <w:color w:val="000000"/>
                <w:sz w:val="24"/>
              </w:rPr>
            </w:pPr>
            <w:r w:rsidRPr="00FA472B">
              <w:rPr>
                <w:color w:val="000000"/>
                <w:sz w:val="24"/>
              </w:rPr>
              <w:t>0.89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139,558,715.91</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1,286,428.00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0.93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1,770,652.00</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1.28</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75,848,151.79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54.67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248,057.60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0.18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3,110,855.69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2.24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457,417.00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0.33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3,034,021.00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615,568.00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0.44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3,986,628.64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2.87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22,895,817.20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16.50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5,210,887.00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3.76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3,052,368.00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2.20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42,041.00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475,298.00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0.34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2,184,028.00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1.57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124,218,218.92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89.54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D15861">
        <w:tc>
          <w:tcPr>
            <w:tcW w:w="817" w:type="dxa"/>
            <w:vAlign w:val="center"/>
          </w:tcPr>
          <w:p w:rsidR="00D15861" w:rsidRDefault="00324FB5">
            <w:pPr>
              <w:jc w:val="center"/>
            </w:pPr>
            <w:r>
              <w:rPr>
                <w:color w:val="000000"/>
                <w:sz w:val="24"/>
              </w:rPr>
              <w:t>1</w:t>
            </w:r>
          </w:p>
        </w:tc>
        <w:tc>
          <w:tcPr>
            <w:tcW w:w="1276" w:type="dxa"/>
            <w:vAlign w:val="center"/>
          </w:tcPr>
          <w:p w:rsidR="00D15861" w:rsidRDefault="00324FB5">
            <w:pPr>
              <w:jc w:val="center"/>
            </w:pPr>
            <w:r>
              <w:rPr>
                <w:color w:val="000000"/>
                <w:sz w:val="24"/>
              </w:rPr>
              <w:t>600519</w:t>
            </w:r>
          </w:p>
        </w:tc>
        <w:tc>
          <w:tcPr>
            <w:tcW w:w="1417" w:type="dxa"/>
            <w:vAlign w:val="center"/>
          </w:tcPr>
          <w:p w:rsidR="00D15861" w:rsidRDefault="00324FB5">
            <w:pPr>
              <w:jc w:val="center"/>
            </w:pPr>
            <w:r>
              <w:rPr>
                <w:color w:val="000000"/>
                <w:sz w:val="24"/>
              </w:rPr>
              <w:t>贵州茅台</w:t>
            </w:r>
          </w:p>
        </w:tc>
        <w:tc>
          <w:tcPr>
            <w:tcW w:w="1560" w:type="dxa"/>
            <w:vAlign w:val="center"/>
          </w:tcPr>
          <w:p w:rsidR="00D15861" w:rsidRDefault="00324FB5">
            <w:pPr>
              <w:jc w:val="right"/>
            </w:pPr>
            <w:r>
              <w:rPr>
                <w:color w:val="000000"/>
                <w:sz w:val="24"/>
              </w:rPr>
              <w:t>9,500</w:t>
            </w:r>
          </w:p>
        </w:tc>
        <w:tc>
          <w:tcPr>
            <w:tcW w:w="2268" w:type="dxa"/>
            <w:vAlign w:val="center"/>
          </w:tcPr>
          <w:p w:rsidR="00D15861" w:rsidRDefault="00324FB5">
            <w:pPr>
              <w:jc w:val="right"/>
            </w:pPr>
            <w:r>
              <w:rPr>
                <w:color w:val="000000"/>
                <w:sz w:val="24"/>
              </w:rPr>
              <w:t>10,925,000.00</w:t>
            </w:r>
          </w:p>
        </w:tc>
        <w:tc>
          <w:tcPr>
            <w:tcW w:w="1559" w:type="dxa"/>
            <w:vAlign w:val="center"/>
          </w:tcPr>
          <w:p w:rsidR="00D15861" w:rsidRDefault="00324FB5">
            <w:pPr>
              <w:jc w:val="right"/>
            </w:pPr>
            <w:r>
              <w:rPr>
                <w:color w:val="000000"/>
                <w:sz w:val="24"/>
              </w:rPr>
              <w:t>7.88</w:t>
            </w:r>
          </w:p>
        </w:tc>
      </w:tr>
      <w:tr w:rsidR="00D15861">
        <w:tc>
          <w:tcPr>
            <w:tcW w:w="817" w:type="dxa"/>
            <w:vAlign w:val="center"/>
          </w:tcPr>
          <w:p w:rsidR="00D15861" w:rsidRDefault="00324FB5">
            <w:pPr>
              <w:jc w:val="center"/>
            </w:pPr>
            <w:r>
              <w:rPr>
                <w:color w:val="000000"/>
                <w:sz w:val="24"/>
              </w:rPr>
              <w:t>2</w:t>
            </w:r>
          </w:p>
        </w:tc>
        <w:tc>
          <w:tcPr>
            <w:tcW w:w="1276" w:type="dxa"/>
            <w:vAlign w:val="center"/>
          </w:tcPr>
          <w:p w:rsidR="00D15861" w:rsidRDefault="00324FB5">
            <w:pPr>
              <w:jc w:val="center"/>
            </w:pPr>
            <w:r>
              <w:rPr>
                <w:color w:val="000000"/>
                <w:sz w:val="24"/>
              </w:rPr>
              <w:t>601318</w:t>
            </w:r>
          </w:p>
        </w:tc>
        <w:tc>
          <w:tcPr>
            <w:tcW w:w="1417" w:type="dxa"/>
            <w:vAlign w:val="center"/>
          </w:tcPr>
          <w:p w:rsidR="00D15861" w:rsidRDefault="00324FB5">
            <w:pPr>
              <w:jc w:val="center"/>
            </w:pPr>
            <w:r>
              <w:rPr>
                <w:color w:val="000000"/>
                <w:sz w:val="24"/>
              </w:rPr>
              <w:t>中国平安</w:t>
            </w:r>
          </w:p>
        </w:tc>
        <w:tc>
          <w:tcPr>
            <w:tcW w:w="1560" w:type="dxa"/>
            <w:vAlign w:val="center"/>
          </w:tcPr>
          <w:p w:rsidR="00D15861" w:rsidRDefault="00324FB5">
            <w:pPr>
              <w:jc w:val="right"/>
            </w:pPr>
            <w:r>
              <w:rPr>
                <w:color w:val="000000"/>
                <w:sz w:val="24"/>
              </w:rPr>
              <w:t>74,800</w:t>
            </w:r>
          </w:p>
        </w:tc>
        <w:tc>
          <w:tcPr>
            <w:tcW w:w="2268" w:type="dxa"/>
            <w:vAlign w:val="center"/>
          </w:tcPr>
          <w:p w:rsidR="00D15861" w:rsidRDefault="00324FB5">
            <w:pPr>
              <w:jc w:val="right"/>
            </w:pPr>
            <w:r>
              <w:rPr>
                <w:color w:val="000000"/>
                <w:sz w:val="24"/>
              </w:rPr>
              <w:t>6,510,592.00</w:t>
            </w:r>
          </w:p>
        </w:tc>
        <w:tc>
          <w:tcPr>
            <w:tcW w:w="1559" w:type="dxa"/>
            <w:vAlign w:val="center"/>
          </w:tcPr>
          <w:p w:rsidR="00D15861" w:rsidRDefault="00324FB5">
            <w:pPr>
              <w:jc w:val="right"/>
            </w:pPr>
            <w:r>
              <w:rPr>
                <w:color w:val="000000"/>
                <w:sz w:val="24"/>
              </w:rPr>
              <w:t>4.69</w:t>
            </w:r>
          </w:p>
        </w:tc>
      </w:tr>
      <w:tr w:rsidR="00D15861">
        <w:tc>
          <w:tcPr>
            <w:tcW w:w="817" w:type="dxa"/>
            <w:vAlign w:val="center"/>
          </w:tcPr>
          <w:p w:rsidR="00D15861" w:rsidRDefault="00324FB5">
            <w:pPr>
              <w:jc w:val="center"/>
            </w:pPr>
            <w:r>
              <w:rPr>
                <w:color w:val="000000"/>
                <w:sz w:val="24"/>
              </w:rPr>
              <w:t>3</w:t>
            </w:r>
          </w:p>
        </w:tc>
        <w:tc>
          <w:tcPr>
            <w:tcW w:w="1276" w:type="dxa"/>
            <w:vAlign w:val="center"/>
          </w:tcPr>
          <w:p w:rsidR="00D15861" w:rsidRDefault="00324FB5">
            <w:pPr>
              <w:jc w:val="center"/>
            </w:pPr>
            <w:r>
              <w:rPr>
                <w:color w:val="000000"/>
                <w:sz w:val="24"/>
              </w:rPr>
              <w:t>000858</w:t>
            </w:r>
          </w:p>
        </w:tc>
        <w:tc>
          <w:tcPr>
            <w:tcW w:w="1417" w:type="dxa"/>
            <w:vAlign w:val="center"/>
          </w:tcPr>
          <w:p w:rsidR="00D15861" w:rsidRDefault="00324FB5">
            <w:pPr>
              <w:jc w:val="center"/>
            </w:pPr>
            <w:r>
              <w:rPr>
                <w:color w:val="000000"/>
                <w:sz w:val="24"/>
              </w:rPr>
              <w:t>五粮液</w:t>
            </w:r>
          </w:p>
        </w:tc>
        <w:tc>
          <w:tcPr>
            <w:tcW w:w="1560" w:type="dxa"/>
            <w:vAlign w:val="center"/>
          </w:tcPr>
          <w:p w:rsidR="00D15861" w:rsidRDefault="00324FB5">
            <w:pPr>
              <w:jc w:val="right"/>
            </w:pPr>
            <w:r>
              <w:rPr>
                <w:color w:val="000000"/>
                <w:sz w:val="24"/>
              </w:rPr>
              <w:t>38,300</w:t>
            </w:r>
          </w:p>
        </w:tc>
        <w:tc>
          <w:tcPr>
            <w:tcW w:w="2268" w:type="dxa"/>
            <w:vAlign w:val="center"/>
          </w:tcPr>
          <w:p w:rsidR="00D15861" w:rsidRDefault="00324FB5">
            <w:pPr>
              <w:jc w:val="right"/>
            </w:pPr>
            <w:r>
              <w:rPr>
                <w:color w:val="000000"/>
                <w:sz w:val="24"/>
              </w:rPr>
              <w:t>4,971,340.00</w:t>
            </w:r>
          </w:p>
        </w:tc>
        <w:tc>
          <w:tcPr>
            <w:tcW w:w="1559" w:type="dxa"/>
            <w:vAlign w:val="center"/>
          </w:tcPr>
          <w:p w:rsidR="00D15861" w:rsidRDefault="00324FB5">
            <w:pPr>
              <w:jc w:val="right"/>
            </w:pPr>
            <w:r>
              <w:rPr>
                <w:color w:val="000000"/>
                <w:sz w:val="24"/>
              </w:rPr>
              <w:t>3.58</w:t>
            </w:r>
          </w:p>
        </w:tc>
      </w:tr>
      <w:tr w:rsidR="00D15861">
        <w:tc>
          <w:tcPr>
            <w:tcW w:w="817" w:type="dxa"/>
            <w:vAlign w:val="center"/>
          </w:tcPr>
          <w:p w:rsidR="00D15861" w:rsidRDefault="00324FB5">
            <w:pPr>
              <w:jc w:val="center"/>
            </w:pPr>
            <w:r>
              <w:rPr>
                <w:color w:val="000000"/>
                <w:sz w:val="24"/>
              </w:rPr>
              <w:t>4</w:t>
            </w:r>
          </w:p>
        </w:tc>
        <w:tc>
          <w:tcPr>
            <w:tcW w:w="1276" w:type="dxa"/>
            <w:vAlign w:val="center"/>
          </w:tcPr>
          <w:p w:rsidR="00D15861" w:rsidRDefault="00324FB5">
            <w:pPr>
              <w:jc w:val="center"/>
            </w:pPr>
            <w:r>
              <w:rPr>
                <w:color w:val="000000"/>
                <w:sz w:val="24"/>
              </w:rPr>
              <w:t>600887</w:t>
            </w:r>
          </w:p>
        </w:tc>
        <w:tc>
          <w:tcPr>
            <w:tcW w:w="1417" w:type="dxa"/>
            <w:vAlign w:val="center"/>
          </w:tcPr>
          <w:p w:rsidR="00D15861" w:rsidRDefault="00324FB5">
            <w:pPr>
              <w:jc w:val="center"/>
            </w:pPr>
            <w:r>
              <w:rPr>
                <w:color w:val="000000"/>
                <w:sz w:val="24"/>
              </w:rPr>
              <w:t>伊利股份</w:t>
            </w:r>
          </w:p>
        </w:tc>
        <w:tc>
          <w:tcPr>
            <w:tcW w:w="1560" w:type="dxa"/>
            <w:vAlign w:val="center"/>
          </w:tcPr>
          <w:p w:rsidR="00D15861" w:rsidRDefault="00324FB5">
            <w:pPr>
              <w:jc w:val="right"/>
            </w:pPr>
            <w:r>
              <w:rPr>
                <w:color w:val="000000"/>
                <w:sz w:val="24"/>
              </w:rPr>
              <w:t>151,700</w:t>
            </w:r>
          </w:p>
        </w:tc>
        <w:tc>
          <w:tcPr>
            <w:tcW w:w="2268" w:type="dxa"/>
            <w:vAlign w:val="center"/>
          </w:tcPr>
          <w:p w:rsidR="00D15861" w:rsidRDefault="00324FB5">
            <w:pPr>
              <w:jc w:val="right"/>
            </w:pPr>
            <w:r>
              <w:rPr>
                <w:color w:val="000000"/>
                <w:sz w:val="24"/>
              </w:rPr>
              <w:t>4,326,484.00</w:t>
            </w:r>
          </w:p>
        </w:tc>
        <w:tc>
          <w:tcPr>
            <w:tcW w:w="1559" w:type="dxa"/>
            <w:vAlign w:val="center"/>
          </w:tcPr>
          <w:p w:rsidR="00D15861" w:rsidRDefault="00324FB5">
            <w:pPr>
              <w:jc w:val="right"/>
            </w:pPr>
            <w:r>
              <w:rPr>
                <w:color w:val="000000"/>
                <w:sz w:val="24"/>
              </w:rPr>
              <w:t>3.12</w:t>
            </w:r>
          </w:p>
        </w:tc>
      </w:tr>
      <w:tr w:rsidR="00D15861">
        <w:tc>
          <w:tcPr>
            <w:tcW w:w="817" w:type="dxa"/>
            <w:vAlign w:val="center"/>
          </w:tcPr>
          <w:p w:rsidR="00D15861" w:rsidRDefault="00324FB5">
            <w:pPr>
              <w:jc w:val="center"/>
            </w:pPr>
            <w:r>
              <w:rPr>
                <w:color w:val="000000"/>
                <w:sz w:val="24"/>
              </w:rPr>
              <w:t>5</w:t>
            </w:r>
          </w:p>
        </w:tc>
        <w:tc>
          <w:tcPr>
            <w:tcW w:w="1276" w:type="dxa"/>
            <w:vAlign w:val="center"/>
          </w:tcPr>
          <w:p w:rsidR="00D15861" w:rsidRDefault="00324FB5">
            <w:pPr>
              <w:jc w:val="center"/>
            </w:pPr>
            <w:r>
              <w:rPr>
                <w:color w:val="000000"/>
                <w:sz w:val="24"/>
              </w:rPr>
              <w:t>600276</w:t>
            </w:r>
          </w:p>
        </w:tc>
        <w:tc>
          <w:tcPr>
            <w:tcW w:w="1417" w:type="dxa"/>
            <w:vAlign w:val="center"/>
          </w:tcPr>
          <w:p w:rsidR="00D15861" w:rsidRDefault="00324FB5">
            <w:pPr>
              <w:jc w:val="center"/>
            </w:pPr>
            <w:r>
              <w:rPr>
                <w:color w:val="000000"/>
                <w:sz w:val="24"/>
              </w:rPr>
              <w:t>恒瑞医药</w:t>
            </w:r>
          </w:p>
        </w:tc>
        <w:tc>
          <w:tcPr>
            <w:tcW w:w="1560" w:type="dxa"/>
            <w:vAlign w:val="center"/>
          </w:tcPr>
          <w:p w:rsidR="00D15861" w:rsidRDefault="00324FB5">
            <w:pPr>
              <w:jc w:val="right"/>
            </w:pPr>
            <w:r>
              <w:rPr>
                <w:color w:val="000000"/>
                <w:sz w:val="24"/>
              </w:rPr>
              <w:t>50,860</w:t>
            </w:r>
          </w:p>
        </w:tc>
        <w:tc>
          <w:tcPr>
            <w:tcW w:w="2268" w:type="dxa"/>
            <w:vAlign w:val="center"/>
          </w:tcPr>
          <w:p w:rsidR="00D15861" w:rsidRDefault="00324FB5">
            <w:pPr>
              <w:jc w:val="right"/>
            </w:pPr>
            <w:r>
              <w:rPr>
                <w:color w:val="000000"/>
                <w:sz w:val="24"/>
              </w:rPr>
              <w:t>4,103,384.80</w:t>
            </w:r>
          </w:p>
        </w:tc>
        <w:tc>
          <w:tcPr>
            <w:tcW w:w="1559" w:type="dxa"/>
            <w:vAlign w:val="center"/>
          </w:tcPr>
          <w:p w:rsidR="00D15861" w:rsidRDefault="00324FB5">
            <w:pPr>
              <w:jc w:val="right"/>
            </w:pPr>
            <w:r>
              <w:rPr>
                <w:color w:val="000000"/>
                <w:sz w:val="24"/>
              </w:rPr>
              <w:t>2.96</w:t>
            </w:r>
          </w:p>
        </w:tc>
      </w:tr>
      <w:tr w:rsidR="00D15861">
        <w:tc>
          <w:tcPr>
            <w:tcW w:w="817" w:type="dxa"/>
            <w:vAlign w:val="center"/>
          </w:tcPr>
          <w:p w:rsidR="00D15861" w:rsidRDefault="00324FB5">
            <w:pPr>
              <w:jc w:val="center"/>
            </w:pPr>
            <w:r>
              <w:rPr>
                <w:color w:val="000000"/>
                <w:sz w:val="24"/>
              </w:rPr>
              <w:t>6</w:t>
            </w:r>
          </w:p>
        </w:tc>
        <w:tc>
          <w:tcPr>
            <w:tcW w:w="1276" w:type="dxa"/>
            <w:vAlign w:val="center"/>
          </w:tcPr>
          <w:p w:rsidR="00D15861" w:rsidRDefault="00324FB5">
            <w:pPr>
              <w:jc w:val="center"/>
            </w:pPr>
            <w:r>
              <w:rPr>
                <w:color w:val="000000"/>
                <w:sz w:val="24"/>
              </w:rPr>
              <w:t>000651</w:t>
            </w:r>
          </w:p>
        </w:tc>
        <w:tc>
          <w:tcPr>
            <w:tcW w:w="1417" w:type="dxa"/>
            <w:vAlign w:val="center"/>
          </w:tcPr>
          <w:p w:rsidR="00D15861" w:rsidRDefault="00324FB5">
            <w:pPr>
              <w:jc w:val="center"/>
            </w:pPr>
            <w:r>
              <w:rPr>
                <w:color w:val="000000"/>
                <w:sz w:val="24"/>
              </w:rPr>
              <w:t>格力电器</w:t>
            </w:r>
          </w:p>
        </w:tc>
        <w:tc>
          <w:tcPr>
            <w:tcW w:w="1560" w:type="dxa"/>
            <w:vAlign w:val="center"/>
          </w:tcPr>
          <w:p w:rsidR="00D15861" w:rsidRDefault="00324FB5">
            <w:pPr>
              <w:jc w:val="right"/>
            </w:pPr>
            <w:r>
              <w:rPr>
                <w:color w:val="000000"/>
                <w:sz w:val="24"/>
              </w:rPr>
              <w:t>65,400</w:t>
            </w:r>
          </w:p>
        </w:tc>
        <w:tc>
          <w:tcPr>
            <w:tcW w:w="2268" w:type="dxa"/>
            <w:vAlign w:val="center"/>
          </w:tcPr>
          <w:p w:rsidR="00D15861" w:rsidRDefault="00324FB5">
            <w:pPr>
              <w:jc w:val="right"/>
            </w:pPr>
            <w:r>
              <w:rPr>
                <w:color w:val="000000"/>
                <w:sz w:val="24"/>
              </w:rPr>
              <w:t>3,747,420.00</w:t>
            </w:r>
          </w:p>
        </w:tc>
        <w:tc>
          <w:tcPr>
            <w:tcW w:w="1559" w:type="dxa"/>
            <w:vAlign w:val="center"/>
          </w:tcPr>
          <w:p w:rsidR="00D15861" w:rsidRDefault="00324FB5">
            <w:pPr>
              <w:jc w:val="right"/>
            </w:pPr>
            <w:r>
              <w:rPr>
                <w:color w:val="000000"/>
                <w:sz w:val="24"/>
              </w:rPr>
              <w:t>2.70</w:t>
            </w:r>
          </w:p>
        </w:tc>
      </w:tr>
      <w:tr w:rsidR="00D15861">
        <w:tc>
          <w:tcPr>
            <w:tcW w:w="817" w:type="dxa"/>
            <w:vAlign w:val="center"/>
          </w:tcPr>
          <w:p w:rsidR="00D15861" w:rsidRDefault="00324FB5">
            <w:pPr>
              <w:jc w:val="center"/>
            </w:pPr>
            <w:r>
              <w:rPr>
                <w:color w:val="000000"/>
                <w:sz w:val="24"/>
              </w:rPr>
              <w:t>7</w:t>
            </w:r>
          </w:p>
        </w:tc>
        <w:tc>
          <w:tcPr>
            <w:tcW w:w="1276" w:type="dxa"/>
            <w:vAlign w:val="center"/>
          </w:tcPr>
          <w:p w:rsidR="00D15861" w:rsidRDefault="00324FB5">
            <w:pPr>
              <w:jc w:val="center"/>
            </w:pPr>
            <w:r>
              <w:rPr>
                <w:color w:val="000000"/>
                <w:sz w:val="24"/>
              </w:rPr>
              <w:t>000333</w:t>
            </w:r>
          </w:p>
        </w:tc>
        <w:tc>
          <w:tcPr>
            <w:tcW w:w="1417" w:type="dxa"/>
            <w:vAlign w:val="center"/>
          </w:tcPr>
          <w:p w:rsidR="00D15861" w:rsidRDefault="00324FB5">
            <w:pPr>
              <w:jc w:val="center"/>
            </w:pPr>
            <w:r>
              <w:rPr>
                <w:color w:val="000000"/>
                <w:sz w:val="24"/>
              </w:rPr>
              <w:t>美的集团</w:t>
            </w:r>
          </w:p>
        </w:tc>
        <w:tc>
          <w:tcPr>
            <w:tcW w:w="1560" w:type="dxa"/>
            <w:vAlign w:val="center"/>
          </w:tcPr>
          <w:p w:rsidR="00D15861" w:rsidRDefault="00324FB5">
            <w:pPr>
              <w:jc w:val="right"/>
            </w:pPr>
            <w:r>
              <w:rPr>
                <w:color w:val="000000"/>
                <w:sz w:val="24"/>
              </w:rPr>
              <w:t>63,443</w:t>
            </w:r>
          </w:p>
        </w:tc>
        <w:tc>
          <w:tcPr>
            <w:tcW w:w="2268" w:type="dxa"/>
            <w:vAlign w:val="center"/>
          </w:tcPr>
          <w:p w:rsidR="00D15861" w:rsidRDefault="00324FB5">
            <w:pPr>
              <w:jc w:val="right"/>
            </w:pPr>
            <w:r>
              <w:rPr>
                <w:color w:val="000000"/>
                <w:sz w:val="24"/>
              </w:rPr>
              <w:t>3,241,937.30</w:t>
            </w:r>
          </w:p>
        </w:tc>
        <w:tc>
          <w:tcPr>
            <w:tcW w:w="1559" w:type="dxa"/>
            <w:vAlign w:val="center"/>
          </w:tcPr>
          <w:p w:rsidR="00D15861" w:rsidRDefault="00324FB5">
            <w:pPr>
              <w:jc w:val="right"/>
            </w:pPr>
            <w:r>
              <w:rPr>
                <w:color w:val="000000"/>
                <w:sz w:val="24"/>
              </w:rPr>
              <w:t>2.34</w:t>
            </w:r>
          </w:p>
        </w:tc>
      </w:tr>
      <w:tr w:rsidR="00D15861">
        <w:tc>
          <w:tcPr>
            <w:tcW w:w="817" w:type="dxa"/>
            <w:vAlign w:val="center"/>
          </w:tcPr>
          <w:p w:rsidR="00D15861" w:rsidRDefault="00324FB5">
            <w:pPr>
              <w:jc w:val="center"/>
            </w:pPr>
            <w:r>
              <w:rPr>
                <w:color w:val="000000"/>
                <w:sz w:val="24"/>
              </w:rPr>
              <w:t>8</w:t>
            </w:r>
          </w:p>
        </w:tc>
        <w:tc>
          <w:tcPr>
            <w:tcW w:w="1276" w:type="dxa"/>
            <w:vAlign w:val="center"/>
          </w:tcPr>
          <w:p w:rsidR="00D15861" w:rsidRDefault="00324FB5">
            <w:pPr>
              <w:jc w:val="center"/>
            </w:pPr>
            <w:r>
              <w:rPr>
                <w:color w:val="000000"/>
                <w:sz w:val="24"/>
              </w:rPr>
              <w:t>601888</w:t>
            </w:r>
          </w:p>
        </w:tc>
        <w:tc>
          <w:tcPr>
            <w:tcW w:w="1417" w:type="dxa"/>
            <w:vAlign w:val="center"/>
          </w:tcPr>
          <w:p w:rsidR="00D15861" w:rsidRDefault="00324FB5">
            <w:pPr>
              <w:jc w:val="center"/>
            </w:pPr>
            <w:r>
              <w:rPr>
                <w:color w:val="000000"/>
                <w:sz w:val="24"/>
              </w:rPr>
              <w:t>中国国旅</w:t>
            </w:r>
          </w:p>
        </w:tc>
        <w:tc>
          <w:tcPr>
            <w:tcW w:w="1560" w:type="dxa"/>
            <w:vAlign w:val="center"/>
          </w:tcPr>
          <w:p w:rsidR="00D15861" w:rsidRDefault="00324FB5">
            <w:pPr>
              <w:jc w:val="right"/>
            </w:pPr>
            <w:r>
              <w:rPr>
                <w:color w:val="000000"/>
                <w:sz w:val="24"/>
              </w:rPr>
              <w:t>32,800</w:t>
            </w:r>
          </w:p>
        </w:tc>
        <w:tc>
          <w:tcPr>
            <w:tcW w:w="2268" w:type="dxa"/>
            <w:vAlign w:val="center"/>
          </w:tcPr>
          <w:p w:rsidR="00D15861" w:rsidRDefault="00324FB5">
            <w:pPr>
              <w:jc w:val="right"/>
            </w:pPr>
            <w:r>
              <w:rPr>
                <w:color w:val="000000"/>
                <w:sz w:val="24"/>
              </w:rPr>
              <w:t>3,052,368.00</w:t>
            </w:r>
          </w:p>
        </w:tc>
        <w:tc>
          <w:tcPr>
            <w:tcW w:w="1559" w:type="dxa"/>
            <w:vAlign w:val="center"/>
          </w:tcPr>
          <w:p w:rsidR="00D15861" w:rsidRDefault="00324FB5">
            <w:pPr>
              <w:jc w:val="right"/>
            </w:pPr>
            <w:r>
              <w:rPr>
                <w:color w:val="000000"/>
                <w:sz w:val="24"/>
              </w:rPr>
              <w:t>2.20</w:t>
            </w:r>
          </w:p>
        </w:tc>
      </w:tr>
      <w:tr w:rsidR="00D15861">
        <w:tc>
          <w:tcPr>
            <w:tcW w:w="817" w:type="dxa"/>
            <w:vAlign w:val="center"/>
          </w:tcPr>
          <w:p w:rsidR="00D15861" w:rsidRDefault="00324FB5">
            <w:pPr>
              <w:jc w:val="center"/>
            </w:pPr>
            <w:r>
              <w:rPr>
                <w:color w:val="000000"/>
                <w:sz w:val="24"/>
              </w:rPr>
              <w:t>9</w:t>
            </w:r>
          </w:p>
        </w:tc>
        <w:tc>
          <w:tcPr>
            <w:tcW w:w="1276" w:type="dxa"/>
            <w:vAlign w:val="center"/>
          </w:tcPr>
          <w:p w:rsidR="00D15861" w:rsidRDefault="00324FB5">
            <w:pPr>
              <w:jc w:val="center"/>
            </w:pPr>
            <w:r>
              <w:rPr>
                <w:color w:val="000000"/>
                <w:sz w:val="24"/>
              </w:rPr>
              <w:t>601398</w:t>
            </w:r>
          </w:p>
        </w:tc>
        <w:tc>
          <w:tcPr>
            <w:tcW w:w="1417" w:type="dxa"/>
            <w:vAlign w:val="center"/>
          </w:tcPr>
          <w:p w:rsidR="00D15861" w:rsidRDefault="00324FB5">
            <w:pPr>
              <w:jc w:val="center"/>
            </w:pPr>
            <w:r>
              <w:rPr>
                <w:color w:val="000000"/>
                <w:sz w:val="24"/>
              </w:rPr>
              <w:t>工商银行</w:t>
            </w:r>
          </w:p>
        </w:tc>
        <w:tc>
          <w:tcPr>
            <w:tcW w:w="1560" w:type="dxa"/>
            <w:vAlign w:val="center"/>
          </w:tcPr>
          <w:p w:rsidR="00D15861" w:rsidRDefault="00324FB5">
            <w:pPr>
              <w:jc w:val="right"/>
            </w:pPr>
            <w:r>
              <w:rPr>
                <w:color w:val="000000"/>
                <w:sz w:val="24"/>
              </w:rPr>
              <w:t>525,400</w:t>
            </w:r>
          </w:p>
        </w:tc>
        <w:tc>
          <w:tcPr>
            <w:tcW w:w="2268" w:type="dxa"/>
            <w:vAlign w:val="center"/>
          </w:tcPr>
          <w:p w:rsidR="00D15861" w:rsidRDefault="00324FB5">
            <w:pPr>
              <w:jc w:val="right"/>
            </w:pPr>
            <w:r>
              <w:rPr>
                <w:color w:val="000000"/>
                <w:sz w:val="24"/>
              </w:rPr>
              <w:t>2,905,462.00</w:t>
            </w:r>
          </w:p>
        </w:tc>
        <w:tc>
          <w:tcPr>
            <w:tcW w:w="1559" w:type="dxa"/>
            <w:vAlign w:val="center"/>
          </w:tcPr>
          <w:p w:rsidR="00D15861" w:rsidRDefault="00324FB5">
            <w:pPr>
              <w:jc w:val="right"/>
            </w:pPr>
            <w:r>
              <w:rPr>
                <w:color w:val="000000"/>
                <w:sz w:val="24"/>
              </w:rPr>
              <w:t>2.09</w:t>
            </w:r>
          </w:p>
        </w:tc>
      </w:tr>
      <w:tr w:rsidR="00D15861">
        <w:tc>
          <w:tcPr>
            <w:tcW w:w="817" w:type="dxa"/>
            <w:vAlign w:val="center"/>
          </w:tcPr>
          <w:p w:rsidR="00D15861" w:rsidRDefault="00324FB5">
            <w:pPr>
              <w:jc w:val="center"/>
            </w:pPr>
            <w:r>
              <w:rPr>
                <w:color w:val="000000"/>
                <w:sz w:val="24"/>
              </w:rPr>
              <w:t>10</w:t>
            </w:r>
          </w:p>
        </w:tc>
        <w:tc>
          <w:tcPr>
            <w:tcW w:w="1276" w:type="dxa"/>
            <w:vAlign w:val="center"/>
          </w:tcPr>
          <w:p w:rsidR="00D15861" w:rsidRDefault="00324FB5">
            <w:pPr>
              <w:jc w:val="center"/>
            </w:pPr>
            <w:r>
              <w:rPr>
                <w:color w:val="000000"/>
                <w:sz w:val="24"/>
              </w:rPr>
              <w:t>002304</w:t>
            </w:r>
          </w:p>
        </w:tc>
        <w:tc>
          <w:tcPr>
            <w:tcW w:w="1417" w:type="dxa"/>
            <w:vAlign w:val="center"/>
          </w:tcPr>
          <w:p w:rsidR="00D15861" w:rsidRDefault="00324FB5">
            <w:pPr>
              <w:jc w:val="center"/>
            </w:pPr>
            <w:r>
              <w:rPr>
                <w:color w:val="000000"/>
                <w:sz w:val="24"/>
              </w:rPr>
              <w:t>洋河股份</w:t>
            </w:r>
          </w:p>
        </w:tc>
        <w:tc>
          <w:tcPr>
            <w:tcW w:w="1560" w:type="dxa"/>
            <w:vAlign w:val="center"/>
          </w:tcPr>
          <w:p w:rsidR="00D15861" w:rsidRDefault="00324FB5">
            <w:pPr>
              <w:jc w:val="right"/>
            </w:pPr>
            <w:r>
              <w:rPr>
                <w:color w:val="000000"/>
                <w:sz w:val="24"/>
              </w:rPr>
              <w:t>24,700</w:t>
            </w:r>
          </w:p>
        </w:tc>
        <w:tc>
          <w:tcPr>
            <w:tcW w:w="2268" w:type="dxa"/>
            <w:vAlign w:val="center"/>
          </w:tcPr>
          <w:p w:rsidR="00D15861" w:rsidRDefault="00324FB5">
            <w:pPr>
              <w:jc w:val="right"/>
            </w:pPr>
            <w:r>
              <w:rPr>
                <w:color w:val="000000"/>
                <w:sz w:val="24"/>
              </w:rPr>
              <w:t>2,568,800.00</w:t>
            </w:r>
          </w:p>
        </w:tc>
        <w:tc>
          <w:tcPr>
            <w:tcW w:w="1559" w:type="dxa"/>
            <w:vAlign w:val="center"/>
          </w:tcPr>
          <w:p w:rsidR="00D15861" w:rsidRDefault="00324FB5">
            <w:pPr>
              <w:jc w:val="right"/>
            </w:pPr>
            <w:r>
              <w:rPr>
                <w:color w:val="000000"/>
                <w:sz w:val="24"/>
              </w:rPr>
              <w:t>1.85</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p w:rsidR="00F016DD" w:rsidRPr="00EA6415" w:rsidRDefault="006A1153" w:rsidP="006A1153">
      <w:pPr>
        <w:spacing w:line="360" w:lineRule="auto"/>
        <w:ind w:firstLineChars="200" w:firstLine="480"/>
        <w:rPr>
          <w:color w:val="000000"/>
          <w:sz w:val="24"/>
        </w:rPr>
      </w:pPr>
      <w:r w:rsidRPr="00EA6415">
        <w:rPr>
          <w:color w:val="000000"/>
          <w:sz w:val="24"/>
        </w:rPr>
        <w:t>本基金本报告期末未持有债券。</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本基金本报告期末未持有债券。</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5.11.12018</w:t>
      </w:r>
      <w:r w:rsidRPr="00414367">
        <w:rPr>
          <w:color w:val="000000"/>
          <w:sz w:val="24"/>
        </w:rPr>
        <w:t>年</w:t>
      </w:r>
      <w:r w:rsidRPr="00414367">
        <w:rPr>
          <w:color w:val="000000"/>
          <w:sz w:val="24"/>
        </w:rPr>
        <w:t>11</w:t>
      </w:r>
      <w:r w:rsidRPr="00414367">
        <w:rPr>
          <w:color w:val="000000"/>
          <w:sz w:val="24"/>
        </w:rPr>
        <w:t>月</w:t>
      </w:r>
      <w:r w:rsidRPr="00414367">
        <w:rPr>
          <w:color w:val="000000"/>
          <w:sz w:val="24"/>
        </w:rPr>
        <w:t>19</w:t>
      </w:r>
      <w:r w:rsidRPr="00414367">
        <w:rPr>
          <w:color w:val="000000"/>
          <w:sz w:val="24"/>
        </w:rPr>
        <w:t>日，中国保险监督管理委员会北京监管局针对中国工商银行股份有限公司存在电话销售保险过程中欺骗投保人的行为，对中国工商银行股份有限公司处以人民币</w:t>
      </w:r>
      <w:r w:rsidRPr="00414367">
        <w:rPr>
          <w:color w:val="000000"/>
          <w:sz w:val="24"/>
        </w:rPr>
        <w:t>30</w:t>
      </w:r>
      <w:r w:rsidRPr="00414367">
        <w:rPr>
          <w:color w:val="000000"/>
          <w:sz w:val="24"/>
        </w:rPr>
        <w:t>万元行政罚款。</w:t>
      </w:r>
    </w:p>
    <w:p w:rsidR="00D15861" w:rsidRDefault="00324FB5">
      <w:pPr>
        <w:widowControl/>
        <w:spacing w:line="360" w:lineRule="auto"/>
        <w:rPr>
          <w:color w:val="000000"/>
          <w:sz w:val="24"/>
        </w:rPr>
      </w:pPr>
      <w:r>
        <w:rPr>
          <w:color w:val="000000"/>
          <w:sz w:val="24"/>
        </w:rPr>
        <w:t>本基金投资上述股票的投资决策程序符合公司投资制度的规定。除工商银行外，本基金投资的前十名证券的发行主体本期没有出现被监管部门立案调查，或在报告编制日前一年内受到公开谴责、处罚的情形。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19,374.72</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1,142,246.80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2,586.78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79,574.81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1,243,783.11</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易方达量化策略精选混合</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易方达量化策略精选混合</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128,276,103.54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26,885,664.32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1,799,558.35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6,840,017.89</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13,761,417.63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6,552,012.87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116,314,244.26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27,173,669.34</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D15861">
        <w:trPr>
          <w:jc w:val="center"/>
        </w:trPr>
        <w:tc>
          <w:tcPr>
            <w:tcW w:w="709" w:type="dxa"/>
            <w:vMerge w:val="restart"/>
            <w:vAlign w:val="center"/>
          </w:tcPr>
          <w:p w:rsidR="00D15861" w:rsidRDefault="00324FB5">
            <w:r>
              <w:rPr>
                <w:rFonts w:eastAsiaTheme="minorEastAsia"/>
                <w:bCs/>
                <w:color w:val="000000" w:themeColor="text1"/>
                <w:sz w:val="24"/>
              </w:rPr>
              <w:t>机构</w:t>
            </w:r>
          </w:p>
        </w:tc>
        <w:tc>
          <w:tcPr>
            <w:tcW w:w="709" w:type="dxa"/>
            <w:vAlign w:val="center"/>
          </w:tcPr>
          <w:p w:rsidR="00D15861" w:rsidRDefault="00324FB5">
            <w:pPr>
              <w:jc w:val="center"/>
            </w:pPr>
            <w:r>
              <w:rPr>
                <w:sz w:val="24"/>
              </w:rPr>
              <w:t>1</w:t>
            </w:r>
          </w:p>
        </w:tc>
        <w:tc>
          <w:tcPr>
            <w:tcW w:w="2126" w:type="dxa"/>
            <w:vAlign w:val="center"/>
          </w:tcPr>
          <w:p w:rsidR="00D15861" w:rsidRDefault="00324FB5">
            <w:pPr>
              <w:jc w:val="center"/>
            </w:pPr>
            <w:r>
              <w:rPr>
                <w:sz w:val="24"/>
              </w:rPr>
              <w:t>2019</w:t>
            </w:r>
            <w:r>
              <w:rPr>
                <w:sz w:val="24"/>
              </w:rPr>
              <w:t>年</w:t>
            </w:r>
            <w:r>
              <w:rPr>
                <w:sz w:val="24"/>
              </w:rPr>
              <w:t>07</w:t>
            </w:r>
            <w:r>
              <w:rPr>
                <w:sz w:val="24"/>
              </w:rPr>
              <w:t>月</w:t>
            </w:r>
            <w:r>
              <w:rPr>
                <w:sz w:val="24"/>
              </w:rPr>
              <w:t>01</w:t>
            </w:r>
            <w:r>
              <w:rPr>
                <w:sz w:val="24"/>
              </w:rPr>
              <w:t>日</w:t>
            </w:r>
            <w:r>
              <w:rPr>
                <w:sz w:val="24"/>
              </w:rPr>
              <w:lastRenderedPageBreak/>
              <w:t>~2019</w:t>
            </w:r>
            <w:r>
              <w:rPr>
                <w:sz w:val="24"/>
              </w:rPr>
              <w:t>年</w:t>
            </w:r>
            <w:r>
              <w:rPr>
                <w:sz w:val="24"/>
              </w:rPr>
              <w:t>09</w:t>
            </w:r>
            <w:r>
              <w:rPr>
                <w:sz w:val="24"/>
              </w:rPr>
              <w:t>月</w:t>
            </w:r>
            <w:r>
              <w:rPr>
                <w:sz w:val="24"/>
              </w:rPr>
              <w:t>30</w:t>
            </w:r>
            <w:r>
              <w:rPr>
                <w:sz w:val="24"/>
              </w:rPr>
              <w:t>日</w:t>
            </w:r>
          </w:p>
        </w:tc>
        <w:tc>
          <w:tcPr>
            <w:tcW w:w="1276" w:type="dxa"/>
            <w:vAlign w:val="center"/>
          </w:tcPr>
          <w:p w:rsidR="00D15861" w:rsidRDefault="00324FB5">
            <w:pPr>
              <w:jc w:val="center"/>
            </w:pPr>
            <w:r>
              <w:rPr>
                <w:sz w:val="24"/>
              </w:rPr>
              <w:lastRenderedPageBreak/>
              <w:t>49,999,00</w:t>
            </w:r>
            <w:r>
              <w:rPr>
                <w:sz w:val="24"/>
              </w:rPr>
              <w:lastRenderedPageBreak/>
              <w:t>0.00</w:t>
            </w:r>
          </w:p>
        </w:tc>
        <w:tc>
          <w:tcPr>
            <w:tcW w:w="1276" w:type="dxa"/>
            <w:vAlign w:val="center"/>
          </w:tcPr>
          <w:p w:rsidR="00D15861" w:rsidRDefault="00324FB5">
            <w:pPr>
              <w:jc w:val="center"/>
            </w:pPr>
            <w:r>
              <w:rPr>
                <w:sz w:val="24"/>
              </w:rPr>
              <w:lastRenderedPageBreak/>
              <w:t>-</w:t>
            </w:r>
          </w:p>
        </w:tc>
        <w:tc>
          <w:tcPr>
            <w:tcW w:w="1276" w:type="dxa"/>
            <w:vAlign w:val="center"/>
          </w:tcPr>
          <w:p w:rsidR="00D15861" w:rsidRDefault="00324FB5">
            <w:pPr>
              <w:jc w:val="center"/>
            </w:pPr>
            <w:r>
              <w:rPr>
                <w:sz w:val="24"/>
              </w:rPr>
              <w:t>-</w:t>
            </w:r>
          </w:p>
        </w:tc>
        <w:tc>
          <w:tcPr>
            <w:tcW w:w="1417" w:type="dxa"/>
            <w:vAlign w:val="center"/>
          </w:tcPr>
          <w:p w:rsidR="00D15861" w:rsidRDefault="00324FB5">
            <w:pPr>
              <w:jc w:val="center"/>
            </w:pPr>
            <w:r>
              <w:rPr>
                <w:sz w:val="24"/>
              </w:rPr>
              <w:t>49,999,000.</w:t>
            </w:r>
            <w:r>
              <w:rPr>
                <w:sz w:val="24"/>
              </w:rPr>
              <w:lastRenderedPageBreak/>
              <w:t>00</w:t>
            </w:r>
          </w:p>
        </w:tc>
        <w:tc>
          <w:tcPr>
            <w:tcW w:w="851" w:type="dxa"/>
            <w:vAlign w:val="center"/>
          </w:tcPr>
          <w:p w:rsidR="00D15861" w:rsidRDefault="00324FB5">
            <w:pPr>
              <w:jc w:val="center"/>
            </w:pPr>
            <w:r>
              <w:rPr>
                <w:sz w:val="24"/>
              </w:rPr>
              <w:lastRenderedPageBreak/>
              <w:t>34.85</w:t>
            </w:r>
            <w:r>
              <w:rPr>
                <w:sz w:val="24"/>
              </w:rPr>
              <w:lastRenderedPageBreak/>
              <w:t>%</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lastRenderedPageBreak/>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D15861" w:rsidRDefault="00324FB5">
      <w:pPr>
        <w:spacing w:line="360" w:lineRule="auto"/>
        <w:ind w:firstLineChars="200" w:firstLine="480"/>
        <w:rPr>
          <w:color w:val="000000"/>
          <w:sz w:val="24"/>
        </w:rPr>
      </w:pPr>
      <w:r>
        <w:rPr>
          <w:color w:val="000000"/>
          <w:sz w:val="24"/>
        </w:rPr>
        <w:t xml:space="preserve">1. </w:t>
      </w:r>
      <w:r>
        <w:rPr>
          <w:color w:val="000000"/>
          <w:sz w:val="24"/>
        </w:rPr>
        <w:t>中国证监会准予易方达量化策略精选灵活配置混合型证券投资基金注册的文件；</w:t>
      </w:r>
    </w:p>
    <w:p w:rsidR="00D15861" w:rsidRDefault="00324FB5">
      <w:pPr>
        <w:spacing w:line="360" w:lineRule="auto"/>
        <w:ind w:firstLineChars="200" w:firstLine="480"/>
        <w:rPr>
          <w:color w:val="000000"/>
          <w:sz w:val="24"/>
        </w:rPr>
      </w:pPr>
      <w:r>
        <w:rPr>
          <w:color w:val="000000"/>
          <w:sz w:val="24"/>
        </w:rPr>
        <w:t xml:space="preserve">2. </w:t>
      </w:r>
      <w:r>
        <w:rPr>
          <w:color w:val="000000"/>
          <w:sz w:val="24"/>
        </w:rPr>
        <w:t>《易方达量化策略精选灵活配置混合型证券投资基金基金合同》；</w:t>
      </w:r>
    </w:p>
    <w:p w:rsidR="00D15861" w:rsidRDefault="00324FB5">
      <w:pPr>
        <w:spacing w:line="360" w:lineRule="auto"/>
        <w:ind w:firstLineChars="200" w:firstLine="480"/>
        <w:rPr>
          <w:color w:val="000000"/>
          <w:sz w:val="24"/>
        </w:rPr>
      </w:pPr>
      <w:r>
        <w:rPr>
          <w:color w:val="000000"/>
          <w:sz w:val="24"/>
        </w:rPr>
        <w:t xml:space="preserve">3. </w:t>
      </w:r>
      <w:r>
        <w:rPr>
          <w:color w:val="000000"/>
          <w:sz w:val="24"/>
        </w:rPr>
        <w:t>《易方达量化策略精选灵活配置混合型证券投资基金托管协议》；</w:t>
      </w:r>
    </w:p>
    <w:p w:rsidR="00D15861" w:rsidRDefault="00324FB5">
      <w:pPr>
        <w:spacing w:line="360" w:lineRule="auto"/>
        <w:ind w:firstLineChars="200" w:firstLine="480"/>
        <w:rPr>
          <w:color w:val="000000"/>
          <w:sz w:val="24"/>
        </w:rPr>
      </w:pPr>
      <w:r>
        <w:rPr>
          <w:color w:val="000000"/>
          <w:sz w:val="24"/>
        </w:rPr>
        <w:t xml:space="preserve">4. </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 xml:space="preserve">5. </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324FB5">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324FB5">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324FB5">
      <w:rPr>
        <w:rStyle w:val="a7"/>
        <w:noProof/>
      </w:rPr>
      <w:t>12</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易方达量化策略精选灵活配置混合型证券投资基金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24FB5"/>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15861"/>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C28C8AF-F3BB-47DC-A221-ADB2F4EB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1073</Words>
  <Characters>6118</Characters>
  <Application>Microsoft Office Word</Application>
  <DocSecurity>0</DocSecurity>
  <Lines>50</Lines>
  <Paragraphs>14</Paragraphs>
  <ScaleCrop>false</ScaleCrop>
  <Company>TRT. Ltd. Co.</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