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易方达现代服务业灵活配置混合型证券投资基金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中国建设银行股份有限公司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9703F9" w:rsidRDefault="00E00314">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9703F9" w:rsidRDefault="00E00314">
      <w:pPr>
        <w:spacing w:line="360" w:lineRule="auto"/>
        <w:ind w:firstLineChars="200" w:firstLine="480"/>
        <w:rPr>
          <w:color w:val="000000"/>
          <w:sz w:val="24"/>
          <w:szCs w:val="24"/>
        </w:rPr>
      </w:pPr>
      <w:r>
        <w:rPr>
          <w:color w:val="000000"/>
          <w:sz w:val="24"/>
          <w:szCs w:val="24"/>
        </w:rPr>
        <w:t>基金托管人中国建设银行股份有限公司根据本基金合同规定，于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9703F9" w:rsidRDefault="00E00314">
      <w:pPr>
        <w:spacing w:line="360" w:lineRule="auto"/>
        <w:ind w:firstLineChars="200" w:firstLine="480"/>
        <w:rPr>
          <w:color w:val="000000"/>
          <w:sz w:val="24"/>
          <w:szCs w:val="24"/>
        </w:rPr>
      </w:pPr>
      <w:r>
        <w:rPr>
          <w:color w:val="000000"/>
          <w:sz w:val="24"/>
          <w:szCs w:val="24"/>
        </w:rPr>
        <w:t>基</w:t>
      </w:r>
      <w:r>
        <w:rPr>
          <w:color w:val="000000"/>
          <w:sz w:val="24"/>
          <w:szCs w:val="24"/>
        </w:rPr>
        <w:t>金管理人承诺以诚实信用、勤勉尽责的原则管理和运用基金资产，但不保证基金一定盈利。</w:t>
      </w:r>
      <w:r>
        <w:rPr>
          <w:color w:val="000000"/>
          <w:sz w:val="24"/>
          <w:szCs w:val="24"/>
        </w:rPr>
        <w:t xml:space="preserve"> </w:t>
      </w:r>
    </w:p>
    <w:p w:rsidR="009703F9" w:rsidRDefault="00E00314">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9703F9" w:rsidRDefault="00E00314">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易方达现代服务业混合</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001857</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001857</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2017</w:t>
            </w:r>
            <w:r w:rsidRPr="00232B03">
              <w:rPr>
                <w:color w:val="000000"/>
                <w:kern w:val="0"/>
                <w:sz w:val="24"/>
                <w:szCs w:val="24"/>
              </w:rPr>
              <w:t>年</w:t>
            </w:r>
            <w:r w:rsidRPr="00232B03">
              <w:rPr>
                <w:color w:val="000000"/>
                <w:kern w:val="0"/>
                <w:sz w:val="24"/>
                <w:szCs w:val="24"/>
              </w:rPr>
              <w:t>11</w:t>
            </w:r>
            <w:r w:rsidRPr="00232B03">
              <w:rPr>
                <w:color w:val="000000"/>
                <w:kern w:val="0"/>
                <w:sz w:val="24"/>
                <w:szCs w:val="24"/>
              </w:rPr>
              <w:t>月</w:t>
            </w:r>
            <w:r w:rsidRPr="00232B03">
              <w:rPr>
                <w:color w:val="000000"/>
                <w:kern w:val="0"/>
                <w:sz w:val="24"/>
                <w:szCs w:val="24"/>
              </w:rPr>
              <w:t>22</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796,091,814.08</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在严格控制风险的前提下，追求超越业绩比较基准的投资回报。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基于定量与定性相结合的宏观及市场分析，考虑宏观经济走势和市场估值与流动性进行资产配置。股票投资方面，本基金综合考虑行业景气度及可持续性、行业竞争格局、技术水平及其发展趋势、政策变化等因素在现代服务产业中进行子行业</w:t>
            </w:r>
            <w:r w:rsidRPr="00232B03">
              <w:rPr>
                <w:color w:val="000000"/>
                <w:kern w:val="0"/>
                <w:sz w:val="24"/>
                <w:szCs w:val="24"/>
              </w:rPr>
              <w:lastRenderedPageBreak/>
              <w:t>配置，同时在公司基本面评价、估值水平分析等基础上进行股票组合的构建。在债券投资方面，本基金将主要通过类属配置与券种选择两个层次进行投资管理。</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65%×</w:t>
            </w:r>
            <w:r w:rsidRPr="00232B03">
              <w:rPr>
                <w:color w:val="000000"/>
                <w:kern w:val="0"/>
                <w:sz w:val="24"/>
                <w:szCs w:val="24"/>
              </w:rPr>
              <w:t>中证</w:t>
            </w:r>
            <w:r w:rsidRPr="00232B03">
              <w:rPr>
                <w:color w:val="000000"/>
                <w:kern w:val="0"/>
                <w:sz w:val="24"/>
                <w:szCs w:val="24"/>
              </w:rPr>
              <w:t xml:space="preserve">800 </w:t>
            </w:r>
            <w:r w:rsidRPr="00232B03">
              <w:rPr>
                <w:color w:val="000000"/>
                <w:kern w:val="0"/>
                <w:sz w:val="24"/>
                <w:szCs w:val="24"/>
              </w:rPr>
              <w:t>指数收益率＋</w:t>
            </w:r>
            <w:r w:rsidRPr="00232B03">
              <w:rPr>
                <w:color w:val="000000"/>
                <w:kern w:val="0"/>
                <w:sz w:val="24"/>
                <w:szCs w:val="24"/>
              </w:rPr>
              <w:t>35%×</w:t>
            </w:r>
            <w:r w:rsidRPr="00232B03">
              <w:rPr>
                <w:color w:val="000000"/>
                <w:kern w:val="0"/>
                <w:sz w:val="24"/>
                <w:szCs w:val="24"/>
              </w:rPr>
              <w:t>一年期人民币定期存款利率（税后）</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本基金为混合型基金，理论上其预期风险与预期收益水平低于股票型基金，高于债券型基金和货币市场基金。</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中国建设银行股份有限公司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135,628,416.79</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64,606,107.94</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0.0638</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963,531,712.89</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1.210</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9703F9" w:rsidRDefault="00E00314">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9703F9">
        <w:tc>
          <w:tcPr>
            <w:tcW w:w="1395" w:type="dxa"/>
            <w:vAlign w:val="center"/>
          </w:tcPr>
          <w:p w:rsidR="009703F9" w:rsidRDefault="00E00314">
            <w:pPr>
              <w:jc w:val="left"/>
            </w:pPr>
            <w:r>
              <w:rPr>
                <w:color w:val="000000"/>
                <w:kern w:val="0"/>
                <w:sz w:val="24"/>
                <w:szCs w:val="24"/>
              </w:rPr>
              <w:t>过去三个月</w:t>
            </w:r>
          </w:p>
        </w:tc>
        <w:tc>
          <w:tcPr>
            <w:tcW w:w="1092" w:type="dxa"/>
            <w:vAlign w:val="center"/>
          </w:tcPr>
          <w:p w:rsidR="009703F9" w:rsidRDefault="00E00314">
            <w:pPr>
              <w:jc w:val="center"/>
            </w:pPr>
            <w:r>
              <w:rPr>
                <w:color w:val="000000"/>
                <w:kern w:val="0"/>
                <w:sz w:val="24"/>
                <w:szCs w:val="24"/>
              </w:rPr>
              <w:t>5.40%</w:t>
            </w:r>
          </w:p>
        </w:tc>
        <w:tc>
          <w:tcPr>
            <w:tcW w:w="1161" w:type="dxa"/>
            <w:vAlign w:val="center"/>
          </w:tcPr>
          <w:p w:rsidR="009703F9" w:rsidRDefault="00E00314">
            <w:pPr>
              <w:jc w:val="center"/>
            </w:pPr>
            <w:r>
              <w:rPr>
                <w:color w:val="000000"/>
                <w:kern w:val="0"/>
                <w:sz w:val="24"/>
                <w:szCs w:val="24"/>
              </w:rPr>
              <w:t>1.22%</w:t>
            </w:r>
          </w:p>
        </w:tc>
        <w:tc>
          <w:tcPr>
            <w:tcW w:w="1181" w:type="dxa"/>
            <w:vAlign w:val="center"/>
          </w:tcPr>
          <w:p w:rsidR="009703F9" w:rsidRDefault="00E00314">
            <w:pPr>
              <w:jc w:val="center"/>
            </w:pPr>
            <w:r>
              <w:rPr>
                <w:color w:val="000000"/>
                <w:kern w:val="0"/>
                <w:sz w:val="24"/>
                <w:szCs w:val="24"/>
              </w:rPr>
              <w:t>0.03%</w:t>
            </w:r>
          </w:p>
        </w:tc>
        <w:tc>
          <w:tcPr>
            <w:tcW w:w="1188" w:type="dxa"/>
            <w:vAlign w:val="center"/>
          </w:tcPr>
          <w:p w:rsidR="009703F9" w:rsidRDefault="00E00314">
            <w:pPr>
              <w:jc w:val="center"/>
            </w:pPr>
            <w:r>
              <w:rPr>
                <w:color w:val="000000"/>
                <w:kern w:val="0"/>
                <w:sz w:val="24"/>
                <w:szCs w:val="24"/>
              </w:rPr>
              <w:t>0.64%</w:t>
            </w:r>
          </w:p>
        </w:tc>
        <w:tc>
          <w:tcPr>
            <w:tcW w:w="1199" w:type="dxa"/>
            <w:vAlign w:val="center"/>
          </w:tcPr>
          <w:p w:rsidR="009703F9" w:rsidRDefault="00E00314">
            <w:pPr>
              <w:jc w:val="center"/>
            </w:pPr>
            <w:r>
              <w:rPr>
                <w:color w:val="000000"/>
                <w:kern w:val="0"/>
                <w:sz w:val="24"/>
                <w:szCs w:val="24"/>
              </w:rPr>
              <w:t>5.37%</w:t>
            </w:r>
          </w:p>
        </w:tc>
        <w:tc>
          <w:tcPr>
            <w:tcW w:w="1204" w:type="dxa"/>
            <w:vAlign w:val="center"/>
          </w:tcPr>
          <w:p w:rsidR="009703F9" w:rsidRDefault="00E00314">
            <w:pPr>
              <w:jc w:val="center"/>
            </w:pPr>
            <w:r>
              <w:rPr>
                <w:color w:val="000000"/>
                <w:kern w:val="0"/>
                <w:sz w:val="24"/>
                <w:szCs w:val="24"/>
              </w:rPr>
              <w:t>0.58%</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易方达现代服务业灵活配置混合型证券投资基金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2017</w:t>
      </w:r>
      <w:r w:rsidRPr="0074694E">
        <w:rPr>
          <w:rFonts w:ascii="Times New Roman" w:hAnsi="Times New Roman"/>
          <w:sz w:val="24"/>
          <w:szCs w:val="24"/>
        </w:rPr>
        <w:t>年</w:t>
      </w:r>
      <w:r w:rsidRPr="0074694E">
        <w:rPr>
          <w:rFonts w:ascii="Times New Roman" w:hAnsi="Times New Roman"/>
          <w:sz w:val="24"/>
          <w:szCs w:val="24"/>
        </w:rPr>
        <w:t>11</w:t>
      </w:r>
      <w:r w:rsidRPr="0074694E">
        <w:rPr>
          <w:rFonts w:ascii="Times New Roman" w:hAnsi="Times New Roman"/>
          <w:sz w:val="24"/>
          <w:szCs w:val="24"/>
        </w:rPr>
        <w:t>月</w:t>
      </w:r>
      <w:r w:rsidRPr="0074694E">
        <w:rPr>
          <w:rFonts w:ascii="Times New Roman" w:hAnsi="Times New Roman"/>
          <w:sz w:val="24"/>
          <w:szCs w:val="24"/>
        </w:rPr>
        <w:t>22</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E00314"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注：自基金合同生效至报告期末，基金份额净值增长率为</w:t>
      </w:r>
      <w:r w:rsidRPr="006C56AA">
        <w:rPr>
          <w:color w:val="000000"/>
          <w:sz w:val="24"/>
          <w:szCs w:val="24"/>
        </w:rPr>
        <w:t>21.00%</w:t>
      </w:r>
      <w:r w:rsidRPr="006C56AA">
        <w:rPr>
          <w:color w:val="000000"/>
          <w:sz w:val="24"/>
          <w:szCs w:val="24"/>
        </w:rPr>
        <w:t>，同期业绩比较基准收益率为</w:t>
      </w:r>
      <w:r w:rsidRPr="006C56AA">
        <w:rPr>
          <w:color w:val="000000"/>
          <w:sz w:val="24"/>
          <w:szCs w:val="24"/>
        </w:rPr>
        <w:t>-6.98%</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9703F9">
        <w:tc>
          <w:tcPr>
            <w:tcW w:w="567" w:type="dxa"/>
            <w:vAlign w:val="center"/>
          </w:tcPr>
          <w:p w:rsidR="009703F9" w:rsidRDefault="00E00314">
            <w:pPr>
              <w:jc w:val="center"/>
            </w:pPr>
            <w:r>
              <w:rPr>
                <w:color w:val="000000"/>
                <w:sz w:val="24"/>
              </w:rPr>
              <w:t>萧楠</w:t>
            </w:r>
          </w:p>
        </w:tc>
        <w:tc>
          <w:tcPr>
            <w:tcW w:w="2835" w:type="dxa"/>
            <w:vAlign w:val="center"/>
          </w:tcPr>
          <w:p w:rsidR="009703F9" w:rsidRDefault="00E00314">
            <w:pPr>
              <w:jc w:val="center"/>
            </w:pPr>
            <w:r>
              <w:rPr>
                <w:color w:val="000000"/>
                <w:sz w:val="24"/>
              </w:rPr>
              <w:t>本基金的基金经理、易方达消费行业股票型证券投资基金的基金经理、易方达瑞恒灵活配置混合型证券投资基金的基金经理、易方达科顺定期开放灵活配置混合型证券投资基金的基金经理、易方达大健康主题灵活配置混合型证券投资基金的基金经理、投资三部总经理、研究部副总经理、投资经理</w:t>
            </w:r>
          </w:p>
        </w:tc>
        <w:tc>
          <w:tcPr>
            <w:tcW w:w="851" w:type="dxa"/>
            <w:vAlign w:val="center"/>
          </w:tcPr>
          <w:p w:rsidR="009703F9" w:rsidRDefault="00E00314">
            <w:pPr>
              <w:jc w:val="center"/>
            </w:pPr>
            <w:r>
              <w:rPr>
                <w:color w:val="000000"/>
                <w:sz w:val="24"/>
              </w:rPr>
              <w:t>2017-11-22</w:t>
            </w:r>
          </w:p>
        </w:tc>
        <w:tc>
          <w:tcPr>
            <w:tcW w:w="850" w:type="dxa"/>
            <w:vAlign w:val="center"/>
          </w:tcPr>
          <w:p w:rsidR="009703F9" w:rsidRDefault="00E00314">
            <w:pPr>
              <w:jc w:val="center"/>
            </w:pPr>
            <w:r>
              <w:rPr>
                <w:color w:val="000000"/>
                <w:sz w:val="24"/>
              </w:rPr>
              <w:t>-</w:t>
            </w:r>
          </w:p>
        </w:tc>
        <w:tc>
          <w:tcPr>
            <w:tcW w:w="851" w:type="dxa"/>
            <w:vAlign w:val="center"/>
          </w:tcPr>
          <w:p w:rsidR="009703F9" w:rsidRDefault="00E00314">
            <w:pPr>
              <w:jc w:val="center"/>
            </w:pPr>
            <w:r>
              <w:rPr>
                <w:color w:val="000000"/>
                <w:sz w:val="24"/>
              </w:rPr>
              <w:t>13</w:t>
            </w:r>
            <w:r>
              <w:rPr>
                <w:color w:val="000000"/>
                <w:sz w:val="24"/>
              </w:rPr>
              <w:t>年</w:t>
            </w:r>
          </w:p>
        </w:tc>
        <w:tc>
          <w:tcPr>
            <w:tcW w:w="2977" w:type="dxa"/>
            <w:vAlign w:val="center"/>
          </w:tcPr>
          <w:p w:rsidR="009703F9" w:rsidRDefault="00E00314">
            <w:r>
              <w:rPr>
                <w:color w:val="000000"/>
                <w:sz w:val="24"/>
              </w:rPr>
              <w:t>硕士研究生，曾任易方达基金管理有限公司研究部行业研究员、基金投资部基金经理助理、易方达裕如灵活配置混合型证券投资基金基金经理、易方达新享灵活配置混合型证券投资基金基金经理、易方达瑞和灵活配置混合型证券投资基金基金经理、易方达价值成长混合型证券投资基金基金经理助理。</w:t>
            </w:r>
          </w:p>
        </w:tc>
      </w:tr>
      <w:tr w:rsidR="009703F9">
        <w:tc>
          <w:tcPr>
            <w:tcW w:w="567" w:type="dxa"/>
            <w:vAlign w:val="center"/>
          </w:tcPr>
          <w:p w:rsidR="009703F9" w:rsidRDefault="00E00314">
            <w:pPr>
              <w:jc w:val="center"/>
            </w:pPr>
            <w:r>
              <w:rPr>
                <w:color w:val="000000"/>
                <w:sz w:val="24"/>
              </w:rPr>
              <w:t>王元春</w:t>
            </w:r>
          </w:p>
        </w:tc>
        <w:tc>
          <w:tcPr>
            <w:tcW w:w="2835" w:type="dxa"/>
            <w:vAlign w:val="center"/>
          </w:tcPr>
          <w:p w:rsidR="009703F9" w:rsidRDefault="00E00314">
            <w:pPr>
              <w:jc w:val="center"/>
            </w:pPr>
            <w:r>
              <w:rPr>
                <w:color w:val="000000"/>
                <w:sz w:val="24"/>
              </w:rPr>
              <w:t>本基金的基金经理、易方达瑞恒灵活配置混合型证券投资基金的基金经理、易方达消费行业股票型证券投资基金的基金经理助理</w:t>
            </w:r>
          </w:p>
        </w:tc>
        <w:tc>
          <w:tcPr>
            <w:tcW w:w="851" w:type="dxa"/>
            <w:vAlign w:val="center"/>
          </w:tcPr>
          <w:p w:rsidR="009703F9" w:rsidRDefault="00E00314">
            <w:pPr>
              <w:jc w:val="center"/>
            </w:pPr>
            <w:r>
              <w:rPr>
                <w:color w:val="000000"/>
                <w:sz w:val="24"/>
              </w:rPr>
              <w:t>2018-12-08</w:t>
            </w:r>
          </w:p>
        </w:tc>
        <w:tc>
          <w:tcPr>
            <w:tcW w:w="850" w:type="dxa"/>
            <w:vAlign w:val="center"/>
          </w:tcPr>
          <w:p w:rsidR="009703F9" w:rsidRDefault="00E00314">
            <w:pPr>
              <w:jc w:val="center"/>
            </w:pPr>
            <w:r>
              <w:rPr>
                <w:color w:val="000000"/>
                <w:sz w:val="24"/>
              </w:rPr>
              <w:t>-</w:t>
            </w:r>
          </w:p>
        </w:tc>
        <w:tc>
          <w:tcPr>
            <w:tcW w:w="851" w:type="dxa"/>
            <w:vAlign w:val="center"/>
          </w:tcPr>
          <w:p w:rsidR="009703F9" w:rsidRDefault="00E00314">
            <w:pPr>
              <w:jc w:val="center"/>
            </w:pPr>
            <w:r>
              <w:rPr>
                <w:color w:val="000000"/>
                <w:sz w:val="24"/>
              </w:rPr>
              <w:t>8</w:t>
            </w:r>
            <w:r>
              <w:rPr>
                <w:color w:val="000000"/>
                <w:sz w:val="24"/>
              </w:rPr>
              <w:t>年</w:t>
            </w:r>
          </w:p>
        </w:tc>
        <w:tc>
          <w:tcPr>
            <w:tcW w:w="2977" w:type="dxa"/>
            <w:vAlign w:val="center"/>
          </w:tcPr>
          <w:p w:rsidR="009703F9" w:rsidRDefault="00E00314">
            <w:r>
              <w:rPr>
                <w:color w:val="000000"/>
                <w:sz w:val="24"/>
              </w:rPr>
              <w:t>硕士研究生，曾任广东新价值投资有限公司研究部行业研究员，光大永明资产管理股份有限公司研究部</w:t>
            </w:r>
            <w:r>
              <w:rPr>
                <w:color w:val="000000"/>
                <w:sz w:val="24"/>
              </w:rPr>
              <w:t>行业研究员，易方达基金管理有限公司研究部行业研究员、易方达现代服务业灵活配置混合型证券投资基金基金经理助理。</w:t>
            </w:r>
          </w:p>
        </w:tc>
      </w:tr>
    </w:tbl>
    <w:p w:rsidR="009703F9" w:rsidRDefault="00E00314">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9703F9" w:rsidRDefault="00E00314">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9703F9" w:rsidRDefault="00E00314">
      <w:pPr>
        <w:spacing w:line="360" w:lineRule="auto"/>
        <w:ind w:firstLineChars="200" w:firstLine="480"/>
        <w:rPr>
          <w:color w:val="000000"/>
          <w:sz w:val="24"/>
          <w:szCs w:val="24"/>
        </w:rPr>
      </w:pPr>
      <w:r>
        <w:rPr>
          <w:color w:val="000000"/>
          <w:sz w:val="24"/>
          <w:szCs w:val="24"/>
        </w:rPr>
        <w:t>2019</w:t>
      </w:r>
      <w:r>
        <w:rPr>
          <w:color w:val="000000"/>
          <w:sz w:val="24"/>
          <w:szCs w:val="24"/>
        </w:rPr>
        <w:t>年三季度，</w:t>
      </w:r>
      <w:r>
        <w:rPr>
          <w:color w:val="000000"/>
          <w:sz w:val="24"/>
          <w:szCs w:val="24"/>
        </w:rPr>
        <w:t>A</w:t>
      </w:r>
      <w:r>
        <w:rPr>
          <w:color w:val="000000"/>
          <w:sz w:val="24"/>
          <w:szCs w:val="24"/>
        </w:rPr>
        <w:t>股风险偏好快速上升，新的题材热点不断涌现，上证综指跌</w:t>
      </w:r>
      <w:r>
        <w:rPr>
          <w:color w:val="000000"/>
          <w:sz w:val="24"/>
          <w:szCs w:val="24"/>
        </w:rPr>
        <w:t>2.47%</w:t>
      </w:r>
      <w:r>
        <w:rPr>
          <w:color w:val="000000"/>
          <w:sz w:val="24"/>
          <w:szCs w:val="24"/>
        </w:rPr>
        <w:t>，代表大盘风格的上证</w:t>
      </w:r>
      <w:r>
        <w:rPr>
          <w:color w:val="000000"/>
          <w:sz w:val="24"/>
          <w:szCs w:val="24"/>
        </w:rPr>
        <w:t>50</w:t>
      </w:r>
      <w:r>
        <w:rPr>
          <w:color w:val="000000"/>
          <w:sz w:val="24"/>
          <w:szCs w:val="24"/>
        </w:rPr>
        <w:t>指数跌</w:t>
      </w:r>
      <w:r>
        <w:rPr>
          <w:color w:val="000000"/>
          <w:sz w:val="24"/>
          <w:szCs w:val="24"/>
        </w:rPr>
        <w:t>1.12%</w:t>
      </w:r>
      <w:r>
        <w:rPr>
          <w:color w:val="000000"/>
          <w:sz w:val="24"/>
          <w:szCs w:val="24"/>
        </w:rPr>
        <w:t>，创业板指涨</w:t>
      </w:r>
      <w:r>
        <w:rPr>
          <w:color w:val="000000"/>
          <w:sz w:val="24"/>
          <w:szCs w:val="24"/>
        </w:rPr>
        <w:t>7.68%</w:t>
      </w:r>
      <w:r>
        <w:rPr>
          <w:color w:val="000000"/>
          <w:sz w:val="24"/>
          <w:szCs w:val="24"/>
        </w:rPr>
        <w:t>。上半年表现较好的消费板块进入调整期，而诸如</w:t>
      </w:r>
      <w:r>
        <w:rPr>
          <w:color w:val="000000"/>
          <w:sz w:val="24"/>
          <w:szCs w:val="24"/>
        </w:rPr>
        <w:t>5G</w:t>
      </w:r>
      <w:r>
        <w:rPr>
          <w:color w:val="000000"/>
          <w:sz w:val="24"/>
          <w:szCs w:val="24"/>
        </w:rPr>
        <w:t>、创新药等领域一跃而起，成为新的热点。</w:t>
      </w:r>
    </w:p>
    <w:p w:rsidR="009703F9" w:rsidRDefault="00E00314">
      <w:pPr>
        <w:spacing w:line="360" w:lineRule="auto"/>
        <w:ind w:firstLineChars="200" w:firstLine="480"/>
        <w:rPr>
          <w:color w:val="000000"/>
          <w:sz w:val="24"/>
          <w:szCs w:val="24"/>
        </w:rPr>
      </w:pPr>
      <w:r>
        <w:rPr>
          <w:color w:val="000000"/>
          <w:sz w:val="24"/>
          <w:szCs w:val="24"/>
        </w:rPr>
        <w:t>三季度我们对组合的结构进行了微调，一方面机场免税行业我们增加了一些新品种，以强调组合的成长性，另一方面我们调整了食品饮料板块的个股配置，增加未来三到五年的产品周期相对确定的品种。</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目前市场的估值水平已经进入较高的阶段，部分原因是市场过去对这类股票的估值采用了错误的方法，在目前的市场环境中得到了纠偏。但我们必须确保当前这种新的视角是合乎基本定价原则和客观规律的。所以，我们会不断确保我们对定价的认知是深刻的、前瞻的，否则，就会陷入阶段性投机的迷茫中。</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1.210</w:t>
      </w:r>
      <w:r w:rsidRPr="006C56AA">
        <w:rPr>
          <w:color w:val="000000"/>
          <w:sz w:val="24"/>
          <w:szCs w:val="24"/>
        </w:rPr>
        <w:t>元，本报告期份额净值增长率为</w:t>
      </w:r>
      <w:r w:rsidRPr="006C56AA">
        <w:rPr>
          <w:color w:val="000000"/>
          <w:sz w:val="24"/>
          <w:szCs w:val="24"/>
        </w:rPr>
        <w:t>5.40%</w:t>
      </w:r>
      <w:r w:rsidRPr="006C56AA">
        <w:rPr>
          <w:color w:val="000000"/>
          <w:sz w:val="24"/>
          <w:szCs w:val="24"/>
        </w:rPr>
        <w:t>，同期业绩比较基准收益率为</w:t>
      </w:r>
      <w:r w:rsidRPr="006C56AA">
        <w:rPr>
          <w:color w:val="000000"/>
          <w:sz w:val="24"/>
          <w:szCs w:val="24"/>
        </w:rPr>
        <w:t>0.03%</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868,092,495.47</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88.93</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868,092,495.47</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88.93</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52,696,697.20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5.40</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52,696,697.20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5.40</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50,963,458.34</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5.22</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4,446,722.08</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0.46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976,199,373.09</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625,342,504.91</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64.90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2,139,240.40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0.22</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28,545,790.00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2.96</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122,193,144.49</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12.68</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78,198.64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0.01</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88,416,821.03</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9.18</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1,376,796.00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0.14</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868,092,495.47</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90.09</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9703F9">
        <w:tc>
          <w:tcPr>
            <w:tcW w:w="851" w:type="dxa"/>
            <w:vAlign w:val="center"/>
          </w:tcPr>
          <w:p w:rsidR="009703F9" w:rsidRDefault="00E00314">
            <w:pPr>
              <w:jc w:val="center"/>
            </w:pPr>
            <w:r>
              <w:rPr>
                <w:color w:val="000000"/>
                <w:kern w:val="0"/>
                <w:sz w:val="24"/>
                <w:szCs w:val="24"/>
              </w:rPr>
              <w:t>1</w:t>
            </w:r>
          </w:p>
        </w:tc>
        <w:tc>
          <w:tcPr>
            <w:tcW w:w="1276" w:type="dxa"/>
            <w:vAlign w:val="center"/>
          </w:tcPr>
          <w:p w:rsidR="009703F9" w:rsidRDefault="00E00314">
            <w:pPr>
              <w:jc w:val="center"/>
            </w:pPr>
            <w:r>
              <w:rPr>
                <w:color w:val="000000"/>
                <w:kern w:val="0"/>
                <w:sz w:val="24"/>
                <w:szCs w:val="24"/>
              </w:rPr>
              <w:t>600519</w:t>
            </w:r>
          </w:p>
        </w:tc>
        <w:tc>
          <w:tcPr>
            <w:tcW w:w="1418" w:type="dxa"/>
            <w:vAlign w:val="center"/>
          </w:tcPr>
          <w:p w:rsidR="009703F9" w:rsidRDefault="00E00314">
            <w:pPr>
              <w:jc w:val="center"/>
            </w:pPr>
            <w:r>
              <w:rPr>
                <w:color w:val="000000"/>
                <w:kern w:val="0"/>
                <w:sz w:val="24"/>
                <w:szCs w:val="24"/>
              </w:rPr>
              <w:t>贵州茅台</w:t>
            </w:r>
          </w:p>
        </w:tc>
        <w:tc>
          <w:tcPr>
            <w:tcW w:w="1701" w:type="dxa"/>
            <w:vAlign w:val="center"/>
          </w:tcPr>
          <w:p w:rsidR="009703F9" w:rsidRDefault="00E00314">
            <w:pPr>
              <w:jc w:val="right"/>
            </w:pPr>
            <w:r>
              <w:rPr>
                <w:color w:val="000000"/>
                <w:kern w:val="0"/>
                <w:sz w:val="24"/>
                <w:szCs w:val="24"/>
              </w:rPr>
              <w:t>78,418</w:t>
            </w:r>
          </w:p>
        </w:tc>
        <w:tc>
          <w:tcPr>
            <w:tcW w:w="1984" w:type="dxa"/>
            <w:vAlign w:val="center"/>
          </w:tcPr>
          <w:p w:rsidR="009703F9" w:rsidRDefault="00E00314">
            <w:pPr>
              <w:jc w:val="right"/>
            </w:pPr>
            <w:r>
              <w:rPr>
                <w:color w:val="000000"/>
                <w:kern w:val="0"/>
                <w:sz w:val="24"/>
                <w:szCs w:val="24"/>
              </w:rPr>
              <w:t>90,180,700.00</w:t>
            </w:r>
          </w:p>
        </w:tc>
        <w:tc>
          <w:tcPr>
            <w:tcW w:w="1559" w:type="dxa"/>
            <w:vAlign w:val="center"/>
          </w:tcPr>
          <w:p w:rsidR="009703F9" w:rsidRDefault="00E00314">
            <w:pPr>
              <w:jc w:val="right"/>
            </w:pPr>
            <w:r>
              <w:rPr>
                <w:color w:val="000000"/>
                <w:kern w:val="0"/>
                <w:sz w:val="24"/>
                <w:szCs w:val="24"/>
              </w:rPr>
              <w:t>9.36</w:t>
            </w:r>
          </w:p>
        </w:tc>
      </w:tr>
      <w:tr w:rsidR="009703F9">
        <w:tc>
          <w:tcPr>
            <w:tcW w:w="851" w:type="dxa"/>
            <w:vAlign w:val="center"/>
          </w:tcPr>
          <w:p w:rsidR="009703F9" w:rsidRDefault="00E00314">
            <w:pPr>
              <w:jc w:val="center"/>
            </w:pPr>
            <w:r>
              <w:rPr>
                <w:color w:val="000000"/>
                <w:kern w:val="0"/>
                <w:sz w:val="24"/>
                <w:szCs w:val="24"/>
              </w:rPr>
              <w:t>2</w:t>
            </w:r>
          </w:p>
        </w:tc>
        <w:tc>
          <w:tcPr>
            <w:tcW w:w="1276" w:type="dxa"/>
            <w:vAlign w:val="center"/>
          </w:tcPr>
          <w:p w:rsidR="009703F9" w:rsidRDefault="00E00314">
            <w:pPr>
              <w:jc w:val="center"/>
            </w:pPr>
            <w:r>
              <w:rPr>
                <w:color w:val="000000"/>
                <w:kern w:val="0"/>
                <w:sz w:val="24"/>
                <w:szCs w:val="24"/>
              </w:rPr>
              <w:t>000651</w:t>
            </w:r>
          </w:p>
        </w:tc>
        <w:tc>
          <w:tcPr>
            <w:tcW w:w="1418" w:type="dxa"/>
            <w:vAlign w:val="center"/>
          </w:tcPr>
          <w:p w:rsidR="009703F9" w:rsidRDefault="00E00314">
            <w:pPr>
              <w:jc w:val="center"/>
            </w:pPr>
            <w:r>
              <w:rPr>
                <w:color w:val="000000"/>
                <w:kern w:val="0"/>
                <w:sz w:val="24"/>
                <w:szCs w:val="24"/>
              </w:rPr>
              <w:t>格力电器</w:t>
            </w:r>
          </w:p>
        </w:tc>
        <w:tc>
          <w:tcPr>
            <w:tcW w:w="1701" w:type="dxa"/>
            <w:vAlign w:val="center"/>
          </w:tcPr>
          <w:p w:rsidR="009703F9" w:rsidRDefault="00E00314">
            <w:pPr>
              <w:jc w:val="right"/>
            </w:pPr>
            <w:r>
              <w:rPr>
                <w:color w:val="000000"/>
                <w:kern w:val="0"/>
                <w:sz w:val="24"/>
                <w:szCs w:val="24"/>
              </w:rPr>
              <w:t>1,572,139</w:t>
            </w:r>
          </w:p>
        </w:tc>
        <w:tc>
          <w:tcPr>
            <w:tcW w:w="1984" w:type="dxa"/>
            <w:vAlign w:val="center"/>
          </w:tcPr>
          <w:p w:rsidR="009703F9" w:rsidRDefault="00E00314">
            <w:pPr>
              <w:jc w:val="right"/>
            </w:pPr>
            <w:r>
              <w:rPr>
                <w:color w:val="000000"/>
                <w:kern w:val="0"/>
                <w:sz w:val="24"/>
                <w:szCs w:val="24"/>
              </w:rPr>
              <w:t>90,083,564.70</w:t>
            </w:r>
          </w:p>
        </w:tc>
        <w:tc>
          <w:tcPr>
            <w:tcW w:w="1559" w:type="dxa"/>
            <w:vAlign w:val="center"/>
          </w:tcPr>
          <w:p w:rsidR="009703F9" w:rsidRDefault="00E00314">
            <w:pPr>
              <w:jc w:val="right"/>
            </w:pPr>
            <w:r>
              <w:rPr>
                <w:color w:val="000000"/>
                <w:kern w:val="0"/>
                <w:sz w:val="24"/>
                <w:szCs w:val="24"/>
              </w:rPr>
              <w:t>9.35</w:t>
            </w:r>
          </w:p>
        </w:tc>
      </w:tr>
      <w:tr w:rsidR="009703F9">
        <w:tc>
          <w:tcPr>
            <w:tcW w:w="851" w:type="dxa"/>
            <w:vAlign w:val="center"/>
          </w:tcPr>
          <w:p w:rsidR="009703F9" w:rsidRDefault="00E00314">
            <w:pPr>
              <w:jc w:val="center"/>
            </w:pPr>
            <w:r>
              <w:rPr>
                <w:color w:val="000000"/>
                <w:kern w:val="0"/>
                <w:sz w:val="24"/>
                <w:szCs w:val="24"/>
              </w:rPr>
              <w:t>3</w:t>
            </w:r>
          </w:p>
        </w:tc>
        <w:tc>
          <w:tcPr>
            <w:tcW w:w="1276" w:type="dxa"/>
            <w:vAlign w:val="center"/>
          </w:tcPr>
          <w:p w:rsidR="009703F9" w:rsidRDefault="00E00314">
            <w:pPr>
              <w:jc w:val="center"/>
            </w:pPr>
            <w:r>
              <w:rPr>
                <w:color w:val="000000"/>
                <w:kern w:val="0"/>
                <w:sz w:val="24"/>
                <w:szCs w:val="24"/>
              </w:rPr>
              <w:t>000858</w:t>
            </w:r>
          </w:p>
        </w:tc>
        <w:tc>
          <w:tcPr>
            <w:tcW w:w="1418" w:type="dxa"/>
            <w:vAlign w:val="center"/>
          </w:tcPr>
          <w:p w:rsidR="009703F9" w:rsidRDefault="00E00314">
            <w:pPr>
              <w:jc w:val="center"/>
            </w:pPr>
            <w:r>
              <w:rPr>
                <w:color w:val="000000"/>
                <w:kern w:val="0"/>
                <w:sz w:val="24"/>
                <w:szCs w:val="24"/>
              </w:rPr>
              <w:t>五粮液</w:t>
            </w:r>
          </w:p>
        </w:tc>
        <w:tc>
          <w:tcPr>
            <w:tcW w:w="1701" w:type="dxa"/>
            <w:vAlign w:val="center"/>
          </w:tcPr>
          <w:p w:rsidR="009703F9" w:rsidRDefault="00E00314">
            <w:pPr>
              <w:jc w:val="right"/>
            </w:pPr>
            <w:r>
              <w:rPr>
                <w:color w:val="000000"/>
                <w:kern w:val="0"/>
                <w:sz w:val="24"/>
                <w:szCs w:val="24"/>
              </w:rPr>
              <w:t>680,333</w:t>
            </w:r>
          </w:p>
        </w:tc>
        <w:tc>
          <w:tcPr>
            <w:tcW w:w="1984" w:type="dxa"/>
            <w:vAlign w:val="center"/>
          </w:tcPr>
          <w:p w:rsidR="009703F9" w:rsidRDefault="00E00314">
            <w:pPr>
              <w:jc w:val="right"/>
            </w:pPr>
            <w:r>
              <w:rPr>
                <w:color w:val="000000"/>
                <w:kern w:val="0"/>
                <w:sz w:val="24"/>
                <w:szCs w:val="24"/>
              </w:rPr>
              <w:t>88,307,223.40</w:t>
            </w:r>
          </w:p>
        </w:tc>
        <w:tc>
          <w:tcPr>
            <w:tcW w:w="1559" w:type="dxa"/>
            <w:vAlign w:val="center"/>
          </w:tcPr>
          <w:p w:rsidR="009703F9" w:rsidRDefault="00E00314">
            <w:pPr>
              <w:jc w:val="right"/>
            </w:pPr>
            <w:r>
              <w:rPr>
                <w:color w:val="000000"/>
                <w:kern w:val="0"/>
                <w:sz w:val="24"/>
                <w:szCs w:val="24"/>
              </w:rPr>
              <w:t>9.16</w:t>
            </w:r>
          </w:p>
        </w:tc>
      </w:tr>
      <w:tr w:rsidR="009703F9">
        <w:tc>
          <w:tcPr>
            <w:tcW w:w="851" w:type="dxa"/>
            <w:vAlign w:val="center"/>
          </w:tcPr>
          <w:p w:rsidR="009703F9" w:rsidRDefault="00E00314">
            <w:pPr>
              <w:jc w:val="center"/>
            </w:pPr>
            <w:r>
              <w:rPr>
                <w:color w:val="000000"/>
                <w:kern w:val="0"/>
                <w:sz w:val="24"/>
                <w:szCs w:val="24"/>
              </w:rPr>
              <w:t>4</w:t>
            </w:r>
          </w:p>
        </w:tc>
        <w:tc>
          <w:tcPr>
            <w:tcW w:w="1276" w:type="dxa"/>
            <w:vAlign w:val="center"/>
          </w:tcPr>
          <w:p w:rsidR="009703F9" w:rsidRDefault="00E00314">
            <w:pPr>
              <w:jc w:val="center"/>
            </w:pPr>
            <w:r>
              <w:rPr>
                <w:color w:val="000000"/>
                <w:kern w:val="0"/>
                <w:sz w:val="24"/>
                <w:szCs w:val="24"/>
              </w:rPr>
              <w:t>600009</w:t>
            </w:r>
          </w:p>
        </w:tc>
        <w:tc>
          <w:tcPr>
            <w:tcW w:w="1418" w:type="dxa"/>
            <w:vAlign w:val="center"/>
          </w:tcPr>
          <w:p w:rsidR="009703F9" w:rsidRDefault="00E00314">
            <w:pPr>
              <w:jc w:val="center"/>
            </w:pPr>
            <w:r>
              <w:rPr>
                <w:color w:val="000000"/>
                <w:kern w:val="0"/>
                <w:sz w:val="24"/>
                <w:szCs w:val="24"/>
              </w:rPr>
              <w:t>上海机场</w:t>
            </w:r>
          </w:p>
        </w:tc>
        <w:tc>
          <w:tcPr>
            <w:tcW w:w="1701" w:type="dxa"/>
            <w:vAlign w:val="center"/>
          </w:tcPr>
          <w:p w:rsidR="009703F9" w:rsidRDefault="00E00314">
            <w:pPr>
              <w:jc w:val="right"/>
            </w:pPr>
            <w:r>
              <w:rPr>
                <w:color w:val="000000"/>
                <w:kern w:val="0"/>
                <w:sz w:val="24"/>
                <w:szCs w:val="24"/>
              </w:rPr>
              <w:t>1,051,438</w:t>
            </w:r>
          </w:p>
        </w:tc>
        <w:tc>
          <w:tcPr>
            <w:tcW w:w="1984" w:type="dxa"/>
            <w:vAlign w:val="center"/>
          </w:tcPr>
          <w:p w:rsidR="009703F9" w:rsidRDefault="00E00314">
            <w:pPr>
              <w:jc w:val="right"/>
            </w:pPr>
            <w:r>
              <w:rPr>
                <w:color w:val="000000"/>
                <w:kern w:val="0"/>
                <w:sz w:val="24"/>
                <w:szCs w:val="24"/>
              </w:rPr>
              <w:t>83,883,723.64</w:t>
            </w:r>
          </w:p>
        </w:tc>
        <w:tc>
          <w:tcPr>
            <w:tcW w:w="1559" w:type="dxa"/>
            <w:vAlign w:val="center"/>
          </w:tcPr>
          <w:p w:rsidR="009703F9" w:rsidRDefault="00E00314">
            <w:pPr>
              <w:jc w:val="right"/>
            </w:pPr>
            <w:r>
              <w:rPr>
                <w:color w:val="000000"/>
                <w:kern w:val="0"/>
                <w:sz w:val="24"/>
                <w:szCs w:val="24"/>
              </w:rPr>
              <w:t>8.71</w:t>
            </w:r>
          </w:p>
        </w:tc>
      </w:tr>
      <w:tr w:rsidR="009703F9">
        <w:tc>
          <w:tcPr>
            <w:tcW w:w="851" w:type="dxa"/>
            <w:vAlign w:val="center"/>
          </w:tcPr>
          <w:p w:rsidR="009703F9" w:rsidRDefault="00E00314">
            <w:pPr>
              <w:jc w:val="center"/>
            </w:pPr>
            <w:r>
              <w:rPr>
                <w:color w:val="000000"/>
                <w:kern w:val="0"/>
                <w:sz w:val="24"/>
                <w:szCs w:val="24"/>
              </w:rPr>
              <w:t>5</w:t>
            </w:r>
          </w:p>
        </w:tc>
        <w:tc>
          <w:tcPr>
            <w:tcW w:w="1276" w:type="dxa"/>
            <w:vAlign w:val="center"/>
          </w:tcPr>
          <w:p w:rsidR="009703F9" w:rsidRDefault="00E00314">
            <w:pPr>
              <w:jc w:val="center"/>
            </w:pPr>
            <w:r>
              <w:rPr>
                <w:color w:val="000000"/>
                <w:kern w:val="0"/>
                <w:sz w:val="24"/>
                <w:szCs w:val="24"/>
              </w:rPr>
              <w:t>000860</w:t>
            </w:r>
          </w:p>
        </w:tc>
        <w:tc>
          <w:tcPr>
            <w:tcW w:w="1418" w:type="dxa"/>
            <w:vAlign w:val="center"/>
          </w:tcPr>
          <w:p w:rsidR="009703F9" w:rsidRDefault="00E00314">
            <w:pPr>
              <w:jc w:val="center"/>
            </w:pPr>
            <w:r>
              <w:rPr>
                <w:color w:val="000000"/>
                <w:kern w:val="0"/>
                <w:sz w:val="24"/>
                <w:szCs w:val="24"/>
              </w:rPr>
              <w:t>顺鑫农业</w:t>
            </w:r>
          </w:p>
        </w:tc>
        <w:tc>
          <w:tcPr>
            <w:tcW w:w="1701" w:type="dxa"/>
            <w:vAlign w:val="center"/>
          </w:tcPr>
          <w:p w:rsidR="009703F9" w:rsidRDefault="00E00314">
            <w:pPr>
              <w:jc w:val="right"/>
            </w:pPr>
            <w:r>
              <w:rPr>
                <w:color w:val="000000"/>
                <w:kern w:val="0"/>
                <w:sz w:val="24"/>
                <w:szCs w:val="24"/>
              </w:rPr>
              <w:t>1,554,077</w:t>
            </w:r>
          </w:p>
        </w:tc>
        <w:tc>
          <w:tcPr>
            <w:tcW w:w="1984" w:type="dxa"/>
            <w:vAlign w:val="center"/>
          </w:tcPr>
          <w:p w:rsidR="009703F9" w:rsidRDefault="00E00314">
            <w:pPr>
              <w:jc w:val="right"/>
            </w:pPr>
            <w:r>
              <w:rPr>
                <w:color w:val="000000"/>
                <w:kern w:val="0"/>
                <w:sz w:val="24"/>
                <w:szCs w:val="24"/>
              </w:rPr>
              <w:t>81,060,656.32</w:t>
            </w:r>
          </w:p>
        </w:tc>
        <w:tc>
          <w:tcPr>
            <w:tcW w:w="1559" w:type="dxa"/>
            <w:vAlign w:val="center"/>
          </w:tcPr>
          <w:p w:rsidR="009703F9" w:rsidRDefault="00E00314">
            <w:pPr>
              <w:jc w:val="right"/>
            </w:pPr>
            <w:r>
              <w:rPr>
                <w:color w:val="000000"/>
                <w:kern w:val="0"/>
                <w:sz w:val="24"/>
                <w:szCs w:val="24"/>
              </w:rPr>
              <w:t>8.41</w:t>
            </w:r>
          </w:p>
        </w:tc>
      </w:tr>
      <w:tr w:rsidR="009703F9">
        <w:tc>
          <w:tcPr>
            <w:tcW w:w="851" w:type="dxa"/>
            <w:vAlign w:val="center"/>
          </w:tcPr>
          <w:p w:rsidR="009703F9" w:rsidRDefault="00E00314">
            <w:pPr>
              <w:jc w:val="center"/>
            </w:pPr>
            <w:r>
              <w:rPr>
                <w:color w:val="000000"/>
                <w:kern w:val="0"/>
                <w:sz w:val="24"/>
                <w:szCs w:val="24"/>
              </w:rPr>
              <w:t>6</w:t>
            </w:r>
          </w:p>
        </w:tc>
        <w:tc>
          <w:tcPr>
            <w:tcW w:w="1276" w:type="dxa"/>
            <w:vAlign w:val="center"/>
          </w:tcPr>
          <w:p w:rsidR="009703F9" w:rsidRDefault="00E00314">
            <w:pPr>
              <w:jc w:val="center"/>
            </w:pPr>
            <w:r>
              <w:rPr>
                <w:color w:val="000000"/>
                <w:kern w:val="0"/>
                <w:sz w:val="24"/>
                <w:szCs w:val="24"/>
              </w:rPr>
              <w:t>000568</w:t>
            </w:r>
          </w:p>
        </w:tc>
        <w:tc>
          <w:tcPr>
            <w:tcW w:w="1418" w:type="dxa"/>
            <w:vAlign w:val="center"/>
          </w:tcPr>
          <w:p w:rsidR="009703F9" w:rsidRDefault="00E00314">
            <w:pPr>
              <w:jc w:val="center"/>
            </w:pPr>
            <w:r>
              <w:rPr>
                <w:color w:val="000000"/>
                <w:kern w:val="0"/>
                <w:sz w:val="24"/>
                <w:szCs w:val="24"/>
              </w:rPr>
              <w:t>泸州老窖</w:t>
            </w:r>
          </w:p>
        </w:tc>
        <w:tc>
          <w:tcPr>
            <w:tcW w:w="1701" w:type="dxa"/>
            <w:vAlign w:val="center"/>
          </w:tcPr>
          <w:p w:rsidR="009703F9" w:rsidRDefault="00E00314">
            <w:pPr>
              <w:jc w:val="right"/>
            </w:pPr>
            <w:r>
              <w:rPr>
                <w:color w:val="000000"/>
                <w:kern w:val="0"/>
                <w:sz w:val="24"/>
                <w:szCs w:val="24"/>
              </w:rPr>
              <w:t>919,038</w:t>
            </w:r>
          </w:p>
        </w:tc>
        <w:tc>
          <w:tcPr>
            <w:tcW w:w="1984" w:type="dxa"/>
            <w:vAlign w:val="center"/>
          </w:tcPr>
          <w:p w:rsidR="009703F9" w:rsidRDefault="00E00314">
            <w:pPr>
              <w:jc w:val="right"/>
            </w:pPr>
            <w:r>
              <w:rPr>
                <w:color w:val="000000"/>
                <w:kern w:val="0"/>
                <w:sz w:val="24"/>
                <w:szCs w:val="24"/>
              </w:rPr>
              <w:t>78,320,418.36</w:t>
            </w:r>
          </w:p>
        </w:tc>
        <w:tc>
          <w:tcPr>
            <w:tcW w:w="1559" w:type="dxa"/>
            <w:vAlign w:val="center"/>
          </w:tcPr>
          <w:p w:rsidR="009703F9" w:rsidRDefault="00E00314">
            <w:pPr>
              <w:jc w:val="right"/>
            </w:pPr>
            <w:r>
              <w:rPr>
                <w:color w:val="000000"/>
                <w:kern w:val="0"/>
                <w:sz w:val="24"/>
                <w:szCs w:val="24"/>
              </w:rPr>
              <w:t>8.13</w:t>
            </w:r>
          </w:p>
        </w:tc>
      </w:tr>
      <w:tr w:rsidR="009703F9">
        <w:tc>
          <w:tcPr>
            <w:tcW w:w="851" w:type="dxa"/>
            <w:vAlign w:val="center"/>
          </w:tcPr>
          <w:p w:rsidR="009703F9" w:rsidRDefault="00E00314">
            <w:pPr>
              <w:jc w:val="center"/>
            </w:pPr>
            <w:r>
              <w:rPr>
                <w:color w:val="000000"/>
                <w:kern w:val="0"/>
                <w:sz w:val="24"/>
                <w:szCs w:val="24"/>
              </w:rPr>
              <w:t>7</w:t>
            </w:r>
          </w:p>
        </w:tc>
        <w:tc>
          <w:tcPr>
            <w:tcW w:w="1276" w:type="dxa"/>
            <w:vAlign w:val="center"/>
          </w:tcPr>
          <w:p w:rsidR="009703F9" w:rsidRDefault="00E00314">
            <w:pPr>
              <w:jc w:val="center"/>
            </w:pPr>
            <w:r>
              <w:rPr>
                <w:color w:val="000000"/>
                <w:kern w:val="0"/>
                <w:sz w:val="24"/>
                <w:szCs w:val="24"/>
              </w:rPr>
              <w:t>000596</w:t>
            </w:r>
          </w:p>
        </w:tc>
        <w:tc>
          <w:tcPr>
            <w:tcW w:w="1418" w:type="dxa"/>
            <w:vAlign w:val="center"/>
          </w:tcPr>
          <w:p w:rsidR="009703F9" w:rsidRDefault="00E00314">
            <w:pPr>
              <w:jc w:val="center"/>
            </w:pPr>
            <w:r>
              <w:rPr>
                <w:color w:val="000000"/>
                <w:kern w:val="0"/>
                <w:sz w:val="24"/>
                <w:szCs w:val="24"/>
              </w:rPr>
              <w:t>古井贡酒</w:t>
            </w:r>
          </w:p>
        </w:tc>
        <w:tc>
          <w:tcPr>
            <w:tcW w:w="1701" w:type="dxa"/>
            <w:vAlign w:val="center"/>
          </w:tcPr>
          <w:p w:rsidR="009703F9" w:rsidRDefault="00E00314">
            <w:pPr>
              <w:jc w:val="right"/>
            </w:pPr>
            <w:r>
              <w:rPr>
                <w:color w:val="000000"/>
                <w:kern w:val="0"/>
                <w:sz w:val="24"/>
                <w:szCs w:val="24"/>
              </w:rPr>
              <w:t>651,510</w:t>
            </w:r>
          </w:p>
        </w:tc>
        <w:tc>
          <w:tcPr>
            <w:tcW w:w="1984" w:type="dxa"/>
            <w:vAlign w:val="center"/>
          </w:tcPr>
          <w:p w:rsidR="009703F9" w:rsidRDefault="00E00314">
            <w:pPr>
              <w:jc w:val="right"/>
            </w:pPr>
            <w:r>
              <w:rPr>
                <w:color w:val="000000"/>
                <w:kern w:val="0"/>
                <w:sz w:val="24"/>
                <w:szCs w:val="24"/>
              </w:rPr>
              <w:t>74,923,650.00</w:t>
            </w:r>
          </w:p>
        </w:tc>
        <w:tc>
          <w:tcPr>
            <w:tcW w:w="1559" w:type="dxa"/>
            <w:vAlign w:val="center"/>
          </w:tcPr>
          <w:p w:rsidR="009703F9" w:rsidRDefault="00E00314">
            <w:pPr>
              <w:jc w:val="right"/>
            </w:pPr>
            <w:r>
              <w:rPr>
                <w:color w:val="000000"/>
                <w:kern w:val="0"/>
                <w:sz w:val="24"/>
                <w:szCs w:val="24"/>
              </w:rPr>
              <w:t>7.78</w:t>
            </w:r>
          </w:p>
        </w:tc>
      </w:tr>
      <w:tr w:rsidR="009703F9">
        <w:tc>
          <w:tcPr>
            <w:tcW w:w="851" w:type="dxa"/>
            <w:vAlign w:val="center"/>
          </w:tcPr>
          <w:p w:rsidR="009703F9" w:rsidRDefault="00E00314">
            <w:pPr>
              <w:jc w:val="center"/>
            </w:pPr>
            <w:r>
              <w:rPr>
                <w:color w:val="000000"/>
                <w:kern w:val="0"/>
                <w:sz w:val="24"/>
                <w:szCs w:val="24"/>
              </w:rPr>
              <w:t>8</w:t>
            </w:r>
          </w:p>
        </w:tc>
        <w:tc>
          <w:tcPr>
            <w:tcW w:w="1276" w:type="dxa"/>
            <w:vAlign w:val="center"/>
          </w:tcPr>
          <w:p w:rsidR="009703F9" w:rsidRDefault="00E00314">
            <w:pPr>
              <w:jc w:val="center"/>
            </w:pPr>
            <w:r>
              <w:rPr>
                <w:color w:val="000000"/>
                <w:kern w:val="0"/>
                <w:sz w:val="24"/>
                <w:szCs w:val="24"/>
              </w:rPr>
              <w:t>601318</w:t>
            </w:r>
          </w:p>
        </w:tc>
        <w:tc>
          <w:tcPr>
            <w:tcW w:w="1418" w:type="dxa"/>
            <w:vAlign w:val="center"/>
          </w:tcPr>
          <w:p w:rsidR="009703F9" w:rsidRDefault="00E00314">
            <w:pPr>
              <w:jc w:val="center"/>
            </w:pPr>
            <w:r>
              <w:rPr>
                <w:color w:val="000000"/>
                <w:kern w:val="0"/>
                <w:sz w:val="24"/>
                <w:szCs w:val="24"/>
              </w:rPr>
              <w:t>中国平安</w:t>
            </w:r>
          </w:p>
        </w:tc>
        <w:tc>
          <w:tcPr>
            <w:tcW w:w="1701" w:type="dxa"/>
            <w:vAlign w:val="center"/>
          </w:tcPr>
          <w:p w:rsidR="009703F9" w:rsidRDefault="00E00314">
            <w:pPr>
              <w:jc w:val="right"/>
            </w:pPr>
            <w:r>
              <w:rPr>
                <w:color w:val="000000"/>
                <w:kern w:val="0"/>
                <w:sz w:val="24"/>
                <w:szCs w:val="24"/>
              </w:rPr>
              <w:t>681,932</w:t>
            </w:r>
          </w:p>
        </w:tc>
        <w:tc>
          <w:tcPr>
            <w:tcW w:w="1984" w:type="dxa"/>
            <w:vAlign w:val="center"/>
          </w:tcPr>
          <w:p w:rsidR="009703F9" w:rsidRDefault="00E00314">
            <w:pPr>
              <w:jc w:val="right"/>
            </w:pPr>
            <w:r>
              <w:rPr>
                <w:color w:val="000000"/>
                <w:kern w:val="0"/>
                <w:sz w:val="24"/>
                <w:szCs w:val="24"/>
              </w:rPr>
              <w:t>59,355,361.28</w:t>
            </w:r>
          </w:p>
        </w:tc>
        <w:tc>
          <w:tcPr>
            <w:tcW w:w="1559" w:type="dxa"/>
            <w:vAlign w:val="center"/>
          </w:tcPr>
          <w:p w:rsidR="009703F9" w:rsidRDefault="00E00314">
            <w:pPr>
              <w:jc w:val="right"/>
            </w:pPr>
            <w:r>
              <w:rPr>
                <w:color w:val="000000"/>
                <w:kern w:val="0"/>
                <w:sz w:val="24"/>
                <w:szCs w:val="24"/>
              </w:rPr>
              <w:t>6.16</w:t>
            </w:r>
          </w:p>
        </w:tc>
      </w:tr>
      <w:tr w:rsidR="009703F9">
        <w:tc>
          <w:tcPr>
            <w:tcW w:w="851" w:type="dxa"/>
            <w:vAlign w:val="center"/>
          </w:tcPr>
          <w:p w:rsidR="009703F9" w:rsidRDefault="00E00314">
            <w:pPr>
              <w:jc w:val="center"/>
            </w:pPr>
            <w:r>
              <w:rPr>
                <w:color w:val="000000"/>
                <w:kern w:val="0"/>
                <w:sz w:val="24"/>
                <w:szCs w:val="24"/>
              </w:rPr>
              <w:t>9</w:t>
            </w:r>
          </w:p>
        </w:tc>
        <w:tc>
          <w:tcPr>
            <w:tcW w:w="1276" w:type="dxa"/>
            <w:vAlign w:val="center"/>
          </w:tcPr>
          <w:p w:rsidR="009703F9" w:rsidRDefault="00E00314">
            <w:pPr>
              <w:jc w:val="center"/>
            </w:pPr>
            <w:r>
              <w:rPr>
                <w:color w:val="000000"/>
                <w:kern w:val="0"/>
                <w:sz w:val="24"/>
                <w:szCs w:val="24"/>
              </w:rPr>
              <w:t>000333</w:t>
            </w:r>
          </w:p>
        </w:tc>
        <w:tc>
          <w:tcPr>
            <w:tcW w:w="1418" w:type="dxa"/>
            <w:vAlign w:val="center"/>
          </w:tcPr>
          <w:p w:rsidR="009703F9" w:rsidRDefault="00E00314">
            <w:pPr>
              <w:jc w:val="center"/>
            </w:pPr>
            <w:r>
              <w:rPr>
                <w:color w:val="000000"/>
                <w:kern w:val="0"/>
                <w:sz w:val="24"/>
                <w:szCs w:val="24"/>
              </w:rPr>
              <w:t>美的集团</w:t>
            </w:r>
          </w:p>
        </w:tc>
        <w:tc>
          <w:tcPr>
            <w:tcW w:w="1701" w:type="dxa"/>
            <w:vAlign w:val="center"/>
          </w:tcPr>
          <w:p w:rsidR="009703F9" w:rsidRDefault="00E00314">
            <w:pPr>
              <w:jc w:val="right"/>
            </w:pPr>
            <w:r>
              <w:rPr>
                <w:color w:val="000000"/>
                <w:kern w:val="0"/>
                <w:sz w:val="24"/>
                <w:szCs w:val="24"/>
              </w:rPr>
              <w:t>829,493</w:t>
            </w:r>
          </w:p>
        </w:tc>
        <w:tc>
          <w:tcPr>
            <w:tcW w:w="1984" w:type="dxa"/>
            <w:vAlign w:val="center"/>
          </w:tcPr>
          <w:p w:rsidR="009703F9" w:rsidRDefault="00E00314">
            <w:pPr>
              <w:jc w:val="right"/>
            </w:pPr>
            <w:r>
              <w:rPr>
                <w:color w:val="000000"/>
                <w:kern w:val="0"/>
                <w:sz w:val="24"/>
                <w:szCs w:val="24"/>
              </w:rPr>
              <w:t>42,387,092.30</w:t>
            </w:r>
          </w:p>
        </w:tc>
        <w:tc>
          <w:tcPr>
            <w:tcW w:w="1559" w:type="dxa"/>
            <w:vAlign w:val="center"/>
          </w:tcPr>
          <w:p w:rsidR="009703F9" w:rsidRDefault="00E00314">
            <w:pPr>
              <w:jc w:val="right"/>
            </w:pPr>
            <w:r>
              <w:rPr>
                <w:color w:val="000000"/>
                <w:kern w:val="0"/>
                <w:sz w:val="24"/>
                <w:szCs w:val="24"/>
              </w:rPr>
              <w:t>4.40</w:t>
            </w:r>
          </w:p>
        </w:tc>
      </w:tr>
      <w:tr w:rsidR="009703F9">
        <w:tc>
          <w:tcPr>
            <w:tcW w:w="851" w:type="dxa"/>
            <w:vAlign w:val="center"/>
          </w:tcPr>
          <w:p w:rsidR="009703F9" w:rsidRDefault="00E00314">
            <w:pPr>
              <w:jc w:val="center"/>
            </w:pPr>
            <w:r>
              <w:rPr>
                <w:color w:val="000000"/>
                <w:kern w:val="0"/>
                <w:sz w:val="24"/>
                <w:szCs w:val="24"/>
              </w:rPr>
              <w:t>10</w:t>
            </w:r>
          </w:p>
        </w:tc>
        <w:tc>
          <w:tcPr>
            <w:tcW w:w="1276" w:type="dxa"/>
            <w:vAlign w:val="center"/>
          </w:tcPr>
          <w:p w:rsidR="009703F9" w:rsidRDefault="00E00314">
            <w:pPr>
              <w:jc w:val="center"/>
            </w:pPr>
            <w:r>
              <w:rPr>
                <w:color w:val="000000"/>
                <w:kern w:val="0"/>
                <w:sz w:val="24"/>
                <w:szCs w:val="24"/>
              </w:rPr>
              <w:t>600004</w:t>
            </w:r>
          </w:p>
        </w:tc>
        <w:tc>
          <w:tcPr>
            <w:tcW w:w="1418" w:type="dxa"/>
            <w:vAlign w:val="center"/>
          </w:tcPr>
          <w:p w:rsidR="009703F9" w:rsidRDefault="00E00314">
            <w:pPr>
              <w:jc w:val="center"/>
            </w:pPr>
            <w:r>
              <w:rPr>
                <w:color w:val="000000"/>
                <w:kern w:val="0"/>
                <w:sz w:val="24"/>
                <w:szCs w:val="24"/>
              </w:rPr>
              <w:t>白云机场</w:t>
            </w:r>
          </w:p>
        </w:tc>
        <w:tc>
          <w:tcPr>
            <w:tcW w:w="1701" w:type="dxa"/>
            <w:vAlign w:val="center"/>
          </w:tcPr>
          <w:p w:rsidR="009703F9" w:rsidRDefault="00E00314">
            <w:pPr>
              <w:jc w:val="right"/>
            </w:pPr>
            <w:r>
              <w:rPr>
                <w:color w:val="000000"/>
                <w:kern w:val="0"/>
                <w:sz w:val="24"/>
                <w:szCs w:val="24"/>
              </w:rPr>
              <w:t>1,706,433</w:t>
            </w:r>
          </w:p>
        </w:tc>
        <w:tc>
          <w:tcPr>
            <w:tcW w:w="1984" w:type="dxa"/>
            <w:vAlign w:val="center"/>
          </w:tcPr>
          <w:p w:rsidR="009703F9" w:rsidRDefault="00E00314">
            <w:pPr>
              <w:jc w:val="right"/>
            </w:pPr>
            <w:r>
              <w:rPr>
                <w:color w:val="000000"/>
                <w:kern w:val="0"/>
                <w:sz w:val="24"/>
                <w:szCs w:val="24"/>
              </w:rPr>
              <w:t>38,309,420.85</w:t>
            </w:r>
          </w:p>
        </w:tc>
        <w:tc>
          <w:tcPr>
            <w:tcW w:w="1559" w:type="dxa"/>
            <w:vAlign w:val="center"/>
          </w:tcPr>
          <w:p w:rsidR="009703F9" w:rsidRDefault="00E00314">
            <w:pPr>
              <w:jc w:val="right"/>
            </w:pPr>
            <w:r>
              <w:rPr>
                <w:color w:val="000000"/>
                <w:kern w:val="0"/>
                <w:sz w:val="24"/>
                <w:szCs w:val="24"/>
              </w:rPr>
              <w:t>3.98</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tbl>
      <w:tblPr>
        <w:tblStyle w:val="af7"/>
        <w:tblW w:w="8755" w:type="dxa"/>
        <w:jc w:val="center"/>
        <w:tblLayout w:type="fixed"/>
        <w:tblLook w:val="04A0" w:firstRow="1" w:lastRow="0" w:firstColumn="1" w:lastColumn="0" w:noHBand="0" w:noVBand="1"/>
      </w:tblPr>
      <w:tblGrid>
        <w:gridCol w:w="817"/>
        <w:gridCol w:w="3260"/>
        <w:gridCol w:w="2949"/>
        <w:gridCol w:w="1729"/>
      </w:tblGrid>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序号</w:t>
            </w:r>
          </w:p>
        </w:tc>
        <w:tc>
          <w:tcPr>
            <w:tcW w:w="3260"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债券品种</w:t>
            </w:r>
          </w:p>
        </w:tc>
        <w:tc>
          <w:tcPr>
            <w:tcW w:w="294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公允价值</w:t>
            </w:r>
            <w:r w:rsidRPr="00283CAD">
              <w:rPr>
                <w:rFonts w:eastAsiaTheme="minorEastAsia"/>
                <w:color w:val="000000" w:themeColor="text1"/>
                <w:sz w:val="24"/>
                <w:szCs w:val="24"/>
              </w:rPr>
              <w:t>(</w:t>
            </w:r>
            <w:r w:rsidRPr="00283CAD">
              <w:rPr>
                <w:rFonts w:eastAsiaTheme="minorEastAsia"/>
                <w:color w:val="000000" w:themeColor="text1"/>
                <w:sz w:val="24"/>
                <w:szCs w:val="24"/>
              </w:rPr>
              <w:t>元</w:t>
            </w: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占基金资产净值比例</w:t>
            </w:r>
            <w:r w:rsidRPr="00283CAD">
              <w:rPr>
                <w:rFonts w:eastAsiaTheme="minorEastAsia"/>
                <w:color w:val="000000" w:themeColor="text1"/>
                <w:sz w:val="24"/>
                <w:szCs w:val="24"/>
              </w:rPr>
              <w:t>(</w:t>
            </w:r>
            <w:r w:rsidRPr="00283CAD">
              <w:rPr>
                <w:rFonts w:eastAsiaTheme="minorEastAsia"/>
                <w:color w:val="000000" w:themeColor="text1"/>
                <w:sz w:val="24"/>
                <w:szCs w:val="24"/>
              </w:rPr>
              <w:t>％</w:t>
            </w: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国家债券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2</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央行票据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3</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金融债券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49,959,000.00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5.18</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其中：政策性金融债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49,959,000.00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5.18</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4</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5</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企业短期融资券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6</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中期票据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7</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可转债</w:t>
            </w:r>
            <w:r w:rsidR="004B5343" w:rsidRPr="004B5343">
              <w:rPr>
                <w:rFonts w:eastAsiaTheme="minorEastAsia" w:hint="eastAsia"/>
                <w:color w:val="000000" w:themeColor="text1"/>
                <w:sz w:val="24"/>
                <w:szCs w:val="24"/>
              </w:rPr>
              <w:t>（可交换债）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2,737,697.20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0.28</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8</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同业存单</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9</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其他</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10</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合计</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52,696,697.20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5.47</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560"/>
        <w:gridCol w:w="1984"/>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债券名称</w:t>
            </w:r>
          </w:p>
        </w:tc>
        <w:tc>
          <w:tcPr>
            <w:tcW w:w="1560"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（张）</w:t>
            </w:r>
          </w:p>
        </w:tc>
        <w:tc>
          <w:tcPr>
            <w:tcW w:w="198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9703F9">
        <w:tc>
          <w:tcPr>
            <w:tcW w:w="959" w:type="dxa"/>
            <w:vAlign w:val="center"/>
          </w:tcPr>
          <w:p w:rsidR="009703F9" w:rsidRDefault="00E00314">
            <w:pPr>
              <w:jc w:val="center"/>
            </w:pPr>
            <w:r>
              <w:rPr>
                <w:color w:val="000000"/>
                <w:kern w:val="0"/>
                <w:sz w:val="24"/>
                <w:szCs w:val="24"/>
              </w:rPr>
              <w:t>1</w:t>
            </w:r>
          </w:p>
        </w:tc>
        <w:tc>
          <w:tcPr>
            <w:tcW w:w="1276" w:type="dxa"/>
            <w:vAlign w:val="center"/>
          </w:tcPr>
          <w:p w:rsidR="009703F9" w:rsidRDefault="00E00314">
            <w:pPr>
              <w:jc w:val="center"/>
            </w:pPr>
            <w:r>
              <w:rPr>
                <w:color w:val="000000"/>
                <w:kern w:val="0"/>
                <w:sz w:val="24"/>
                <w:szCs w:val="24"/>
              </w:rPr>
              <w:t>190402</w:t>
            </w:r>
          </w:p>
        </w:tc>
        <w:tc>
          <w:tcPr>
            <w:tcW w:w="1275" w:type="dxa"/>
            <w:vAlign w:val="center"/>
          </w:tcPr>
          <w:p w:rsidR="009703F9" w:rsidRDefault="00E00314">
            <w:pPr>
              <w:jc w:val="center"/>
            </w:pPr>
            <w:r>
              <w:rPr>
                <w:color w:val="000000"/>
                <w:kern w:val="0"/>
                <w:sz w:val="24"/>
                <w:szCs w:val="24"/>
              </w:rPr>
              <w:t>19</w:t>
            </w:r>
            <w:r>
              <w:rPr>
                <w:color w:val="000000"/>
                <w:kern w:val="0"/>
                <w:sz w:val="24"/>
                <w:szCs w:val="24"/>
              </w:rPr>
              <w:t>农发</w:t>
            </w:r>
            <w:r>
              <w:rPr>
                <w:color w:val="000000"/>
                <w:kern w:val="0"/>
                <w:sz w:val="24"/>
                <w:szCs w:val="24"/>
              </w:rPr>
              <w:t>02</w:t>
            </w:r>
          </w:p>
        </w:tc>
        <w:tc>
          <w:tcPr>
            <w:tcW w:w="1560" w:type="dxa"/>
            <w:vAlign w:val="center"/>
          </w:tcPr>
          <w:p w:rsidR="009703F9" w:rsidRDefault="00E00314">
            <w:pPr>
              <w:jc w:val="right"/>
            </w:pPr>
            <w:r>
              <w:rPr>
                <w:color w:val="000000"/>
                <w:kern w:val="0"/>
                <w:sz w:val="24"/>
                <w:szCs w:val="24"/>
              </w:rPr>
              <w:t>300,000</w:t>
            </w:r>
          </w:p>
        </w:tc>
        <w:tc>
          <w:tcPr>
            <w:tcW w:w="1984" w:type="dxa"/>
            <w:vAlign w:val="center"/>
          </w:tcPr>
          <w:p w:rsidR="009703F9" w:rsidRDefault="00E00314">
            <w:pPr>
              <w:jc w:val="right"/>
            </w:pPr>
            <w:r>
              <w:rPr>
                <w:color w:val="000000"/>
                <w:kern w:val="0"/>
                <w:sz w:val="24"/>
                <w:szCs w:val="24"/>
              </w:rPr>
              <w:t>29,967,000.00</w:t>
            </w:r>
          </w:p>
        </w:tc>
        <w:tc>
          <w:tcPr>
            <w:tcW w:w="1474" w:type="dxa"/>
            <w:vAlign w:val="center"/>
          </w:tcPr>
          <w:p w:rsidR="009703F9" w:rsidRDefault="00E00314">
            <w:pPr>
              <w:jc w:val="right"/>
            </w:pPr>
            <w:r>
              <w:rPr>
                <w:color w:val="000000"/>
                <w:kern w:val="0"/>
                <w:sz w:val="24"/>
                <w:szCs w:val="24"/>
              </w:rPr>
              <w:t>3.11</w:t>
            </w:r>
          </w:p>
        </w:tc>
      </w:tr>
      <w:tr w:rsidR="009703F9">
        <w:tc>
          <w:tcPr>
            <w:tcW w:w="959" w:type="dxa"/>
            <w:vAlign w:val="center"/>
          </w:tcPr>
          <w:p w:rsidR="009703F9" w:rsidRDefault="00E00314">
            <w:pPr>
              <w:jc w:val="center"/>
            </w:pPr>
            <w:r>
              <w:rPr>
                <w:color w:val="000000"/>
                <w:kern w:val="0"/>
                <w:sz w:val="24"/>
                <w:szCs w:val="24"/>
              </w:rPr>
              <w:t>2</w:t>
            </w:r>
          </w:p>
        </w:tc>
        <w:tc>
          <w:tcPr>
            <w:tcW w:w="1276" w:type="dxa"/>
            <w:vAlign w:val="center"/>
          </w:tcPr>
          <w:p w:rsidR="009703F9" w:rsidRDefault="00E00314">
            <w:pPr>
              <w:jc w:val="center"/>
            </w:pPr>
            <w:r>
              <w:rPr>
                <w:color w:val="000000"/>
                <w:kern w:val="0"/>
                <w:sz w:val="24"/>
                <w:szCs w:val="24"/>
              </w:rPr>
              <w:t>190302</w:t>
            </w:r>
          </w:p>
        </w:tc>
        <w:tc>
          <w:tcPr>
            <w:tcW w:w="1275" w:type="dxa"/>
            <w:vAlign w:val="center"/>
          </w:tcPr>
          <w:p w:rsidR="009703F9" w:rsidRDefault="00E00314">
            <w:pPr>
              <w:jc w:val="center"/>
            </w:pPr>
            <w:r>
              <w:rPr>
                <w:color w:val="000000"/>
                <w:kern w:val="0"/>
                <w:sz w:val="24"/>
                <w:szCs w:val="24"/>
              </w:rPr>
              <w:t>19</w:t>
            </w:r>
            <w:r>
              <w:rPr>
                <w:color w:val="000000"/>
                <w:kern w:val="0"/>
                <w:sz w:val="24"/>
                <w:szCs w:val="24"/>
              </w:rPr>
              <w:t>进出</w:t>
            </w:r>
            <w:r>
              <w:rPr>
                <w:color w:val="000000"/>
                <w:kern w:val="0"/>
                <w:sz w:val="24"/>
                <w:szCs w:val="24"/>
              </w:rPr>
              <w:t>02</w:t>
            </w:r>
          </w:p>
        </w:tc>
        <w:tc>
          <w:tcPr>
            <w:tcW w:w="1560" w:type="dxa"/>
            <w:vAlign w:val="center"/>
          </w:tcPr>
          <w:p w:rsidR="009703F9" w:rsidRDefault="00E00314">
            <w:pPr>
              <w:jc w:val="right"/>
            </w:pPr>
            <w:r>
              <w:rPr>
                <w:color w:val="000000"/>
                <w:kern w:val="0"/>
                <w:sz w:val="24"/>
                <w:szCs w:val="24"/>
              </w:rPr>
              <w:t>200,000</w:t>
            </w:r>
          </w:p>
        </w:tc>
        <w:tc>
          <w:tcPr>
            <w:tcW w:w="1984" w:type="dxa"/>
            <w:vAlign w:val="center"/>
          </w:tcPr>
          <w:p w:rsidR="009703F9" w:rsidRDefault="00E00314">
            <w:pPr>
              <w:jc w:val="right"/>
            </w:pPr>
            <w:r>
              <w:rPr>
                <w:color w:val="000000"/>
                <w:kern w:val="0"/>
                <w:sz w:val="24"/>
                <w:szCs w:val="24"/>
              </w:rPr>
              <w:t>19,992,000.00</w:t>
            </w:r>
          </w:p>
        </w:tc>
        <w:tc>
          <w:tcPr>
            <w:tcW w:w="1474" w:type="dxa"/>
            <w:vAlign w:val="center"/>
          </w:tcPr>
          <w:p w:rsidR="009703F9" w:rsidRDefault="00E00314">
            <w:pPr>
              <w:jc w:val="right"/>
            </w:pPr>
            <w:r>
              <w:rPr>
                <w:color w:val="000000"/>
                <w:kern w:val="0"/>
                <w:sz w:val="24"/>
                <w:szCs w:val="24"/>
              </w:rPr>
              <w:t>2.07</w:t>
            </w:r>
          </w:p>
        </w:tc>
      </w:tr>
      <w:tr w:rsidR="009703F9">
        <w:tc>
          <w:tcPr>
            <w:tcW w:w="959" w:type="dxa"/>
            <w:vAlign w:val="center"/>
          </w:tcPr>
          <w:p w:rsidR="009703F9" w:rsidRDefault="00E00314">
            <w:pPr>
              <w:jc w:val="center"/>
            </w:pPr>
            <w:r>
              <w:rPr>
                <w:color w:val="000000"/>
                <w:kern w:val="0"/>
                <w:sz w:val="24"/>
                <w:szCs w:val="24"/>
              </w:rPr>
              <w:t>3</w:t>
            </w:r>
          </w:p>
        </w:tc>
        <w:tc>
          <w:tcPr>
            <w:tcW w:w="1276" w:type="dxa"/>
            <w:vAlign w:val="center"/>
          </w:tcPr>
          <w:p w:rsidR="009703F9" w:rsidRDefault="00E00314">
            <w:pPr>
              <w:jc w:val="center"/>
            </w:pPr>
            <w:r>
              <w:rPr>
                <w:color w:val="000000"/>
                <w:kern w:val="0"/>
                <w:sz w:val="24"/>
                <w:szCs w:val="24"/>
              </w:rPr>
              <w:t>128045</w:t>
            </w:r>
          </w:p>
        </w:tc>
        <w:tc>
          <w:tcPr>
            <w:tcW w:w="1275" w:type="dxa"/>
            <w:vAlign w:val="center"/>
          </w:tcPr>
          <w:p w:rsidR="009703F9" w:rsidRDefault="00E00314">
            <w:pPr>
              <w:jc w:val="center"/>
            </w:pPr>
            <w:r>
              <w:rPr>
                <w:color w:val="000000"/>
                <w:kern w:val="0"/>
                <w:sz w:val="24"/>
                <w:szCs w:val="24"/>
              </w:rPr>
              <w:t>机电转债</w:t>
            </w:r>
          </w:p>
        </w:tc>
        <w:tc>
          <w:tcPr>
            <w:tcW w:w="1560" w:type="dxa"/>
            <w:vAlign w:val="center"/>
          </w:tcPr>
          <w:p w:rsidR="009703F9" w:rsidRDefault="00E00314">
            <w:pPr>
              <w:jc w:val="right"/>
            </w:pPr>
            <w:r>
              <w:rPr>
                <w:color w:val="000000"/>
                <w:kern w:val="0"/>
                <w:sz w:val="24"/>
                <w:szCs w:val="24"/>
              </w:rPr>
              <w:t>19,710</w:t>
            </w:r>
          </w:p>
        </w:tc>
        <w:tc>
          <w:tcPr>
            <w:tcW w:w="1984" w:type="dxa"/>
            <w:vAlign w:val="center"/>
          </w:tcPr>
          <w:p w:rsidR="009703F9" w:rsidRDefault="00E00314">
            <w:pPr>
              <w:jc w:val="right"/>
            </w:pPr>
            <w:r>
              <w:rPr>
                <w:color w:val="000000"/>
                <w:kern w:val="0"/>
                <w:sz w:val="24"/>
                <w:szCs w:val="24"/>
              </w:rPr>
              <w:t>2,256,400.80</w:t>
            </w:r>
          </w:p>
        </w:tc>
        <w:tc>
          <w:tcPr>
            <w:tcW w:w="1474" w:type="dxa"/>
            <w:vAlign w:val="center"/>
          </w:tcPr>
          <w:p w:rsidR="009703F9" w:rsidRDefault="00E00314">
            <w:pPr>
              <w:jc w:val="right"/>
            </w:pPr>
            <w:r>
              <w:rPr>
                <w:color w:val="000000"/>
                <w:kern w:val="0"/>
                <w:sz w:val="24"/>
                <w:szCs w:val="24"/>
              </w:rPr>
              <w:t>0.23</w:t>
            </w:r>
          </w:p>
        </w:tc>
      </w:tr>
      <w:tr w:rsidR="009703F9">
        <w:tc>
          <w:tcPr>
            <w:tcW w:w="959" w:type="dxa"/>
            <w:vAlign w:val="center"/>
          </w:tcPr>
          <w:p w:rsidR="009703F9" w:rsidRDefault="00E00314">
            <w:pPr>
              <w:jc w:val="center"/>
            </w:pPr>
            <w:r>
              <w:rPr>
                <w:color w:val="000000"/>
                <w:kern w:val="0"/>
                <w:sz w:val="24"/>
                <w:szCs w:val="24"/>
              </w:rPr>
              <w:t>4</w:t>
            </w:r>
          </w:p>
        </w:tc>
        <w:tc>
          <w:tcPr>
            <w:tcW w:w="1276" w:type="dxa"/>
            <w:vAlign w:val="center"/>
          </w:tcPr>
          <w:p w:rsidR="009703F9" w:rsidRDefault="00E00314">
            <w:pPr>
              <w:jc w:val="center"/>
            </w:pPr>
            <w:r>
              <w:rPr>
                <w:color w:val="000000"/>
                <w:kern w:val="0"/>
                <w:sz w:val="24"/>
                <w:szCs w:val="24"/>
              </w:rPr>
              <w:t>113021</w:t>
            </w:r>
          </w:p>
        </w:tc>
        <w:tc>
          <w:tcPr>
            <w:tcW w:w="1275" w:type="dxa"/>
            <w:vAlign w:val="center"/>
          </w:tcPr>
          <w:p w:rsidR="009703F9" w:rsidRDefault="00E00314">
            <w:pPr>
              <w:jc w:val="center"/>
            </w:pPr>
            <w:r>
              <w:rPr>
                <w:color w:val="000000"/>
                <w:kern w:val="0"/>
                <w:sz w:val="24"/>
                <w:szCs w:val="24"/>
              </w:rPr>
              <w:t>中信转债</w:t>
            </w:r>
          </w:p>
        </w:tc>
        <w:tc>
          <w:tcPr>
            <w:tcW w:w="1560" w:type="dxa"/>
            <w:vAlign w:val="center"/>
          </w:tcPr>
          <w:p w:rsidR="009703F9" w:rsidRDefault="00E00314">
            <w:pPr>
              <w:jc w:val="right"/>
            </w:pPr>
            <w:r>
              <w:rPr>
                <w:color w:val="000000"/>
                <w:kern w:val="0"/>
                <w:sz w:val="24"/>
                <w:szCs w:val="24"/>
              </w:rPr>
              <w:t>2,620</w:t>
            </w:r>
          </w:p>
        </w:tc>
        <w:tc>
          <w:tcPr>
            <w:tcW w:w="1984" w:type="dxa"/>
            <w:vAlign w:val="center"/>
          </w:tcPr>
          <w:p w:rsidR="009703F9" w:rsidRDefault="00E00314">
            <w:pPr>
              <w:jc w:val="right"/>
            </w:pPr>
            <w:r>
              <w:rPr>
                <w:color w:val="000000"/>
                <w:kern w:val="0"/>
                <w:sz w:val="24"/>
                <w:szCs w:val="24"/>
              </w:rPr>
              <w:t>278,086.80</w:t>
            </w:r>
          </w:p>
        </w:tc>
        <w:tc>
          <w:tcPr>
            <w:tcW w:w="1474" w:type="dxa"/>
            <w:vAlign w:val="center"/>
          </w:tcPr>
          <w:p w:rsidR="009703F9" w:rsidRDefault="00E00314">
            <w:pPr>
              <w:jc w:val="right"/>
            </w:pPr>
            <w:r>
              <w:rPr>
                <w:color w:val="000000"/>
                <w:kern w:val="0"/>
                <w:sz w:val="24"/>
                <w:szCs w:val="24"/>
              </w:rPr>
              <w:t>0.03</w:t>
            </w:r>
          </w:p>
        </w:tc>
      </w:tr>
      <w:tr w:rsidR="009703F9">
        <w:tc>
          <w:tcPr>
            <w:tcW w:w="959" w:type="dxa"/>
            <w:vAlign w:val="center"/>
          </w:tcPr>
          <w:p w:rsidR="009703F9" w:rsidRDefault="00E00314">
            <w:pPr>
              <w:jc w:val="center"/>
            </w:pPr>
            <w:r>
              <w:rPr>
                <w:color w:val="000000"/>
                <w:kern w:val="0"/>
                <w:sz w:val="24"/>
                <w:szCs w:val="24"/>
              </w:rPr>
              <w:t>5</w:t>
            </w:r>
          </w:p>
        </w:tc>
        <w:tc>
          <w:tcPr>
            <w:tcW w:w="1276" w:type="dxa"/>
            <w:vAlign w:val="center"/>
          </w:tcPr>
          <w:p w:rsidR="009703F9" w:rsidRDefault="00E00314">
            <w:pPr>
              <w:jc w:val="center"/>
            </w:pPr>
            <w:r>
              <w:rPr>
                <w:color w:val="000000"/>
                <w:kern w:val="0"/>
                <w:sz w:val="24"/>
                <w:szCs w:val="24"/>
              </w:rPr>
              <w:t>123021</w:t>
            </w:r>
          </w:p>
        </w:tc>
        <w:tc>
          <w:tcPr>
            <w:tcW w:w="1275" w:type="dxa"/>
            <w:vAlign w:val="center"/>
          </w:tcPr>
          <w:p w:rsidR="009703F9" w:rsidRDefault="00E00314">
            <w:pPr>
              <w:jc w:val="center"/>
            </w:pPr>
            <w:r>
              <w:rPr>
                <w:color w:val="000000"/>
                <w:kern w:val="0"/>
                <w:sz w:val="24"/>
                <w:szCs w:val="24"/>
              </w:rPr>
              <w:t>万信转</w:t>
            </w:r>
            <w:r>
              <w:rPr>
                <w:color w:val="000000"/>
                <w:kern w:val="0"/>
                <w:sz w:val="24"/>
                <w:szCs w:val="24"/>
              </w:rPr>
              <w:t>2</w:t>
            </w:r>
          </w:p>
        </w:tc>
        <w:tc>
          <w:tcPr>
            <w:tcW w:w="1560" w:type="dxa"/>
            <w:vAlign w:val="center"/>
          </w:tcPr>
          <w:p w:rsidR="009703F9" w:rsidRDefault="00E00314">
            <w:pPr>
              <w:jc w:val="right"/>
            </w:pPr>
            <w:r>
              <w:rPr>
                <w:color w:val="000000"/>
                <w:kern w:val="0"/>
                <w:sz w:val="24"/>
                <w:szCs w:val="24"/>
              </w:rPr>
              <w:t>1,840</w:t>
            </w:r>
          </w:p>
        </w:tc>
        <w:tc>
          <w:tcPr>
            <w:tcW w:w="1984" w:type="dxa"/>
            <w:vAlign w:val="center"/>
          </w:tcPr>
          <w:p w:rsidR="009703F9" w:rsidRDefault="00E00314">
            <w:pPr>
              <w:jc w:val="right"/>
            </w:pPr>
            <w:r>
              <w:rPr>
                <w:color w:val="000000"/>
                <w:kern w:val="0"/>
                <w:sz w:val="24"/>
                <w:szCs w:val="24"/>
              </w:rPr>
              <w:t>203,209.60</w:t>
            </w:r>
          </w:p>
        </w:tc>
        <w:tc>
          <w:tcPr>
            <w:tcW w:w="1474" w:type="dxa"/>
            <w:vAlign w:val="center"/>
          </w:tcPr>
          <w:p w:rsidR="009703F9" w:rsidRDefault="00E00314">
            <w:pPr>
              <w:jc w:val="right"/>
            </w:pPr>
            <w:r>
              <w:rPr>
                <w:color w:val="000000"/>
                <w:kern w:val="0"/>
                <w:sz w:val="24"/>
                <w:szCs w:val="24"/>
              </w:rPr>
              <w:t>0.02</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286,323.20</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113,578.37</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676,833.94</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3,369,986.57</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4,446,722.08</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8"/>
        <w:gridCol w:w="1729"/>
        <w:gridCol w:w="1658"/>
        <w:gridCol w:w="1697"/>
        <w:gridCol w:w="1621"/>
      </w:tblGrid>
      <w:tr w:rsidR="00750D48" w:rsidRPr="00264E55" w:rsidTr="00B05049">
        <w:tc>
          <w:tcPr>
            <w:tcW w:w="1808"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序号</w:t>
            </w:r>
          </w:p>
        </w:tc>
        <w:tc>
          <w:tcPr>
            <w:tcW w:w="1729"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债券代码</w:t>
            </w:r>
          </w:p>
        </w:tc>
        <w:tc>
          <w:tcPr>
            <w:tcW w:w="1658"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债券名称</w:t>
            </w:r>
          </w:p>
        </w:tc>
        <w:tc>
          <w:tcPr>
            <w:tcW w:w="1697"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公允价值</w:t>
            </w:r>
            <w:r w:rsidR="005F7917" w:rsidRPr="00B227EA">
              <w:rPr>
                <w:color w:val="000000"/>
                <w:kern w:val="0"/>
                <w:sz w:val="24"/>
                <w:szCs w:val="24"/>
              </w:rPr>
              <w:t>（元）</w:t>
            </w:r>
          </w:p>
        </w:tc>
        <w:tc>
          <w:tcPr>
            <w:tcW w:w="1621"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占基金资产净值比例</w:t>
            </w:r>
            <w:r w:rsidR="005F7917" w:rsidRPr="00B227EA">
              <w:rPr>
                <w:color w:val="000000"/>
                <w:kern w:val="0"/>
                <w:sz w:val="24"/>
                <w:szCs w:val="24"/>
              </w:rPr>
              <w:t>（</w:t>
            </w:r>
            <w:r w:rsidR="005F7917" w:rsidRPr="00B227EA">
              <w:rPr>
                <w:color w:val="000000"/>
                <w:kern w:val="0"/>
                <w:sz w:val="24"/>
                <w:szCs w:val="24"/>
              </w:rPr>
              <w:t>%</w:t>
            </w:r>
            <w:r w:rsidR="005F7917" w:rsidRPr="00B227EA">
              <w:rPr>
                <w:color w:val="000000"/>
                <w:kern w:val="0"/>
                <w:sz w:val="24"/>
                <w:szCs w:val="24"/>
              </w:rPr>
              <w:t>）</w:t>
            </w:r>
          </w:p>
        </w:tc>
      </w:tr>
      <w:tr w:rsidR="009703F9">
        <w:tc>
          <w:tcPr>
            <w:tcW w:w="1808" w:type="dxa"/>
            <w:vAlign w:val="center"/>
          </w:tcPr>
          <w:p w:rsidR="009703F9" w:rsidRDefault="00E00314">
            <w:pPr>
              <w:jc w:val="center"/>
            </w:pPr>
            <w:r>
              <w:rPr>
                <w:color w:val="000000"/>
                <w:kern w:val="0"/>
                <w:sz w:val="24"/>
                <w:szCs w:val="24"/>
              </w:rPr>
              <w:t>1</w:t>
            </w:r>
          </w:p>
        </w:tc>
        <w:tc>
          <w:tcPr>
            <w:tcW w:w="1729" w:type="dxa"/>
            <w:vAlign w:val="center"/>
          </w:tcPr>
          <w:p w:rsidR="009703F9" w:rsidRDefault="00E00314">
            <w:pPr>
              <w:jc w:val="center"/>
            </w:pPr>
            <w:r>
              <w:rPr>
                <w:color w:val="000000"/>
                <w:kern w:val="0"/>
                <w:sz w:val="24"/>
                <w:szCs w:val="24"/>
              </w:rPr>
              <w:t>128045</w:t>
            </w:r>
          </w:p>
        </w:tc>
        <w:tc>
          <w:tcPr>
            <w:tcW w:w="1658" w:type="dxa"/>
            <w:vAlign w:val="center"/>
          </w:tcPr>
          <w:p w:rsidR="009703F9" w:rsidRDefault="00E00314">
            <w:pPr>
              <w:jc w:val="center"/>
            </w:pPr>
            <w:r>
              <w:rPr>
                <w:color w:val="000000"/>
                <w:kern w:val="0"/>
                <w:sz w:val="24"/>
                <w:szCs w:val="24"/>
              </w:rPr>
              <w:t>机电转债</w:t>
            </w:r>
          </w:p>
        </w:tc>
        <w:tc>
          <w:tcPr>
            <w:tcW w:w="1697" w:type="dxa"/>
            <w:vAlign w:val="center"/>
          </w:tcPr>
          <w:p w:rsidR="009703F9" w:rsidRDefault="00E00314">
            <w:pPr>
              <w:jc w:val="right"/>
            </w:pPr>
            <w:r>
              <w:rPr>
                <w:color w:val="000000"/>
                <w:kern w:val="0"/>
                <w:sz w:val="24"/>
                <w:szCs w:val="24"/>
              </w:rPr>
              <w:t>2,256,400.80</w:t>
            </w:r>
          </w:p>
        </w:tc>
        <w:tc>
          <w:tcPr>
            <w:tcW w:w="1621" w:type="dxa"/>
            <w:vAlign w:val="center"/>
          </w:tcPr>
          <w:p w:rsidR="009703F9" w:rsidRDefault="00E00314">
            <w:pPr>
              <w:jc w:val="right"/>
            </w:pPr>
            <w:r>
              <w:rPr>
                <w:color w:val="000000"/>
                <w:kern w:val="0"/>
                <w:sz w:val="24"/>
                <w:szCs w:val="24"/>
              </w:rPr>
              <w:t>0.23</w:t>
            </w:r>
          </w:p>
        </w:tc>
      </w:tr>
      <w:tr w:rsidR="009703F9">
        <w:tc>
          <w:tcPr>
            <w:tcW w:w="1808" w:type="dxa"/>
            <w:vAlign w:val="center"/>
          </w:tcPr>
          <w:p w:rsidR="009703F9" w:rsidRDefault="00E00314">
            <w:pPr>
              <w:jc w:val="center"/>
            </w:pPr>
            <w:r>
              <w:rPr>
                <w:color w:val="000000"/>
                <w:kern w:val="0"/>
                <w:sz w:val="24"/>
                <w:szCs w:val="24"/>
              </w:rPr>
              <w:t>2</w:t>
            </w:r>
          </w:p>
        </w:tc>
        <w:tc>
          <w:tcPr>
            <w:tcW w:w="1729" w:type="dxa"/>
            <w:vAlign w:val="center"/>
          </w:tcPr>
          <w:p w:rsidR="009703F9" w:rsidRDefault="00E00314">
            <w:pPr>
              <w:jc w:val="center"/>
            </w:pPr>
            <w:r>
              <w:rPr>
                <w:color w:val="000000"/>
                <w:kern w:val="0"/>
                <w:sz w:val="24"/>
                <w:szCs w:val="24"/>
              </w:rPr>
              <w:t>113021</w:t>
            </w:r>
          </w:p>
        </w:tc>
        <w:tc>
          <w:tcPr>
            <w:tcW w:w="1658" w:type="dxa"/>
            <w:vAlign w:val="center"/>
          </w:tcPr>
          <w:p w:rsidR="009703F9" w:rsidRDefault="00E00314">
            <w:pPr>
              <w:jc w:val="center"/>
            </w:pPr>
            <w:r>
              <w:rPr>
                <w:color w:val="000000"/>
                <w:kern w:val="0"/>
                <w:sz w:val="24"/>
                <w:szCs w:val="24"/>
              </w:rPr>
              <w:t>中信转债</w:t>
            </w:r>
          </w:p>
        </w:tc>
        <w:tc>
          <w:tcPr>
            <w:tcW w:w="1697" w:type="dxa"/>
            <w:vAlign w:val="center"/>
          </w:tcPr>
          <w:p w:rsidR="009703F9" w:rsidRDefault="00E00314">
            <w:pPr>
              <w:jc w:val="right"/>
            </w:pPr>
            <w:r>
              <w:rPr>
                <w:color w:val="000000"/>
                <w:kern w:val="0"/>
                <w:sz w:val="24"/>
                <w:szCs w:val="24"/>
              </w:rPr>
              <w:t>278,086.80</w:t>
            </w:r>
          </w:p>
        </w:tc>
        <w:tc>
          <w:tcPr>
            <w:tcW w:w="1621" w:type="dxa"/>
            <w:vAlign w:val="center"/>
          </w:tcPr>
          <w:p w:rsidR="009703F9" w:rsidRDefault="00E00314">
            <w:pPr>
              <w:jc w:val="right"/>
            </w:pPr>
            <w:r>
              <w:rPr>
                <w:color w:val="000000"/>
                <w:kern w:val="0"/>
                <w:sz w:val="24"/>
                <w:szCs w:val="24"/>
              </w:rPr>
              <w:t>0.03</w:t>
            </w:r>
          </w:p>
        </w:tc>
      </w:tr>
      <w:tr w:rsidR="009703F9">
        <w:tc>
          <w:tcPr>
            <w:tcW w:w="1808" w:type="dxa"/>
            <w:vAlign w:val="center"/>
          </w:tcPr>
          <w:p w:rsidR="009703F9" w:rsidRDefault="00E00314">
            <w:pPr>
              <w:jc w:val="center"/>
            </w:pPr>
            <w:r>
              <w:rPr>
                <w:color w:val="000000"/>
                <w:kern w:val="0"/>
                <w:sz w:val="24"/>
                <w:szCs w:val="24"/>
              </w:rPr>
              <w:t>3</w:t>
            </w:r>
          </w:p>
        </w:tc>
        <w:tc>
          <w:tcPr>
            <w:tcW w:w="1729" w:type="dxa"/>
            <w:vAlign w:val="center"/>
          </w:tcPr>
          <w:p w:rsidR="009703F9" w:rsidRDefault="00E00314">
            <w:pPr>
              <w:jc w:val="center"/>
            </w:pPr>
            <w:r>
              <w:rPr>
                <w:color w:val="000000"/>
                <w:kern w:val="0"/>
                <w:sz w:val="24"/>
                <w:szCs w:val="24"/>
              </w:rPr>
              <w:t>123021</w:t>
            </w:r>
          </w:p>
        </w:tc>
        <w:tc>
          <w:tcPr>
            <w:tcW w:w="1658" w:type="dxa"/>
            <w:vAlign w:val="center"/>
          </w:tcPr>
          <w:p w:rsidR="009703F9" w:rsidRDefault="00E00314">
            <w:pPr>
              <w:jc w:val="center"/>
            </w:pPr>
            <w:r>
              <w:rPr>
                <w:color w:val="000000"/>
                <w:kern w:val="0"/>
                <w:sz w:val="24"/>
                <w:szCs w:val="24"/>
              </w:rPr>
              <w:t>万信转</w:t>
            </w:r>
            <w:r>
              <w:rPr>
                <w:color w:val="000000"/>
                <w:kern w:val="0"/>
                <w:sz w:val="24"/>
                <w:szCs w:val="24"/>
              </w:rPr>
              <w:t>2</w:t>
            </w:r>
          </w:p>
        </w:tc>
        <w:tc>
          <w:tcPr>
            <w:tcW w:w="1697" w:type="dxa"/>
            <w:vAlign w:val="center"/>
          </w:tcPr>
          <w:p w:rsidR="009703F9" w:rsidRDefault="00E00314">
            <w:pPr>
              <w:jc w:val="right"/>
            </w:pPr>
            <w:r>
              <w:rPr>
                <w:color w:val="000000"/>
                <w:kern w:val="0"/>
                <w:sz w:val="24"/>
                <w:szCs w:val="24"/>
              </w:rPr>
              <w:t>203,209.60</w:t>
            </w:r>
          </w:p>
        </w:tc>
        <w:tc>
          <w:tcPr>
            <w:tcW w:w="1621" w:type="dxa"/>
            <w:vAlign w:val="center"/>
          </w:tcPr>
          <w:p w:rsidR="009703F9" w:rsidRDefault="00E00314">
            <w:pPr>
              <w:jc w:val="right"/>
            </w:pPr>
            <w:r>
              <w:rPr>
                <w:color w:val="000000"/>
                <w:kern w:val="0"/>
                <w:sz w:val="24"/>
                <w:szCs w:val="24"/>
              </w:rPr>
              <w:t>0.02</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本基金本报告期末前十名股票中不存在流通受限情况。</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1,215,421,910.28</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175,395,231.30</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594,725,327.50</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796,091,814.08</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8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8.1 </w:t>
      </w:r>
      <w:r w:rsidRPr="00264E55">
        <w:rPr>
          <w:rFonts w:ascii="宋体" w:hAnsi="宋体" w:hint="eastAsia"/>
          <w:b/>
          <w:bCs/>
          <w:color w:val="000000"/>
          <w:kern w:val="0"/>
          <w:sz w:val="24"/>
          <w:szCs w:val="24"/>
        </w:rPr>
        <w:t>备查文件目录</w:t>
      </w:r>
    </w:p>
    <w:p w:rsidR="009703F9" w:rsidRDefault="00E00314">
      <w:pPr>
        <w:spacing w:line="360" w:lineRule="auto"/>
        <w:ind w:firstLineChars="200" w:firstLine="480"/>
        <w:rPr>
          <w:color w:val="000000"/>
          <w:sz w:val="24"/>
          <w:szCs w:val="24"/>
        </w:rPr>
      </w:pPr>
      <w:r>
        <w:rPr>
          <w:color w:val="000000"/>
          <w:sz w:val="24"/>
          <w:szCs w:val="24"/>
        </w:rPr>
        <w:t>1.</w:t>
      </w:r>
      <w:r>
        <w:rPr>
          <w:color w:val="000000"/>
          <w:sz w:val="24"/>
          <w:szCs w:val="24"/>
        </w:rPr>
        <w:t>中国证监会准予易方达现代服务业灵活配置混合型证券投资基金注册的文件；</w:t>
      </w:r>
    </w:p>
    <w:p w:rsidR="009703F9" w:rsidRDefault="00E00314">
      <w:pPr>
        <w:spacing w:line="360" w:lineRule="auto"/>
        <w:ind w:firstLineChars="200" w:firstLine="480"/>
        <w:rPr>
          <w:color w:val="000000"/>
          <w:sz w:val="24"/>
          <w:szCs w:val="24"/>
        </w:rPr>
      </w:pPr>
      <w:r>
        <w:rPr>
          <w:color w:val="000000"/>
          <w:sz w:val="24"/>
          <w:szCs w:val="24"/>
        </w:rPr>
        <w:t>2.</w:t>
      </w:r>
      <w:r>
        <w:rPr>
          <w:color w:val="000000"/>
          <w:sz w:val="24"/>
          <w:szCs w:val="24"/>
        </w:rPr>
        <w:t>《易方达现代服务业灵活配置混合型证券投资基金基金合同》；</w:t>
      </w:r>
    </w:p>
    <w:p w:rsidR="009703F9" w:rsidRDefault="00E00314">
      <w:pPr>
        <w:spacing w:line="360" w:lineRule="auto"/>
        <w:ind w:firstLineChars="200" w:firstLine="480"/>
        <w:rPr>
          <w:color w:val="000000"/>
          <w:sz w:val="24"/>
          <w:szCs w:val="24"/>
        </w:rPr>
      </w:pPr>
      <w:r>
        <w:rPr>
          <w:color w:val="000000"/>
          <w:sz w:val="24"/>
          <w:szCs w:val="24"/>
        </w:rPr>
        <w:t>3.</w:t>
      </w:r>
      <w:r>
        <w:rPr>
          <w:color w:val="000000"/>
          <w:sz w:val="24"/>
          <w:szCs w:val="24"/>
        </w:rPr>
        <w:t>《易方达现代服务业灵活配置混合型证券投资基金托管协议》；</w:t>
      </w:r>
    </w:p>
    <w:p w:rsidR="009703F9" w:rsidRDefault="00E00314">
      <w:pPr>
        <w:spacing w:line="360" w:lineRule="auto"/>
        <w:ind w:firstLineChars="200" w:firstLine="480"/>
        <w:rPr>
          <w:color w:val="000000"/>
          <w:sz w:val="24"/>
          <w:szCs w:val="24"/>
        </w:rPr>
      </w:pPr>
      <w:r>
        <w:rPr>
          <w:color w:val="000000"/>
          <w:sz w:val="24"/>
          <w:szCs w:val="24"/>
        </w:rPr>
        <w:t>4.</w:t>
      </w:r>
      <w:r>
        <w:rPr>
          <w:color w:val="000000"/>
          <w:sz w:val="24"/>
          <w:szCs w:val="24"/>
        </w:rPr>
        <w:t>《易方达基金管理有限公司开放式基金业务规则》；</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5.</w:t>
      </w:r>
      <w:r w:rsidRPr="006C56AA">
        <w:rPr>
          <w:color w:val="000000"/>
          <w:sz w:val="24"/>
          <w:szCs w:val="24"/>
        </w:rPr>
        <w:t>基金管理人业务资格批件、营业执照。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E00314">
      <w:rPr>
        <w:rStyle w:val="a7"/>
        <w:noProof/>
      </w:rPr>
      <w:t>1</w:t>
    </w:r>
    <w:r>
      <w:rPr>
        <w:rStyle w:val="a7"/>
      </w:rPr>
      <w:fldChar w:fldCharType="end"/>
    </w:r>
    <w:r>
      <w:rPr>
        <w:rStyle w:val="a7"/>
        <w:rFonts w:hint="eastAsia"/>
      </w:rPr>
      <w:t>页共</w:t>
    </w:r>
    <w:r w:rsidR="00E00314">
      <w:fldChar w:fldCharType="begin"/>
    </w:r>
    <w:r w:rsidR="00E00314">
      <w:instrText xml:space="preserve"> NUMPAGES  \* Arabic  \* MERGEFORMAT </w:instrText>
    </w:r>
    <w:r w:rsidR="00E00314">
      <w:fldChar w:fldCharType="separate"/>
    </w:r>
    <w:r w:rsidR="00E00314" w:rsidRPr="00E00314">
      <w:rPr>
        <w:rStyle w:val="a7"/>
        <w:noProof/>
      </w:rPr>
      <w:t>3</w:t>
    </w:r>
    <w:r w:rsidR="00E00314">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E00314">
      <w:rPr>
        <w:rStyle w:val="a7"/>
        <w:noProof/>
      </w:rPr>
      <w:t>12</w:t>
    </w:r>
    <w:r>
      <w:rPr>
        <w:rStyle w:val="a7"/>
      </w:rPr>
      <w:fldChar w:fldCharType="end"/>
    </w:r>
    <w:r>
      <w:rPr>
        <w:rStyle w:val="a7"/>
        <w:rFonts w:hint="eastAsia"/>
      </w:rPr>
      <w:t>页共</w:t>
    </w:r>
    <w:fldSimple w:instr=" NUMPAGES  \* Arabic  \* MERGEFORMAT ">
      <w:r w:rsidR="00E00314" w:rsidRPr="00E00314">
        <w:rPr>
          <w:rStyle w:val="a7"/>
          <w:noProof/>
        </w:rPr>
        <w:t>12</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易方达现代服务业灵活配置混合型证券投资基金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703F9"/>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0314"/>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FCCC1-5397-4375-8EF3-4619799E4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957</Words>
  <Characters>5457</Characters>
  <Application>Microsoft Office Word</Application>
  <DocSecurity>0</DocSecurity>
  <Lines>45</Lines>
  <Paragraphs>12</Paragraphs>
  <ScaleCrop>false</ScaleCrop>
  <Company/>
  <LinksUpToDate>false</LinksUpToDate>
  <CharactersWithSpaces>6402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2019-10-16T13:55:00Z</cp:lastPrinted>
  <dcterms:created xsi:type="dcterms:W3CDTF">2012-10-16T06:07:00Z</dcterms:created>
  <dcterms:modified xsi:type="dcterms:W3CDTF">2019-10-16T13:55:00Z</dcterms:modified>
</cp:coreProperties>
</file>