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易方达环保主题灵活配置混合型证券投资基金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中国建设银行股份有限公司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CC1E0A" w:rsidRDefault="00B47DD8">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CC1E0A" w:rsidRDefault="00B47DD8">
      <w:pPr>
        <w:spacing w:line="360" w:lineRule="auto"/>
        <w:ind w:firstLineChars="200" w:firstLine="480"/>
        <w:rPr>
          <w:color w:val="000000"/>
          <w:sz w:val="24"/>
          <w:szCs w:val="24"/>
        </w:rPr>
      </w:pPr>
      <w:r>
        <w:rPr>
          <w:color w:val="000000"/>
          <w:sz w:val="24"/>
          <w:szCs w:val="24"/>
        </w:rPr>
        <w:t>基金托管人中国建设银行股份有限公司根据本基金合同规定，于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CC1E0A" w:rsidRDefault="00B47DD8">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w:t>
      </w:r>
      <w:r>
        <w:rPr>
          <w:color w:val="000000"/>
          <w:sz w:val="24"/>
          <w:szCs w:val="24"/>
        </w:rPr>
        <w:t>利。</w:t>
      </w:r>
      <w:r>
        <w:rPr>
          <w:color w:val="000000"/>
          <w:sz w:val="24"/>
          <w:szCs w:val="24"/>
        </w:rPr>
        <w:t xml:space="preserve"> </w:t>
      </w:r>
    </w:p>
    <w:p w:rsidR="00CC1E0A" w:rsidRDefault="00B47DD8">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CC1E0A" w:rsidRDefault="00B47DD8">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易方达环保主题混合</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001856</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001856</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2017</w:t>
            </w:r>
            <w:r w:rsidRPr="00232B03">
              <w:rPr>
                <w:color w:val="000000"/>
                <w:kern w:val="0"/>
                <w:sz w:val="24"/>
                <w:szCs w:val="24"/>
              </w:rPr>
              <w:t>年</w:t>
            </w:r>
            <w:r w:rsidRPr="00232B03">
              <w:rPr>
                <w:color w:val="000000"/>
                <w:kern w:val="0"/>
                <w:sz w:val="24"/>
                <w:szCs w:val="24"/>
              </w:rPr>
              <w:t>6</w:t>
            </w:r>
            <w:r w:rsidRPr="00232B03">
              <w:rPr>
                <w:color w:val="000000"/>
                <w:kern w:val="0"/>
                <w:sz w:val="24"/>
                <w:szCs w:val="24"/>
              </w:rPr>
              <w:t>月</w:t>
            </w:r>
            <w:r w:rsidRPr="00232B03">
              <w:rPr>
                <w:color w:val="000000"/>
                <w:kern w:val="0"/>
                <w:sz w:val="24"/>
                <w:szCs w:val="24"/>
              </w:rPr>
              <w:t>2</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175,370,423.76</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在严格控制风险的前提下，追求超越业绩比较基准的投资回报。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界定的环保主题指的是广义的环保概念，囊括了新能源或新材料的获取、清洁能源、自然环境改造等源头活动，生产环节的清洁生产、节能改造等中间活动，以及环境监测、污染治理为主的末端活动。在股票投资方面，本基金将采取自上而下的</w:t>
            </w:r>
            <w:r w:rsidRPr="00232B03">
              <w:rPr>
                <w:color w:val="000000"/>
                <w:kern w:val="0"/>
                <w:sz w:val="24"/>
                <w:szCs w:val="24"/>
              </w:rPr>
              <w:lastRenderedPageBreak/>
              <w:t>产业政策跟踪和分析，结合自下而上的上市公司市场需求空间、技术水平、经营管理状况分析及估值评价，筛选具备竞争优势和成长性且估值相对合理的上市公司股票，进行股票组合的构建并适时进行调整。在债券投资方面，本基金将主要通过类属配置与券种选择两个层次进行投资管理。</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65%×</w:t>
            </w:r>
            <w:r w:rsidRPr="00232B03">
              <w:rPr>
                <w:color w:val="000000"/>
                <w:kern w:val="0"/>
                <w:sz w:val="24"/>
                <w:szCs w:val="24"/>
              </w:rPr>
              <w:t>中证环保产业指数收益率＋</w:t>
            </w:r>
            <w:r w:rsidRPr="00232B03">
              <w:rPr>
                <w:color w:val="000000"/>
                <w:kern w:val="0"/>
                <w:sz w:val="24"/>
                <w:szCs w:val="24"/>
              </w:rPr>
              <w:t>35%×</w:t>
            </w:r>
            <w:r w:rsidRPr="00232B03">
              <w:rPr>
                <w:color w:val="000000"/>
                <w:kern w:val="0"/>
                <w:sz w:val="24"/>
                <w:szCs w:val="24"/>
              </w:rPr>
              <w:t>一年期人民币定期存款利率（税后）</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本基金为混合型基金，理论上其预期风险与预期收益水平低于股票型基金，高于债券型基金和货币市场基金。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中国建设银行股份有限公司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12,022,443.32</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24,929,407.59</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0.1402</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239,444,294.46</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1.365</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CC1E0A" w:rsidRDefault="00B47DD8">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CC1E0A">
        <w:tc>
          <w:tcPr>
            <w:tcW w:w="1395" w:type="dxa"/>
            <w:vAlign w:val="center"/>
          </w:tcPr>
          <w:p w:rsidR="00CC1E0A" w:rsidRDefault="00B47DD8">
            <w:pPr>
              <w:jc w:val="left"/>
            </w:pPr>
            <w:r>
              <w:rPr>
                <w:color w:val="000000"/>
                <w:kern w:val="0"/>
                <w:sz w:val="24"/>
                <w:szCs w:val="24"/>
              </w:rPr>
              <w:t>过去三个月</w:t>
            </w:r>
          </w:p>
        </w:tc>
        <w:tc>
          <w:tcPr>
            <w:tcW w:w="1092" w:type="dxa"/>
            <w:vAlign w:val="center"/>
          </w:tcPr>
          <w:p w:rsidR="00CC1E0A" w:rsidRDefault="00B47DD8">
            <w:pPr>
              <w:jc w:val="center"/>
            </w:pPr>
            <w:r>
              <w:rPr>
                <w:color w:val="000000"/>
                <w:kern w:val="0"/>
                <w:sz w:val="24"/>
                <w:szCs w:val="24"/>
              </w:rPr>
              <w:t>11.79%</w:t>
            </w:r>
          </w:p>
        </w:tc>
        <w:tc>
          <w:tcPr>
            <w:tcW w:w="1161" w:type="dxa"/>
            <w:vAlign w:val="center"/>
          </w:tcPr>
          <w:p w:rsidR="00CC1E0A" w:rsidRDefault="00B47DD8">
            <w:pPr>
              <w:jc w:val="center"/>
            </w:pPr>
            <w:r>
              <w:rPr>
                <w:color w:val="000000"/>
                <w:kern w:val="0"/>
                <w:sz w:val="24"/>
                <w:szCs w:val="24"/>
              </w:rPr>
              <w:t>1.24%</w:t>
            </w:r>
          </w:p>
        </w:tc>
        <w:tc>
          <w:tcPr>
            <w:tcW w:w="1181" w:type="dxa"/>
            <w:vAlign w:val="center"/>
          </w:tcPr>
          <w:p w:rsidR="00CC1E0A" w:rsidRDefault="00B47DD8">
            <w:pPr>
              <w:jc w:val="center"/>
            </w:pPr>
            <w:r>
              <w:rPr>
                <w:color w:val="000000"/>
                <w:kern w:val="0"/>
                <w:sz w:val="24"/>
                <w:szCs w:val="24"/>
              </w:rPr>
              <w:t>-1.55%</w:t>
            </w:r>
          </w:p>
        </w:tc>
        <w:tc>
          <w:tcPr>
            <w:tcW w:w="1188" w:type="dxa"/>
            <w:vAlign w:val="center"/>
          </w:tcPr>
          <w:p w:rsidR="00CC1E0A" w:rsidRDefault="00B47DD8">
            <w:pPr>
              <w:jc w:val="center"/>
            </w:pPr>
            <w:r>
              <w:rPr>
                <w:color w:val="000000"/>
                <w:kern w:val="0"/>
                <w:sz w:val="24"/>
                <w:szCs w:val="24"/>
              </w:rPr>
              <w:t>0.79%</w:t>
            </w:r>
          </w:p>
        </w:tc>
        <w:tc>
          <w:tcPr>
            <w:tcW w:w="1199" w:type="dxa"/>
            <w:vAlign w:val="center"/>
          </w:tcPr>
          <w:p w:rsidR="00CC1E0A" w:rsidRDefault="00B47DD8">
            <w:pPr>
              <w:jc w:val="center"/>
            </w:pPr>
            <w:r>
              <w:rPr>
                <w:color w:val="000000"/>
                <w:kern w:val="0"/>
                <w:sz w:val="24"/>
                <w:szCs w:val="24"/>
              </w:rPr>
              <w:t>13.34%</w:t>
            </w:r>
          </w:p>
        </w:tc>
        <w:tc>
          <w:tcPr>
            <w:tcW w:w="1204" w:type="dxa"/>
            <w:vAlign w:val="center"/>
          </w:tcPr>
          <w:p w:rsidR="00CC1E0A" w:rsidRDefault="00B47DD8">
            <w:pPr>
              <w:jc w:val="center"/>
            </w:pPr>
            <w:r>
              <w:rPr>
                <w:color w:val="000000"/>
                <w:kern w:val="0"/>
                <w:sz w:val="24"/>
                <w:szCs w:val="24"/>
              </w:rPr>
              <w:t>0.45%</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易方达环保主题灵活配置混合型证券投资基金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2017</w:t>
      </w:r>
      <w:r w:rsidRPr="0074694E">
        <w:rPr>
          <w:rFonts w:ascii="Times New Roman" w:hAnsi="Times New Roman"/>
          <w:sz w:val="24"/>
          <w:szCs w:val="24"/>
        </w:rPr>
        <w:t>年</w:t>
      </w:r>
      <w:r w:rsidRPr="0074694E">
        <w:rPr>
          <w:rFonts w:ascii="Times New Roman" w:hAnsi="Times New Roman"/>
          <w:sz w:val="24"/>
          <w:szCs w:val="24"/>
        </w:rPr>
        <w:t>6</w:t>
      </w:r>
      <w:r w:rsidRPr="0074694E">
        <w:rPr>
          <w:rFonts w:ascii="Times New Roman" w:hAnsi="Times New Roman"/>
          <w:sz w:val="24"/>
          <w:szCs w:val="24"/>
        </w:rPr>
        <w:t>月</w:t>
      </w:r>
      <w:r w:rsidRPr="0074694E">
        <w:rPr>
          <w:rFonts w:ascii="Times New Roman" w:hAnsi="Times New Roman"/>
          <w:sz w:val="24"/>
          <w:szCs w:val="24"/>
        </w:rPr>
        <w:t>2</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B47DD8"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注：自基金合同生效至报告期末，基金份额净值增长率为</w:t>
      </w:r>
      <w:r w:rsidRPr="006C56AA">
        <w:rPr>
          <w:color w:val="000000"/>
          <w:sz w:val="24"/>
          <w:szCs w:val="24"/>
        </w:rPr>
        <w:t>36.50%</w:t>
      </w:r>
      <w:r w:rsidRPr="006C56AA">
        <w:rPr>
          <w:color w:val="000000"/>
          <w:sz w:val="24"/>
          <w:szCs w:val="24"/>
        </w:rPr>
        <w:t>，同期业绩比较基准收益率为</w:t>
      </w:r>
      <w:r w:rsidRPr="006C56AA">
        <w:rPr>
          <w:color w:val="000000"/>
          <w:sz w:val="24"/>
          <w:szCs w:val="24"/>
        </w:rPr>
        <w:t>-16.99%</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CC1E0A">
        <w:tc>
          <w:tcPr>
            <w:tcW w:w="567" w:type="dxa"/>
            <w:vAlign w:val="center"/>
          </w:tcPr>
          <w:p w:rsidR="00CC1E0A" w:rsidRDefault="00B47DD8">
            <w:pPr>
              <w:jc w:val="center"/>
            </w:pPr>
            <w:r>
              <w:rPr>
                <w:color w:val="000000"/>
                <w:sz w:val="24"/>
              </w:rPr>
              <w:t>祁禾</w:t>
            </w:r>
          </w:p>
        </w:tc>
        <w:tc>
          <w:tcPr>
            <w:tcW w:w="2835" w:type="dxa"/>
            <w:vAlign w:val="center"/>
          </w:tcPr>
          <w:p w:rsidR="00CC1E0A" w:rsidRDefault="00B47DD8">
            <w:pPr>
              <w:jc w:val="center"/>
            </w:pPr>
            <w:r>
              <w:rPr>
                <w:color w:val="000000"/>
                <w:sz w:val="24"/>
              </w:rPr>
              <w:t>本基金的基金经理、易方达新丝路灵活配置混合型证券投资基金的基金经理、易方达科汇灵活配置混合型证券投资基金的基金经理、易方达创新驱动灵活配置混合型证券投资基金的基金经理</w:t>
            </w:r>
          </w:p>
        </w:tc>
        <w:tc>
          <w:tcPr>
            <w:tcW w:w="851" w:type="dxa"/>
            <w:vAlign w:val="center"/>
          </w:tcPr>
          <w:p w:rsidR="00CC1E0A" w:rsidRDefault="00B47DD8">
            <w:pPr>
              <w:jc w:val="center"/>
            </w:pPr>
            <w:r>
              <w:rPr>
                <w:color w:val="000000"/>
                <w:sz w:val="24"/>
              </w:rPr>
              <w:t>2017-12-27</w:t>
            </w:r>
          </w:p>
        </w:tc>
        <w:tc>
          <w:tcPr>
            <w:tcW w:w="850" w:type="dxa"/>
            <w:vAlign w:val="center"/>
          </w:tcPr>
          <w:p w:rsidR="00CC1E0A" w:rsidRDefault="00B47DD8">
            <w:pPr>
              <w:jc w:val="center"/>
            </w:pPr>
            <w:r>
              <w:rPr>
                <w:color w:val="000000"/>
                <w:sz w:val="24"/>
              </w:rPr>
              <w:t>-</w:t>
            </w:r>
          </w:p>
        </w:tc>
        <w:tc>
          <w:tcPr>
            <w:tcW w:w="851" w:type="dxa"/>
            <w:vAlign w:val="center"/>
          </w:tcPr>
          <w:p w:rsidR="00CC1E0A" w:rsidRDefault="00B47DD8">
            <w:pPr>
              <w:jc w:val="center"/>
            </w:pPr>
            <w:r>
              <w:rPr>
                <w:color w:val="000000"/>
                <w:sz w:val="24"/>
              </w:rPr>
              <w:t>9</w:t>
            </w:r>
            <w:r>
              <w:rPr>
                <w:color w:val="000000"/>
                <w:sz w:val="24"/>
              </w:rPr>
              <w:t>年</w:t>
            </w:r>
          </w:p>
        </w:tc>
        <w:tc>
          <w:tcPr>
            <w:tcW w:w="2977" w:type="dxa"/>
            <w:vAlign w:val="center"/>
          </w:tcPr>
          <w:p w:rsidR="00CC1E0A" w:rsidRDefault="00B47DD8">
            <w:r>
              <w:rPr>
                <w:color w:val="000000"/>
                <w:sz w:val="24"/>
              </w:rPr>
              <w:t>硕士研究生，曾任华泰联合证券有限责任公司研究所研究员，博时基金管理有限公司研究部研究员、易方达基金管理有限公司行业研究员、易方达环保主题灵活配置混合型证券投资基金基金经理助理。</w:t>
            </w:r>
          </w:p>
        </w:tc>
      </w:tr>
    </w:tbl>
    <w:p w:rsidR="00CC1E0A" w:rsidRDefault="00B47DD8">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CC1E0A" w:rsidRDefault="00B47DD8">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CC1E0A" w:rsidRDefault="00B47DD8">
      <w:pPr>
        <w:spacing w:line="360" w:lineRule="auto"/>
        <w:ind w:firstLineChars="200" w:firstLine="480"/>
        <w:rPr>
          <w:color w:val="000000"/>
          <w:sz w:val="24"/>
          <w:szCs w:val="24"/>
        </w:rPr>
      </w:pPr>
      <w:r>
        <w:rPr>
          <w:color w:val="000000"/>
          <w:sz w:val="24"/>
          <w:szCs w:val="24"/>
        </w:rPr>
        <w:t>2019</w:t>
      </w:r>
      <w:r>
        <w:rPr>
          <w:color w:val="000000"/>
          <w:sz w:val="24"/>
          <w:szCs w:val="24"/>
        </w:rPr>
        <w:t>年三季度沪深</w:t>
      </w:r>
      <w:r>
        <w:rPr>
          <w:color w:val="000000"/>
          <w:sz w:val="24"/>
          <w:szCs w:val="24"/>
        </w:rPr>
        <w:t>300</w:t>
      </w:r>
      <w:r>
        <w:rPr>
          <w:color w:val="000000"/>
          <w:sz w:val="24"/>
          <w:szCs w:val="24"/>
        </w:rPr>
        <w:t>指数下跌</w:t>
      </w:r>
      <w:r>
        <w:rPr>
          <w:color w:val="000000"/>
          <w:sz w:val="24"/>
          <w:szCs w:val="24"/>
        </w:rPr>
        <w:t>0.29%</w:t>
      </w:r>
      <w:r>
        <w:rPr>
          <w:color w:val="000000"/>
          <w:sz w:val="24"/>
          <w:szCs w:val="24"/>
        </w:rPr>
        <w:t>，同期创业板综合指数上升</w:t>
      </w:r>
      <w:r>
        <w:rPr>
          <w:color w:val="000000"/>
          <w:sz w:val="24"/>
          <w:szCs w:val="24"/>
        </w:rPr>
        <w:t>5.20%</w:t>
      </w:r>
      <w:r>
        <w:rPr>
          <w:color w:val="000000"/>
          <w:sz w:val="24"/>
          <w:szCs w:val="24"/>
        </w:rPr>
        <w:t>，中证环保指数下跌</w:t>
      </w:r>
      <w:r>
        <w:rPr>
          <w:color w:val="000000"/>
          <w:sz w:val="24"/>
          <w:szCs w:val="24"/>
        </w:rPr>
        <w:t>2.74%</w:t>
      </w:r>
      <w:r>
        <w:rPr>
          <w:color w:val="000000"/>
          <w:sz w:val="24"/>
          <w:szCs w:val="24"/>
        </w:rPr>
        <w:t>。市场整体消化了二季度贸易战带来的负面影响，个股表现回归业绩驱动这一主线。</w:t>
      </w:r>
    </w:p>
    <w:p w:rsidR="00CC1E0A" w:rsidRDefault="00B47DD8">
      <w:pPr>
        <w:spacing w:line="360" w:lineRule="auto"/>
        <w:ind w:firstLineChars="200" w:firstLine="480"/>
        <w:rPr>
          <w:color w:val="000000"/>
          <w:sz w:val="24"/>
          <w:szCs w:val="24"/>
        </w:rPr>
      </w:pPr>
      <w:r>
        <w:rPr>
          <w:color w:val="000000"/>
          <w:sz w:val="24"/>
          <w:szCs w:val="24"/>
        </w:rPr>
        <w:t>本基金由于在年初提前识别了今年风电光伏和其他技术领域的投资机会，总体跑赢指数较多。</w:t>
      </w:r>
      <w:r>
        <w:rPr>
          <w:color w:val="000000"/>
          <w:sz w:val="24"/>
          <w:szCs w:val="24"/>
        </w:rPr>
        <w:t>2019</w:t>
      </w:r>
      <w:r>
        <w:rPr>
          <w:color w:val="000000"/>
          <w:sz w:val="24"/>
          <w:szCs w:val="24"/>
        </w:rPr>
        <w:t>年剩余时间本基金将持续沿着</w:t>
      </w:r>
      <w:r>
        <w:rPr>
          <w:color w:val="000000"/>
          <w:sz w:val="24"/>
          <w:szCs w:val="24"/>
        </w:rPr>
        <w:t>“</w:t>
      </w:r>
      <w:r>
        <w:rPr>
          <w:color w:val="000000"/>
          <w:sz w:val="24"/>
          <w:szCs w:val="24"/>
        </w:rPr>
        <w:t>清洁能源</w:t>
      </w:r>
      <w:r>
        <w:rPr>
          <w:color w:val="000000"/>
          <w:sz w:val="24"/>
          <w:szCs w:val="24"/>
        </w:rPr>
        <w:t>”</w:t>
      </w:r>
      <w:r>
        <w:rPr>
          <w:color w:val="000000"/>
          <w:sz w:val="24"/>
          <w:szCs w:val="24"/>
        </w:rPr>
        <w:t>和</w:t>
      </w:r>
      <w:r>
        <w:rPr>
          <w:color w:val="000000"/>
          <w:sz w:val="24"/>
          <w:szCs w:val="24"/>
        </w:rPr>
        <w:t>“</w:t>
      </w:r>
      <w:r>
        <w:rPr>
          <w:color w:val="000000"/>
          <w:sz w:val="24"/>
          <w:szCs w:val="24"/>
        </w:rPr>
        <w:t>技术进步</w:t>
      </w:r>
      <w:r>
        <w:rPr>
          <w:color w:val="000000"/>
          <w:sz w:val="24"/>
          <w:szCs w:val="24"/>
        </w:rPr>
        <w:t>”</w:t>
      </w:r>
      <w:r>
        <w:rPr>
          <w:color w:val="000000"/>
          <w:sz w:val="24"/>
          <w:szCs w:val="24"/>
        </w:rPr>
        <w:t>两个方向，以业绩为准绳，寻找受益标的。</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随着技术的进步，风电和光伏在部分地区已经实现平价上网，预计两年内在全球范围内基本实现和煤电同价，将迎来极大的发展机遇。这两个子行业未来将孕育较多的投资机会，本基金会重点关注。另外，随着环保倒逼和鼓励创新，中国的化工行业也会涌现出优秀的公司，本基金也会重点关注。</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1.365</w:t>
      </w:r>
      <w:r w:rsidRPr="006C56AA">
        <w:rPr>
          <w:color w:val="000000"/>
          <w:sz w:val="24"/>
          <w:szCs w:val="24"/>
        </w:rPr>
        <w:t>元，本报告期份额净值增长率为</w:t>
      </w:r>
      <w:r w:rsidRPr="006C56AA">
        <w:rPr>
          <w:color w:val="000000"/>
          <w:sz w:val="24"/>
          <w:szCs w:val="24"/>
        </w:rPr>
        <w:t>11.79%</w:t>
      </w:r>
      <w:r w:rsidRPr="006C56AA">
        <w:rPr>
          <w:color w:val="000000"/>
          <w:sz w:val="24"/>
          <w:szCs w:val="24"/>
        </w:rPr>
        <w:t>，同期业绩比较基准收益率为</w:t>
      </w:r>
      <w:r w:rsidRPr="006C56AA">
        <w:rPr>
          <w:color w:val="000000"/>
          <w:sz w:val="24"/>
          <w:szCs w:val="24"/>
        </w:rPr>
        <w:t>-1.55%</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217,539,551.81</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89.93</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217,539,551.81</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89.93</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20,597,154.77</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8.51</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3,771,068.59</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1.56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241,907,775.17</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210,486,273.74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87.91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2,139,240.40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0.89</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374,119.47</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0.16</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38,266.20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0.02</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4,501,652.00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1.88</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217,539,551.81</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90.85</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CC1E0A">
        <w:tc>
          <w:tcPr>
            <w:tcW w:w="851" w:type="dxa"/>
            <w:vAlign w:val="center"/>
          </w:tcPr>
          <w:p w:rsidR="00CC1E0A" w:rsidRDefault="00B47DD8">
            <w:pPr>
              <w:jc w:val="center"/>
            </w:pPr>
            <w:r>
              <w:rPr>
                <w:color w:val="000000"/>
                <w:kern w:val="0"/>
                <w:sz w:val="24"/>
                <w:szCs w:val="24"/>
              </w:rPr>
              <w:t>1</w:t>
            </w:r>
          </w:p>
        </w:tc>
        <w:tc>
          <w:tcPr>
            <w:tcW w:w="1276" w:type="dxa"/>
            <w:vAlign w:val="center"/>
          </w:tcPr>
          <w:p w:rsidR="00CC1E0A" w:rsidRDefault="00B47DD8">
            <w:pPr>
              <w:jc w:val="center"/>
            </w:pPr>
            <w:r>
              <w:rPr>
                <w:color w:val="000000"/>
                <w:kern w:val="0"/>
                <w:sz w:val="24"/>
                <w:szCs w:val="24"/>
              </w:rPr>
              <w:t>002202</w:t>
            </w:r>
          </w:p>
        </w:tc>
        <w:tc>
          <w:tcPr>
            <w:tcW w:w="1418" w:type="dxa"/>
            <w:vAlign w:val="center"/>
          </w:tcPr>
          <w:p w:rsidR="00CC1E0A" w:rsidRDefault="00B47DD8">
            <w:pPr>
              <w:jc w:val="center"/>
            </w:pPr>
            <w:r>
              <w:rPr>
                <w:color w:val="000000"/>
                <w:kern w:val="0"/>
                <w:sz w:val="24"/>
                <w:szCs w:val="24"/>
              </w:rPr>
              <w:t>金风科技</w:t>
            </w:r>
          </w:p>
        </w:tc>
        <w:tc>
          <w:tcPr>
            <w:tcW w:w="1701" w:type="dxa"/>
            <w:vAlign w:val="center"/>
          </w:tcPr>
          <w:p w:rsidR="00CC1E0A" w:rsidRDefault="00B47DD8">
            <w:pPr>
              <w:jc w:val="right"/>
            </w:pPr>
            <w:r>
              <w:rPr>
                <w:color w:val="000000"/>
                <w:kern w:val="0"/>
                <w:sz w:val="24"/>
                <w:szCs w:val="24"/>
              </w:rPr>
              <w:t>1,586,235</w:t>
            </w:r>
          </w:p>
        </w:tc>
        <w:tc>
          <w:tcPr>
            <w:tcW w:w="1984" w:type="dxa"/>
            <w:vAlign w:val="center"/>
          </w:tcPr>
          <w:p w:rsidR="00CC1E0A" w:rsidRDefault="00B47DD8">
            <w:pPr>
              <w:jc w:val="right"/>
            </w:pPr>
            <w:r>
              <w:rPr>
                <w:color w:val="000000"/>
                <w:kern w:val="0"/>
                <w:sz w:val="24"/>
                <w:szCs w:val="24"/>
              </w:rPr>
              <w:t>19,859,662.20</w:t>
            </w:r>
          </w:p>
        </w:tc>
        <w:tc>
          <w:tcPr>
            <w:tcW w:w="1559" w:type="dxa"/>
            <w:vAlign w:val="center"/>
          </w:tcPr>
          <w:p w:rsidR="00CC1E0A" w:rsidRDefault="00B47DD8">
            <w:pPr>
              <w:jc w:val="right"/>
            </w:pPr>
            <w:r>
              <w:rPr>
                <w:color w:val="000000"/>
                <w:kern w:val="0"/>
                <w:sz w:val="24"/>
                <w:szCs w:val="24"/>
              </w:rPr>
              <w:t>8.29</w:t>
            </w:r>
          </w:p>
        </w:tc>
      </w:tr>
      <w:tr w:rsidR="00CC1E0A">
        <w:tc>
          <w:tcPr>
            <w:tcW w:w="851" w:type="dxa"/>
            <w:vAlign w:val="center"/>
          </w:tcPr>
          <w:p w:rsidR="00CC1E0A" w:rsidRDefault="00B47DD8">
            <w:pPr>
              <w:jc w:val="center"/>
            </w:pPr>
            <w:r>
              <w:rPr>
                <w:color w:val="000000"/>
                <w:kern w:val="0"/>
                <w:sz w:val="24"/>
                <w:szCs w:val="24"/>
              </w:rPr>
              <w:t>2</w:t>
            </w:r>
          </w:p>
        </w:tc>
        <w:tc>
          <w:tcPr>
            <w:tcW w:w="1276" w:type="dxa"/>
            <w:vAlign w:val="center"/>
          </w:tcPr>
          <w:p w:rsidR="00CC1E0A" w:rsidRDefault="00B47DD8">
            <w:pPr>
              <w:jc w:val="center"/>
            </w:pPr>
            <w:r>
              <w:rPr>
                <w:color w:val="000000"/>
                <w:kern w:val="0"/>
                <w:sz w:val="24"/>
                <w:szCs w:val="24"/>
              </w:rPr>
              <w:t>000333</w:t>
            </w:r>
          </w:p>
        </w:tc>
        <w:tc>
          <w:tcPr>
            <w:tcW w:w="1418" w:type="dxa"/>
            <w:vAlign w:val="center"/>
          </w:tcPr>
          <w:p w:rsidR="00CC1E0A" w:rsidRDefault="00B47DD8">
            <w:pPr>
              <w:jc w:val="center"/>
            </w:pPr>
            <w:r>
              <w:rPr>
                <w:color w:val="000000"/>
                <w:kern w:val="0"/>
                <w:sz w:val="24"/>
                <w:szCs w:val="24"/>
              </w:rPr>
              <w:t>美的集团</w:t>
            </w:r>
          </w:p>
        </w:tc>
        <w:tc>
          <w:tcPr>
            <w:tcW w:w="1701" w:type="dxa"/>
            <w:vAlign w:val="center"/>
          </w:tcPr>
          <w:p w:rsidR="00CC1E0A" w:rsidRDefault="00B47DD8">
            <w:pPr>
              <w:jc w:val="right"/>
            </w:pPr>
            <w:r>
              <w:rPr>
                <w:color w:val="000000"/>
                <w:kern w:val="0"/>
                <w:sz w:val="24"/>
                <w:szCs w:val="24"/>
              </w:rPr>
              <w:t>361,300</w:t>
            </w:r>
          </w:p>
        </w:tc>
        <w:tc>
          <w:tcPr>
            <w:tcW w:w="1984" w:type="dxa"/>
            <w:vAlign w:val="center"/>
          </w:tcPr>
          <w:p w:rsidR="00CC1E0A" w:rsidRDefault="00B47DD8">
            <w:pPr>
              <w:jc w:val="right"/>
            </w:pPr>
            <w:r>
              <w:rPr>
                <w:color w:val="000000"/>
                <w:kern w:val="0"/>
                <w:sz w:val="24"/>
                <w:szCs w:val="24"/>
              </w:rPr>
              <w:t>18,462,430.00</w:t>
            </w:r>
          </w:p>
        </w:tc>
        <w:tc>
          <w:tcPr>
            <w:tcW w:w="1559" w:type="dxa"/>
            <w:vAlign w:val="center"/>
          </w:tcPr>
          <w:p w:rsidR="00CC1E0A" w:rsidRDefault="00B47DD8">
            <w:pPr>
              <w:jc w:val="right"/>
            </w:pPr>
            <w:r>
              <w:rPr>
                <w:color w:val="000000"/>
                <w:kern w:val="0"/>
                <w:sz w:val="24"/>
                <w:szCs w:val="24"/>
              </w:rPr>
              <w:t>7.71</w:t>
            </w:r>
          </w:p>
        </w:tc>
      </w:tr>
      <w:tr w:rsidR="00CC1E0A">
        <w:tc>
          <w:tcPr>
            <w:tcW w:w="851" w:type="dxa"/>
            <w:vAlign w:val="center"/>
          </w:tcPr>
          <w:p w:rsidR="00CC1E0A" w:rsidRDefault="00B47DD8">
            <w:pPr>
              <w:jc w:val="center"/>
            </w:pPr>
            <w:r>
              <w:rPr>
                <w:color w:val="000000"/>
                <w:kern w:val="0"/>
                <w:sz w:val="24"/>
                <w:szCs w:val="24"/>
              </w:rPr>
              <w:t>3</w:t>
            </w:r>
          </w:p>
        </w:tc>
        <w:tc>
          <w:tcPr>
            <w:tcW w:w="1276" w:type="dxa"/>
            <w:vAlign w:val="center"/>
          </w:tcPr>
          <w:p w:rsidR="00CC1E0A" w:rsidRDefault="00B47DD8">
            <w:pPr>
              <w:jc w:val="center"/>
            </w:pPr>
            <w:r>
              <w:rPr>
                <w:color w:val="000000"/>
                <w:kern w:val="0"/>
                <w:sz w:val="24"/>
                <w:szCs w:val="24"/>
              </w:rPr>
              <w:t>600486</w:t>
            </w:r>
          </w:p>
        </w:tc>
        <w:tc>
          <w:tcPr>
            <w:tcW w:w="1418" w:type="dxa"/>
            <w:vAlign w:val="center"/>
          </w:tcPr>
          <w:p w:rsidR="00CC1E0A" w:rsidRDefault="00B47DD8">
            <w:pPr>
              <w:jc w:val="center"/>
            </w:pPr>
            <w:r>
              <w:rPr>
                <w:color w:val="000000"/>
                <w:kern w:val="0"/>
                <w:sz w:val="24"/>
                <w:szCs w:val="24"/>
              </w:rPr>
              <w:t>扬农化工</w:t>
            </w:r>
          </w:p>
        </w:tc>
        <w:tc>
          <w:tcPr>
            <w:tcW w:w="1701" w:type="dxa"/>
            <w:vAlign w:val="center"/>
          </w:tcPr>
          <w:p w:rsidR="00CC1E0A" w:rsidRDefault="00B47DD8">
            <w:pPr>
              <w:jc w:val="right"/>
            </w:pPr>
            <w:r>
              <w:rPr>
                <w:color w:val="000000"/>
                <w:kern w:val="0"/>
                <w:sz w:val="24"/>
                <w:szCs w:val="24"/>
              </w:rPr>
              <w:t>367,400</w:t>
            </w:r>
          </w:p>
        </w:tc>
        <w:tc>
          <w:tcPr>
            <w:tcW w:w="1984" w:type="dxa"/>
            <w:vAlign w:val="center"/>
          </w:tcPr>
          <w:p w:rsidR="00CC1E0A" w:rsidRDefault="00B47DD8">
            <w:pPr>
              <w:jc w:val="right"/>
            </w:pPr>
            <w:r>
              <w:rPr>
                <w:color w:val="000000"/>
                <w:kern w:val="0"/>
                <w:sz w:val="24"/>
                <w:szCs w:val="24"/>
              </w:rPr>
              <w:t>18,296,520.00</w:t>
            </w:r>
          </w:p>
        </w:tc>
        <w:tc>
          <w:tcPr>
            <w:tcW w:w="1559" w:type="dxa"/>
            <w:vAlign w:val="center"/>
          </w:tcPr>
          <w:p w:rsidR="00CC1E0A" w:rsidRDefault="00B47DD8">
            <w:pPr>
              <w:jc w:val="right"/>
            </w:pPr>
            <w:r>
              <w:rPr>
                <w:color w:val="000000"/>
                <w:kern w:val="0"/>
                <w:sz w:val="24"/>
                <w:szCs w:val="24"/>
              </w:rPr>
              <w:t>7.64</w:t>
            </w:r>
          </w:p>
        </w:tc>
      </w:tr>
      <w:tr w:rsidR="00CC1E0A">
        <w:tc>
          <w:tcPr>
            <w:tcW w:w="851" w:type="dxa"/>
            <w:vAlign w:val="center"/>
          </w:tcPr>
          <w:p w:rsidR="00CC1E0A" w:rsidRDefault="00B47DD8">
            <w:pPr>
              <w:jc w:val="center"/>
            </w:pPr>
            <w:r>
              <w:rPr>
                <w:color w:val="000000"/>
                <w:kern w:val="0"/>
                <w:sz w:val="24"/>
                <w:szCs w:val="24"/>
              </w:rPr>
              <w:t>4</w:t>
            </w:r>
          </w:p>
        </w:tc>
        <w:tc>
          <w:tcPr>
            <w:tcW w:w="1276" w:type="dxa"/>
            <w:vAlign w:val="center"/>
          </w:tcPr>
          <w:p w:rsidR="00CC1E0A" w:rsidRDefault="00B47DD8">
            <w:pPr>
              <w:jc w:val="center"/>
            </w:pPr>
            <w:r>
              <w:rPr>
                <w:color w:val="000000"/>
                <w:kern w:val="0"/>
                <w:sz w:val="24"/>
                <w:szCs w:val="24"/>
              </w:rPr>
              <w:t>601012</w:t>
            </w:r>
          </w:p>
        </w:tc>
        <w:tc>
          <w:tcPr>
            <w:tcW w:w="1418" w:type="dxa"/>
            <w:vAlign w:val="center"/>
          </w:tcPr>
          <w:p w:rsidR="00CC1E0A" w:rsidRDefault="00B47DD8">
            <w:pPr>
              <w:jc w:val="center"/>
            </w:pPr>
            <w:r>
              <w:rPr>
                <w:color w:val="000000"/>
                <w:kern w:val="0"/>
                <w:sz w:val="24"/>
                <w:szCs w:val="24"/>
              </w:rPr>
              <w:t>隆基股份</w:t>
            </w:r>
          </w:p>
        </w:tc>
        <w:tc>
          <w:tcPr>
            <w:tcW w:w="1701" w:type="dxa"/>
            <w:vAlign w:val="center"/>
          </w:tcPr>
          <w:p w:rsidR="00CC1E0A" w:rsidRDefault="00B47DD8">
            <w:pPr>
              <w:jc w:val="right"/>
            </w:pPr>
            <w:r>
              <w:rPr>
                <w:color w:val="000000"/>
                <w:kern w:val="0"/>
                <w:sz w:val="24"/>
                <w:szCs w:val="24"/>
              </w:rPr>
              <w:t>653,575</w:t>
            </w:r>
          </w:p>
        </w:tc>
        <w:tc>
          <w:tcPr>
            <w:tcW w:w="1984" w:type="dxa"/>
            <w:vAlign w:val="center"/>
          </w:tcPr>
          <w:p w:rsidR="00CC1E0A" w:rsidRDefault="00B47DD8">
            <w:pPr>
              <w:jc w:val="right"/>
            </w:pPr>
            <w:r>
              <w:rPr>
                <w:color w:val="000000"/>
                <w:kern w:val="0"/>
                <w:sz w:val="24"/>
                <w:szCs w:val="24"/>
              </w:rPr>
              <w:t>17,143,272.25</w:t>
            </w:r>
          </w:p>
        </w:tc>
        <w:tc>
          <w:tcPr>
            <w:tcW w:w="1559" w:type="dxa"/>
            <w:vAlign w:val="center"/>
          </w:tcPr>
          <w:p w:rsidR="00CC1E0A" w:rsidRDefault="00B47DD8">
            <w:pPr>
              <w:jc w:val="right"/>
            </w:pPr>
            <w:r>
              <w:rPr>
                <w:color w:val="000000"/>
                <w:kern w:val="0"/>
                <w:sz w:val="24"/>
                <w:szCs w:val="24"/>
              </w:rPr>
              <w:t>7.16</w:t>
            </w:r>
          </w:p>
        </w:tc>
      </w:tr>
      <w:tr w:rsidR="00CC1E0A">
        <w:tc>
          <w:tcPr>
            <w:tcW w:w="851" w:type="dxa"/>
            <w:vAlign w:val="center"/>
          </w:tcPr>
          <w:p w:rsidR="00CC1E0A" w:rsidRDefault="00B47DD8">
            <w:pPr>
              <w:jc w:val="center"/>
            </w:pPr>
            <w:r>
              <w:rPr>
                <w:color w:val="000000"/>
                <w:kern w:val="0"/>
                <w:sz w:val="24"/>
                <w:szCs w:val="24"/>
              </w:rPr>
              <w:t>5</w:t>
            </w:r>
          </w:p>
        </w:tc>
        <w:tc>
          <w:tcPr>
            <w:tcW w:w="1276" w:type="dxa"/>
            <w:vAlign w:val="center"/>
          </w:tcPr>
          <w:p w:rsidR="00CC1E0A" w:rsidRDefault="00B47DD8">
            <w:pPr>
              <w:jc w:val="center"/>
            </w:pPr>
            <w:r>
              <w:rPr>
                <w:color w:val="000000"/>
                <w:kern w:val="0"/>
                <w:sz w:val="24"/>
                <w:szCs w:val="24"/>
              </w:rPr>
              <w:t>000651</w:t>
            </w:r>
          </w:p>
        </w:tc>
        <w:tc>
          <w:tcPr>
            <w:tcW w:w="1418" w:type="dxa"/>
            <w:vAlign w:val="center"/>
          </w:tcPr>
          <w:p w:rsidR="00CC1E0A" w:rsidRDefault="00B47DD8">
            <w:pPr>
              <w:jc w:val="center"/>
            </w:pPr>
            <w:r>
              <w:rPr>
                <w:color w:val="000000"/>
                <w:kern w:val="0"/>
                <w:sz w:val="24"/>
                <w:szCs w:val="24"/>
              </w:rPr>
              <w:t>格力电器</w:t>
            </w:r>
          </w:p>
        </w:tc>
        <w:tc>
          <w:tcPr>
            <w:tcW w:w="1701" w:type="dxa"/>
            <w:vAlign w:val="center"/>
          </w:tcPr>
          <w:p w:rsidR="00CC1E0A" w:rsidRDefault="00B47DD8">
            <w:pPr>
              <w:jc w:val="right"/>
            </w:pPr>
            <w:r>
              <w:rPr>
                <w:color w:val="000000"/>
                <w:kern w:val="0"/>
                <w:sz w:val="24"/>
                <w:szCs w:val="24"/>
              </w:rPr>
              <w:t>262,221</w:t>
            </w:r>
          </w:p>
        </w:tc>
        <w:tc>
          <w:tcPr>
            <w:tcW w:w="1984" w:type="dxa"/>
            <w:vAlign w:val="center"/>
          </w:tcPr>
          <w:p w:rsidR="00CC1E0A" w:rsidRDefault="00B47DD8">
            <w:pPr>
              <w:jc w:val="right"/>
            </w:pPr>
            <w:r>
              <w:rPr>
                <w:color w:val="000000"/>
                <w:kern w:val="0"/>
                <w:sz w:val="24"/>
                <w:szCs w:val="24"/>
              </w:rPr>
              <w:t>15,025,263.30</w:t>
            </w:r>
          </w:p>
        </w:tc>
        <w:tc>
          <w:tcPr>
            <w:tcW w:w="1559" w:type="dxa"/>
            <w:vAlign w:val="center"/>
          </w:tcPr>
          <w:p w:rsidR="00CC1E0A" w:rsidRDefault="00B47DD8">
            <w:pPr>
              <w:jc w:val="right"/>
            </w:pPr>
            <w:r>
              <w:rPr>
                <w:color w:val="000000"/>
                <w:kern w:val="0"/>
                <w:sz w:val="24"/>
                <w:szCs w:val="24"/>
              </w:rPr>
              <w:t>6.28</w:t>
            </w:r>
          </w:p>
        </w:tc>
      </w:tr>
      <w:tr w:rsidR="00CC1E0A">
        <w:tc>
          <w:tcPr>
            <w:tcW w:w="851" w:type="dxa"/>
            <w:vAlign w:val="center"/>
          </w:tcPr>
          <w:p w:rsidR="00CC1E0A" w:rsidRDefault="00B47DD8">
            <w:pPr>
              <w:jc w:val="center"/>
            </w:pPr>
            <w:r>
              <w:rPr>
                <w:color w:val="000000"/>
                <w:kern w:val="0"/>
                <w:sz w:val="24"/>
                <w:szCs w:val="24"/>
              </w:rPr>
              <w:t>6</w:t>
            </w:r>
          </w:p>
        </w:tc>
        <w:tc>
          <w:tcPr>
            <w:tcW w:w="1276" w:type="dxa"/>
            <w:vAlign w:val="center"/>
          </w:tcPr>
          <w:p w:rsidR="00CC1E0A" w:rsidRDefault="00B47DD8">
            <w:pPr>
              <w:jc w:val="center"/>
            </w:pPr>
            <w:r>
              <w:rPr>
                <w:color w:val="000000"/>
                <w:kern w:val="0"/>
                <w:sz w:val="24"/>
                <w:szCs w:val="24"/>
              </w:rPr>
              <w:t>002531</w:t>
            </w:r>
          </w:p>
        </w:tc>
        <w:tc>
          <w:tcPr>
            <w:tcW w:w="1418" w:type="dxa"/>
            <w:vAlign w:val="center"/>
          </w:tcPr>
          <w:p w:rsidR="00CC1E0A" w:rsidRDefault="00B47DD8">
            <w:pPr>
              <w:jc w:val="center"/>
            </w:pPr>
            <w:r>
              <w:rPr>
                <w:color w:val="000000"/>
                <w:kern w:val="0"/>
                <w:sz w:val="24"/>
                <w:szCs w:val="24"/>
              </w:rPr>
              <w:t>天顺风能</w:t>
            </w:r>
          </w:p>
        </w:tc>
        <w:tc>
          <w:tcPr>
            <w:tcW w:w="1701" w:type="dxa"/>
            <w:vAlign w:val="center"/>
          </w:tcPr>
          <w:p w:rsidR="00CC1E0A" w:rsidRDefault="00B47DD8">
            <w:pPr>
              <w:jc w:val="right"/>
            </w:pPr>
            <w:r>
              <w:rPr>
                <w:color w:val="000000"/>
                <w:kern w:val="0"/>
                <w:sz w:val="24"/>
                <w:szCs w:val="24"/>
              </w:rPr>
              <w:t>1,893,155</w:t>
            </w:r>
          </w:p>
        </w:tc>
        <w:tc>
          <w:tcPr>
            <w:tcW w:w="1984" w:type="dxa"/>
            <w:vAlign w:val="center"/>
          </w:tcPr>
          <w:p w:rsidR="00CC1E0A" w:rsidRDefault="00B47DD8">
            <w:pPr>
              <w:jc w:val="right"/>
            </w:pPr>
            <w:r>
              <w:rPr>
                <w:color w:val="000000"/>
                <w:kern w:val="0"/>
                <w:sz w:val="24"/>
                <w:szCs w:val="24"/>
              </w:rPr>
              <w:t>13,214,221.90</w:t>
            </w:r>
          </w:p>
        </w:tc>
        <w:tc>
          <w:tcPr>
            <w:tcW w:w="1559" w:type="dxa"/>
            <w:vAlign w:val="center"/>
          </w:tcPr>
          <w:p w:rsidR="00CC1E0A" w:rsidRDefault="00B47DD8">
            <w:pPr>
              <w:jc w:val="right"/>
            </w:pPr>
            <w:r>
              <w:rPr>
                <w:color w:val="000000"/>
                <w:kern w:val="0"/>
                <w:sz w:val="24"/>
                <w:szCs w:val="24"/>
              </w:rPr>
              <w:t>5.52</w:t>
            </w:r>
          </w:p>
        </w:tc>
      </w:tr>
      <w:tr w:rsidR="00CC1E0A">
        <w:tc>
          <w:tcPr>
            <w:tcW w:w="851" w:type="dxa"/>
            <w:vAlign w:val="center"/>
          </w:tcPr>
          <w:p w:rsidR="00CC1E0A" w:rsidRDefault="00B47DD8">
            <w:pPr>
              <w:jc w:val="center"/>
            </w:pPr>
            <w:r>
              <w:rPr>
                <w:color w:val="000000"/>
                <w:kern w:val="0"/>
                <w:sz w:val="24"/>
                <w:szCs w:val="24"/>
              </w:rPr>
              <w:t>7</w:t>
            </w:r>
          </w:p>
        </w:tc>
        <w:tc>
          <w:tcPr>
            <w:tcW w:w="1276" w:type="dxa"/>
            <w:vAlign w:val="center"/>
          </w:tcPr>
          <w:p w:rsidR="00CC1E0A" w:rsidRDefault="00B47DD8">
            <w:pPr>
              <w:jc w:val="center"/>
            </w:pPr>
            <w:r>
              <w:rPr>
                <w:color w:val="000000"/>
                <w:kern w:val="0"/>
                <w:sz w:val="24"/>
                <w:szCs w:val="24"/>
              </w:rPr>
              <w:t>002396</w:t>
            </w:r>
          </w:p>
        </w:tc>
        <w:tc>
          <w:tcPr>
            <w:tcW w:w="1418" w:type="dxa"/>
            <w:vAlign w:val="center"/>
          </w:tcPr>
          <w:p w:rsidR="00CC1E0A" w:rsidRDefault="00B47DD8">
            <w:pPr>
              <w:jc w:val="center"/>
            </w:pPr>
            <w:r>
              <w:rPr>
                <w:color w:val="000000"/>
                <w:kern w:val="0"/>
                <w:sz w:val="24"/>
                <w:szCs w:val="24"/>
              </w:rPr>
              <w:t>星网锐捷</w:t>
            </w:r>
          </w:p>
        </w:tc>
        <w:tc>
          <w:tcPr>
            <w:tcW w:w="1701" w:type="dxa"/>
            <w:vAlign w:val="center"/>
          </w:tcPr>
          <w:p w:rsidR="00CC1E0A" w:rsidRDefault="00B47DD8">
            <w:pPr>
              <w:jc w:val="right"/>
            </w:pPr>
            <w:r>
              <w:rPr>
                <w:color w:val="000000"/>
                <w:kern w:val="0"/>
                <w:sz w:val="24"/>
                <w:szCs w:val="24"/>
              </w:rPr>
              <w:t>400,400</w:t>
            </w:r>
          </w:p>
        </w:tc>
        <w:tc>
          <w:tcPr>
            <w:tcW w:w="1984" w:type="dxa"/>
            <w:vAlign w:val="center"/>
          </w:tcPr>
          <w:p w:rsidR="00CC1E0A" w:rsidRDefault="00B47DD8">
            <w:pPr>
              <w:jc w:val="right"/>
            </w:pPr>
            <w:r>
              <w:rPr>
                <w:color w:val="000000"/>
                <w:kern w:val="0"/>
                <w:sz w:val="24"/>
                <w:szCs w:val="24"/>
              </w:rPr>
              <w:t>12,332,320.00</w:t>
            </w:r>
          </w:p>
        </w:tc>
        <w:tc>
          <w:tcPr>
            <w:tcW w:w="1559" w:type="dxa"/>
            <w:vAlign w:val="center"/>
          </w:tcPr>
          <w:p w:rsidR="00CC1E0A" w:rsidRDefault="00B47DD8">
            <w:pPr>
              <w:jc w:val="right"/>
            </w:pPr>
            <w:r>
              <w:rPr>
                <w:color w:val="000000"/>
                <w:kern w:val="0"/>
                <w:sz w:val="24"/>
                <w:szCs w:val="24"/>
              </w:rPr>
              <w:t>5.15</w:t>
            </w:r>
          </w:p>
        </w:tc>
      </w:tr>
      <w:tr w:rsidR="00CC1E0A">
        <w:tc>
          <w:tcPr>
            <w:tcW w:w="851" w:type="dxa"/>
            <w:vAlign w:val="center"/>
          </w:tcPr>
          <w:p w:rsidR="00CC1E0A" w:rsidRDefault="00B47DD8">
            <w:pPr>
              <w:jc w:val="center"/>
            </w:pPr>
            <w:r>
              <w:rPr>
                <w:color w:val="000000"/>
                <w:kern w:val="0"/>
                <w:sz w:val="24"/>
                <w:szCs w:val="24"/>
              </w:rPr>
              <w:t>8</w:t>
            </w:r>
          </w:p>
        </w:tc>
        <w:tc>
          <w:tcPr>
            <w:tcW w:w="1276" w:type="dxa"/>
            <w:vAlign w:val="center"/>
          </w:tcPr>
          <w:p w:rsidR="00CC1E0A" w:rsidRDefault="00B47DD8">
            <w:pPr>
              <w:jc w:val="center"/>
            </w:pPr>
            <w:r>
              <w:rPr>
                <w:color w:val="000000"/>
                <w:kern w:val="0"/>
                <w:sz w:val="24"/>
                <w:szCs w:val="24"/>
              </w:rPr>
              <w:t>000733</w:t>
            </w:r>
          </w:p>
        </w:tc>
        <w:tc>
          <w:tcPr>
            <w:tcW w:w="1418" w:type="dxa"/>
            <w:vAlign w:val="center"/>
          </w:tcPr>
          <w:p w:rsidR="00CC1E0A" w:rsidRDefault="00B47DD8">
            <w:pPr>
              <w:jc w:val="center"/>
            </w:pPr>
            <w:r>
              <w:rPr>
                <w:color w:val="000000"/>
                <w:kern w:val="0"/>
                <w:sz w:val="24"/>
                <w:szCs w:val="24"/>
              </w:rPr>
              <w:t>振华科技</w:t>
            </w:r>
          </w:p>
        </w:tc>
        <w:tc>
          <w:tcPr>
            <w:tcW w:w="1701" w:type="dxa"/>
            <w:vAlign w:val="center"/>
          </w:tcPr>
          <w:p w:rsidR="00CC1E0A" w:rsidRDefault="00B47DD8">
            <w:pPr>
              <w:jc w:val="right"/>
            </w:pPr>
            <w:r>
              <w:rPr>
                <w:color w:val="000000"/>
                <w:kern w:val="0"/>
                <w:sz w:val="24"/>
                <w:szCs w:val="24"/>
              </w:rPr>
              <w:t>751,928</w:t>
            </w:r>
          </w:p>
        </w:tc>
        <w:tc>
          <w:tcPr>
            <w:tcW w:w="1984" w:type="dxa"/>
            <w:vAlign w:val="center"/>
          </w:tcPr>
          <w:p w:rsidR="00CC1E0A" w:rsidRDefault="00B47DD8">
            <w:pPr>
              <w:jc w:val="right"/>
            </w:pPr>
            <w:r>
              <w:rPr>
                <w:color w:val="000000"/>
                <w:kern w:val="0"/>
                <w:sz w:val="24"/>
                <w:szCs w:val="24"/>
              </w:rPr>
              <w:t>11,940,616.64</w:t>
            </w:r>
          </w:p>
        </w:tc>
        <w:tc>
          <w:tcPr>
            <w:tcW w:w="1559" w:type="dxa"/>
            <w:vAlign w:val="center"/>
          </w:tcPr>
          <w:p w:rsidR="00CC1E0A" w:rsidRDefault="00B47DD8">
            <w:pPr>
              <w:jc w:val="right"/>
            </w:pPr>
            <w:r>
              <w:rPr>
                <w:color w:val="000000"/>
                <w:kern w:val="0"/>
                <w:sz w:val="24"/>
                <w:szCs w:val="24"/>
              </w:rPr>
              <w:t>4.99</w:t>
            </w:r>
          </w:p>
        </w:tc>
      </w:tr>
      <w:tr w:rsidR="00CC1E0A">
        <w:tc>
          <w:tcPr>
            <w:tcW w:w="851" w:type="dxa"/>
            <w:vAlign w:val="center"/>
          </w:tcPr>
          <w:p w:rsidR="00CC1E0A" w:rsidRDefault="00B47DD8">
            <w:pPr>
              <w:jc w:val="center"/>
            </w:pPr>
            <w:r>
              <w:rPr>
                <w:color w:val="000000"/>
                <w:kern w:val="0"/>
                <w:sz w:val="24"/>
                <w:szCs w:val="24"/>
              </w:rPr>
              <w:t>9</w:t>
            </w:r>
          </w:p>
        </w:tc>
        <w:tc>
          <w:tcPr>
            <w:tcW w:w="1276" w:type="dxa"/>
            <w:vAlign w:val="center"/>
          </w:tcPr>
          <w:p w:rsidR="00CC1E0A" w:rsidRDefault="00B47DD8">
            <w:pPr>
              <w:jc w:val="center"/>
            </w:pPr>
            <w:r>
              <w:rPr>
                <w:color w:val="000000"/>
                <w:kern w:val="0"/>
                <w:sz w:val="24"/>
                <w:szCs w:val="24"/>
              </w:rPr>
              <w:t>300316</w:t>
            </w:r>
          </w:p>
        </w:tc>
        <w:tc>
          <w:tcPr>
            <w:tcW w:w="1418" w:type="dxa"/>
            <w:vAlign w:val="center"/>
          </w:tcPr>
          <w:p w:rsidR="00CC1E0A" w:rsidRDefault="00B47DD8">
            <w:pPr>
              <w:jc w:val="center"/>
            </w:pPr>
            <w:r>
              <w:rPr>
                <w:color w:val="000000"/>
                <w:kern w:val="0"/>
                <w:sz w:val="24"/>
                <w:szCs w:val="24"/>
              </w:rPr>
              <w:t>晶盛机电</w:t>
            </w:r>
          </w:p>
        </w:tc>
        <w:tc>
          <w:tcPr>
            <w:tcW w:w="1701" w:type="dxa"/>
            <w:vAlign w:val="center"/>
          </w:tcPr>
          <w:p w:rsidR="00CC1E0A" w:rsidRDefault="00B47DD8">
            <w:pPr>
              <w:jc w:val="right"/>
            </w:pPr>
            <w:r>
              <w:rPr>
                <w:color w:val="000000"/>
                <w:kern w:val="0"/>
                <w:sz w:val="24"/>
                <w:szCs w:val="24"/>
              </w:rPr>
              <w:t>800,100</w:t>
            </w:r>
          </w:p>
        </w:tc>
        <w:tc>
          <w:tcPr>
            <w:tcW w:w="1984" w:type="dxa"/>
            <w:vAlign w:val="center"/>
          </w:tcPr>
          <w:p w:rsidR="00CC1E0A" w:rsidRDefault="00B47DD8">
            <w:pPr>
              <w:jc w:val="right"/>
            </w:pPr>
            <w:r>
              <w:rPr>
                <w:color w:val="000000"/>
                <w:kern w:val="0"/>
                <w:sz w:val="24"/>
                <w:szCs w:val="24"/>
              </w:rPr>
              <w:t>11,913,489.00</w:t>
            </w:r>
          </w:p>
        </w:tc>
        <w:tc>
          <w:tcPr>
            <w:tcW w:w="1559" w:type="dxa"/>
            <w:vAlign w:val="center"/>
          </w:tcPr>
          <w:p w:rsidR="00CC1E0A" w:rsidRDefault="00B47DD8">
            <w:pPr>
              <w:jc w:val="right"/>
            </w:pPr>
            <w:r>
              <w:rPr>
                <w:color w:val="000000"/>
                <w:kern w:val="0"/>
                <w:sz w:val="24"/>
                <w:szCs w:val="24"/>
              </w:rPr>
              <w:t>4.98</w:t>
            </w:r>
          </w:p>
        </w:tc>
      </w:tr>
      <w:tr w:rsidR="00CC1E0A">
        <w:tc>
          <w:tcPr>
            <w:tcW w:w="851" w:type="dxa"/>
            <w:vAlign w:val="center"/>
          </w:tcPr>
          <w:p w:rsidR="00CC1E0A" w:rsidRDefault="00B47DD8">
            <w:pPr>
              <w:jc w:val="center"/>
            </w:pPr>
            <w:r>
              <w:rPr>
                <w:color w:val="000000"/>
                <w:kern w:val="0"/>
                <w:sz w:val="24"/>
                <w:szCs w:val="24"/>
              </w:rPr>
              <w:t>10</w:t>
            </w:r>
          </w:p>
        </w:tc>
        <w:tc>
          <w:tcPr>
            <w:tcW w:w="1276" w:type="dxa"/>
            <w:vAlign w:val="center"/>
          </w:tcPr>
          <w:p w:rsidR="00CC1E0A" w:rsidRDefault="00B47DD8">
            <w:pPr>
              <w:jc w:val="center"/>
            </w:pPr>
            <w:r>
              <w:rPr>
                <w:color w:val="000000"/>
                <w:kern w:val="0"/>
                <w:sz w:val="24"/>
                <w:szCs w:val="24"/>
              </w:rPr>
              <w:t>300443</w:t>
            </w:r>
          </w:p>
        </w:tc>
        <w:tc>
          <w:tcPr>
            <w:tcW w:w="1418" w:type="dxa"/>
            <w:vAlign w:val="center"/>
          </w:tcPr>
          <w:p w:rsidR="00CC1E0A" w:rsidRDefault="00B47DD8">
            <w:pPr>
              <w:jc w:val="center"/>
            </w:pPr>
            <w:r>
              <w:rPr>
                <w:color w:val="000000"/>
                <w:kern w:val="0"/>
                <w:sz w:val="24"/>
                <w:szCs w:val="24"/>
              </w:rPr>
              <w:t>金雷股份</w:t>
            </w:r>
          </w:p>
        </w:tc>
        <w:tc>
          <w:tcPr>
            <w:tcW w:w="1701" w:type="dxa"/>
            <w:vAlign w:val="center"/>
          </w:tcPr>
          <w:p w:rsidR="00CC1E0A" w:rsidRDefault="00B47DD8">
            <w:pPr>
              <w:jc w:val="right"/>
            </w:pPr>
            <w:r>
              <w:rPr>
                <w:color w:val="000000"/>
                <w:kern w:val="0"/>
                <w:sz w:val="24"/>
                <w:szCs w:val="24"/>
              </w:rPr>
              <w:t>750,024</w:t>
            </w:r>
          </w:p>
        </w:tc>
        <w:tc>
          <w:tcPr>
            <w:tcW w:w="1984" w:type="dxa"/>
            <w:vAlign w:val="center"/>
          </w:tcPr>
          <w:p w:rsidR="00CC1E0A" w:rsidRDefault="00B47DD8">
            <w:pPr>
              <w:jc w:val="right"/>
            </w:pPr>
            <w:r>
              <w:rPr>
                <w:color w:val="000000"/>
                <w:kern w:val="0"/>
                <w:sz w:val="24"/>
                <w:szCs w:val="24"/>
              </w:rPr>
              <w:t>11,775,376.80</w:t>
            </w:r>
          </w:p>
        </w:tc>
        <w:tc>
          <w:tcPr>
            <w:tcW w:w="1559" w:type="dxa"/>
            <w:vAlign w:val="center"/>
          </w:tcPr>
          <w:p w:rsidR="00CC1E0A" w:rsidRDefault="00B47DD8">
            <w:pPr>
              <w:jc w:val="right"/>
            </w:pPr>
            <w:r>
              <w:rPr>
                <w:color w:val="000000"/>
                <w:kern w:val="0"/>
                <w:sz w:val="24"/>
                <w:szCs w:val="24"/>
              </w:rPr>
              <w:t>4.92</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p w:rsidR="00750D48" w:rsidRPr="00232B03" w:rsidRDefault="00CA4677" w:rsidP="00403A06">
      <w:pPr>
        <w:spacing w:line="360" w:lineRule="auto"/>
        <w:ind w:firstLineChars="200" w:firstLine="480"/>
        <w:rPr>
          <w:color w:val="000000"/>
          <w:sz w:val="24"/>
          <w:szCs w:val="24"/>
        </w:rPr>
      </w:pPr>
      <w:r w:rsidRPr="00403A06">
        <w:rPr>
          <w:color w:val="000000"/>
          <w:sz w:val="24"/>
          <w:szCs w:val="24"/>
        </w:rPr>
        <w:t>本基金本报告期末未持有债券。</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本基金本报告期末未持有债券。</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5.11.1本基金投资的前十名证券的发行主体本期未出现被监管部门立案调查，或在报告编制日前一年内受到公开谴责、处罚的情形。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102,113.40</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2,409,076.34</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4,315.24</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1,255,563.61</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3,771,068.59</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本基金本报告期末未持有处于转股期的可转换债券。</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本基金本报告期末前十名股票中不存在流通受限情况。</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186,473,814.45</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50,948,363.62</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62,051,754.31</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175,370,423.76</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8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8.1 </w:t>
      </w:r>
      <w:r w:rsidRPr="00264E55">
        <w:rPr>
          <w:rFonts w:ascii="宋体" w:hAnsi="宋体" w:hint="eastAsia"/>
          <w:b/>
          <w:bCs/>
          <w:color w:val="000000"/>
          <w:kern w:val="0"/>
          <w:sz w:val="24"/>
          <w:szCs w:val="24"/>
        </w:rPr>
        <w:t>备查文件目录</w:t>
      </w:r>
    </w:p>
    <w:p w:rsidR="00CC1E0A" w:rsidRDefault="00B47DD8">
      <w:pPr>
        <w:spacing w:line="360" w:lineRule="auto"/>
        <w:ind w:firstLineChars="200" w:firstLine="480"/>
        <w:rPr>
          <w:color w:val="000000"/>
          <w:sz w:val="24"/>
          <w:szCs w:val="24"/>
        </w:rPr>
      </w:pPr>
      <w:r>
        <w:rPr>
          <w:color w:val="000000"/>
          <w:sz w:val="24"/>
          <w:szCs w:val="24"/>
        </w:rPr>
        <w:t>1.</w:t>
      </w:r>
      <w:r>
        <w:rPr>
          <w:color w:val="000000"/>
          <w:sz w:val="24"/>
          <w:szCs w:val="24"/>
        </w:rPr>
        <w:t>中国证监会准予易方达环保主题灵活配置混合型证券投资基金注册的文件；</w:t>
      </w:r>
    </w:p>
    <w:p w:rsidR="00CC1E0A" w:rsidRDefault="00B47DD8">
      <w:pPr>
        <w:spacing w:line="360" w:lineRule="auto"/>
        <w:ind w:firstLineChars="200" w:firstLine="480"/>
        <w:rPr>
          <w:color w:val="000000"/>
          <w:sz w:val="24"/>
          <w:szCs w:val="24"/>
        </w:rPr>
      </w:pPr>
      <w:r>
        <w:rPr>
          <w:color w:val="000000"/>
          <w:sz w:val="24"/>
          <w:szCs w:val="24"/>
        </w:rPr>
        <w:t>2.</w:t>
      </w:r>
      <w:r>
        <w:rPr>
          <w:color w:val="000000"/>
          <w:sz w:val="24"/>
          <w:szCs w:val="24"/>
        </w:rPr>
        <w:t>《易方达环保主题灵活配置混合型证券投资基金基金合同》；</w:t>
      </w:r>
    </w:p>
    <w:p w:rsidR="00CC1E0A" w:rsidRDefault="00B47DD8">
      <w:pPr>
        <w:spacing w:line="360" w:lineRule="auto"/>
        <w:ind w:firstLineChars="200" w:firstLine="480"/>
        <w:rPr>
          <w:color w:val="000000"/>
          <w:sz w:val="24"/>
          <w:szCs w:val="24"/>
        </w:rPr>
      </w:pPr>
      <w:r>
        <w:rPr>
          <w:color w:val="000000"/>
          <w:sz w:val="24"/>
          <w:szCs w:val="24"/>
        </w:rPr>
        <w:t>3.</w:t>
      </w:r>
      <w:r>
        <w:rPr>
          <w:color w:val="000000"/>
          <w:sz w:val="24"/>
          <w:szCs w:val="24"/>
        </w:rPr>
        <w:t>《易方达环保主题灵活配置混合型证券投资基金托管协议》；</w:t>
      </w:r>
    </w:p>
    <w:p w:rsidR="00CC1E0A" w:rsidRDefault="00B47DD8">
      <w:pPr>
        <w:spacing w:line="360" w:lineRule="auto"/>
        <w:ind w:firstLineChars="200" w:firstLine="480"/>
        <w:rPr>
          <w:color w:val="000000"/>
          <w:sz w:val="24"/>
          <w:szCs w:val="24"/>
        </w:rPr>
      </w:pPr>
      <w:r>
        <w:rPr>
          <w:color w:val="000000"/>
          <w:sz w:val="24"/>
          <w:szCs w:val="24"/>
        </w:rPr>
        <w:t>4.</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5.</w:t>
      </w:r>
      <w:r w:rsidRPr="006C56AA">
        <w:rPr>
          <w:color w:val="000000"/>
          <w:sz w:val="24"/>
          <w:szCs w:val="24"/>
        </w:rPr>
        <w:t>基金管理人业务资格批件、营业执照。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B47DD8">
      <w:rPr>
        <w:rStyle w:val="a7"/>
        <w:noProof/>
      </w:rPr>
      <w:t>1</w:t>
    </w:r>
    <w:r>
      <w:rPr>
        <w:rStyle w:val="a7"/>
      </w:rPr>
      <w:fldChar w:fldCharType="end"/>
    </w:r>
    <w:r>
      <w:rPr>
        <w:rStyle w:val="a7"/>
        <w:rFonts w:hint="eastAsia"/>
      </w:rPr>
      <w:t>页共</w:t>
    </w:r>
    <w:r w:rsidR="00B47DD8">
      <w:fldChar w:fldCharType="begin"/>
    </w:r>
    <w:r w:rsidR="00B47DD8">
      <w:instrText xml:space="preserve"> NUMPAGES  \* Arabic  \* MERGEFORMAT </w:instrText>
    </w:r>
    <w:r w:rsidR="00B47DD8">
      <w:fldChar w:fldCharType="separate"/>
    </w:r>
    <w:r w:rsidR="00B47DD8" w:rsidRPr="00B47DD8">
      <w:rPr>
        <w:rStyle w:val="a7"/>
        <w:noProof/>
      </w:rPr>
      <w:t>3</w:t>
    </w:r>
    <w:r w:rsidR="00B47DD8">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B47DD8">
      <w:rPr>
        <w:rStyle w:val="a7"/>
        <w:noProof/>
      </w:rPr>
      <w:t>10</w:t>
    </w:r>
    <w:r>
      <w:rPr>
        <w:rStyle w:val="a7"/>
      </w:rPr>
      <w:fldChar w:fldCharType="end"/>
    </w:r>
    <w:r>
      <w:rPr>
        <w:rStyle w:val="a7"/>
        <w:rFonts w:hint="eastAsia"/>
      </w:rPr>
      <w:t>页共</w:t>
    </w:r>
    <w:fldSimple w:instr=" NUMPAGES  \* Arabic  \* MERGEFORMAT ">
      <w:r w:rsidR="00B47DD8" w:rsidRPr="00B47DD8">
        <w:rPr>
          <w:rStyle w:val="a7"/>
          <w:noProof/>
        </w:rPr>
        <w:t>10</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易方达环保主题灵活配置混合型证券投资基金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47DD8"/>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C1E0A"/>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839AD-801A-4B52-8757-2E799BC9B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827</Words>
  <Characters>4720</Characters>
  <Application>Microsoft Office Word</Application>
  <DocSecurity>0</DocSecurity>
  <Lines>39</Lines>
  <Paragraphs>11</Paragraphs>
  <ScaleCrop>false</ScaleCrop>
  <Company/>
  <LinksUpToDate>false</LinksUpToDate>
  <CharactersWithSpaces>5536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2019-10-16T13:55:00Z</cp:lastPrinted>
  <dcterms:created xsi:type="dcterms:W3CDTF">2012-10-16T06:07:00Z</dcterms:created>
  <dcterms:modified xsi:type="dcterms:W3CDTF">2019-10-16T13:55:00Z</dcterms:modified>
</cp:coreProperties>
</file>