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易方达瑞兴灵活配置混合型证券投资基金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兴业银行股份有限公司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601C50" w:rsidRDefault="00624EAF">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601C50" w:rsidRDefault="00624EAF">
      <w:pPr>
        <w:spacing w:line="360" w:lineRule="auto"/>
        <w:ind w:firstLineChars="200" w:firstLine="480"/>
        <w:rPr>
          <w:color w:val="000000"/>
          <w:sz w:val="24"/>
        </w:rPr>
      </w:pPr>
      <w:r>
        <w:rPr>
          <w:color w:val="000000"/>
          <w:sz w:val="24"/>
        </w:rPr>
        <w:t>基金托管人兴业银行股份有限公司根据本基金合同规定，于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601C50" w:rsidRDefault="00624EAF">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601C50" w:rsidRDefault="00624EAF">
      <w:pPr>
        <w:spacing w:line="360" w:lineRule="auto"/>
        <w:ind w:firstLineChars="200" w:firstLine="480"/>
        <w:rPr>
          <w:color w:val="000000"/>
          <w:sz w:val="24"/>
        </w:rPr>
      </w:pPr>
      <w:r>
        <w:rPr>
          <w:color w:val="000000"/>
          <w:sz w:val="24"/>
        </w:rPr>
        <w:t>基金的过往业绩并不代表其未来表现。投资有风险，投资者在作出投</w:t>
      </w:r>
      <w:r>
        <w:rPr>
          <w:color w:val="000000"/>
          <w:sz w:val="24"/>
        </w:rPr>
        <w:t>资决策前应仔细阅读本基金的招募说明书。</w:t>
      </w:r>
      <w:r>
        <w:rPr>
          <w:color w:val="000000"/>
          <w:sz w:val="24"/>
        </w:rPr>
        <w:t xml:space="preserve"> </w:t>
      </w:r>
    </w:p>
    <w:p w:rsidR="00601C50" w:rsidRDefault="00624EAF">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易方达瑞兴混合</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001817</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2017</w:t>
            </w:r>
            <w:r w:rsidRPr="00C30CFF">
              <w:rPr>
                <w:color w:val="000000"/>
                <w:kern w:val="0"/>
                <w:sz w:val="24"/>
              </w:rPr>
              <w:t>年</w:t>
            </w:r>
            <w:r w:rsidRPr="00C30CFF">
              <w:rPr>
                <w:color w:val="000000"/>
                <w:kern w:val="0"/>
                <w:sz w:val="24"/>
              </w:rPr>
              <w:t>6</w:t>
            </w:r>
            <w:r w:rsidRPr="00C30CFF">
              <w:rPr>
                <w:color w:val="000000"/>
                <w:kern w:val="0"/>
                <w:sz w:val="24"/>
              </w:rPr>
              <w:t>月</w:t>
            </w:r>
            <w:r w:rsidRPr="00C30CFF">
              <w:rPr>
                <w:color w:val="000000"/>
                <w:kern w:val="0"/>
                <w:sz w:val="24"/>
              </w:rPr>
              <w:t>23</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358,281,257.95</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本基金在控制风险的前提下，追求基金资产的稳健增值。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基于定量与定性相结合的宏观及市场因素、估值及流动性因素、政策因素等分析，确定组合中股票、债券、货币市场工具等资产类别的配置比例。本基金在债券投资方面，主要通过类属配置与券种选择两个层次进行投资管理。本基金在行业分析、公司基本面分析及估值水平分析的基础上，进行股</w:t>
            </w:r>
            <w:r w:rsidRPr="00C30CFF">
              <w:rPr>
                <w:color w:val="000000"/>
                <w:kern w:val="0"/>
                <w:sz w:val="24"/>
              </w:rPr>
              <w:lastRenderedPageBreak/>
              <w:t>票组合的构建。当行业、公司的基本面、股票的估值水平出现较大变化时，本基金将对股票组合适时进行动态调整。</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中债新综合指数（财富）收益率</w:t>
            </w:r>
            <w:r w:rsidRPr="00C30CFF">
              <w:rPr>
                <w:color w:val="000000"/>
                <w:kern w:val="0"/>
                <w:sz w:val="24"/>
              </w:rPr>
              <w:t>*75%+</w:t>
            </w:r>
            <w:r w:rsidRPr="00C30CFF">
              <w:rPr>
                <w:color w:val="000000"/>
                <w:kern w:val="0"/>
                <w:sz w:val="24"/>
              </w:rPr>
              <w:t>沪深</w:t>
            </w:r>
            <w:r w:rsidRPr="00C30CFF">
              <w:rPr>
                <w:color w:val="000000"/>
                <w:kern w:val="0"/>
                <w:sz w:val="24"/>
              </w:rPr>
              <w:t>300</w:t>
            </w:r>
            <w:r w:rsidRPr="00C30CFF">
              <w:rPr>
                <w:color w:val="000000"/>
                <w:kern w:val="0"/>
                <w:sz w:val="24"/>
              </w:rPr>
              <w:t>指数收益率</w:t>
            </w:r>
            <w:r w:rsidRPr="00C30CFF">
              <w:rPr>
                <w:color w:val="000000"/>
                <w:kern w:val="0"/>
                <w:sz w:val="24"/>
              </w:rPr>
              <w:t xml:space="preserve">*25% </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本基金为混合型基金，理论上其预期风险与预期收益水平低于股票型基金，高于债券型基金和货币市场基金。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兴业银行股份有限公司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易方达瑞兴混合</w:t>
            </w:r>
            <w:r w:rsidRPr="00C30CFF">
              <w:rPr>
                <w:sz w:val="24"/>
              </w:rPr>
              <w:t>I</w:t>
            </w:r>
          </w:p>
        </w:tc>
        <w:tc>
          <w:tcPr>
            <w:tcW w:w="2790" w:type="dxa"/>
            <w:vAlign w:val="center"/>
          </w:tcPr>
          <w:p w:rsidR="00F016DD" w:rsidRPr="00C30CFF" w:rsidRDefault="00F016DD" w:rsidP="00950413">
            <w:pPr>
              <w:jc w:val="left"/>
              <w:rPr>
                <w:sz w:val="24"/>
              </w:rPr>
            </w:pPr>
            <w:r w:rsidRPr="00C30CFF">
              <w:rPr>
                <w:sz w:val="24"/>
              </w:rPr>
              <w:t>易方达瑞兴混合</w:t>
            </w:r>
            <w:r w:rsidRPr="00C30CFF">
              <w:rPr>
                <w:sz w:val="24"/>
              </w:rPr>
              <w:t>E</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001817</w:t>
            </w:r>
          </w:p>
        </w:tc>
        <w:tc>
          <w:tcPr>
            <w:tcW w:w="2790" w:type="dxa"/>
            <w:vAlign w:val="center"/>
          </w:tcPr>
          <w:p w:rsidR="00F016DD" w:rsidRPr="00C30CFF" w:rsidRDefault="00F016DD" w:rsidP="00950413">
            <w:pPr>
              <w:jc w:val="left"/>
              <w:rPr>
                <w:color w:val="000000"/>
                <w:sz w:val="24"/>
              </w:rPr>
            </w:pPr>
            <w:r w:rsidRPr="00C30CFF">
              <w:rPr>
                <w:color w:val="000000"/>
                <w:sz w:val="24"/>
              </w:rPr>
              <w:t>001818</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339,835,906.92</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18,445,351.03</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易方达瑞兴混合</w:t>
            </w:r>
            <w:r w:rsidRPr="00FA472B">
              <w:rPr>
                <w:sz w:val="24"/>
              </w:rPr>
              <w:t>I</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易方达瑞兴混合</w:t>
            </w:r>
            <w:r w:rsidRPr="00FA472B">
              <w:rPr>
                <w:sz w:val="24"/>
              </w:rPr>
              <w:t>E</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18,222,317.13</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166,950.66</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17,533,117.07</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109,109.07</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0.0571</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0.0428</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375,739,697.40</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20,316,732.37</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1.106</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1.101</w:t>
            </w:r>
          </w:p>
        </w:tc>
      </w:tr>
    </w:tbl>
    <w:p w:rsidR="00601C50" w:rsidRDefault="00624EAF">
      <w:pPr>
        <w:spacing w:line="360" w:lineRule="auto"/>
        <w:ind w:firstLineChars="200" w:firstLine="480"/>
        <w:rPr>
          <w:color w:val="000000"/>
          <w:sz w:val="24"/>
        </w:rPr>
      </w:pPr>
      <w:r>
        <w:rPr>
          <w:color w:val="000000"/>
          <w:sz w:val="24"/>
        </w:rPr>
        <w:lastRenderedPageBreak/>
        <w:t>注：</w:t>
      </w:r>
      <w:r>
        <w:rPr>
          <w:color w:val="000000"/>
          <w:sz w:val="24"/>
        </w:rPr>
        <w:t>1.</w:t>
      </w:r>
      <w:r>
        <w:rPr>
          <w:color w:val="000000"/>
          <w:sz w:val="24"/>
        </w:rPr>
        <w:t>所述基金业绩指标不包括持有人认购或交易基金的各项费用</w:t>
      </w:r>
      <w:r>
        <w:rPr>
          <w:color w:val="000000"/>
          <w:sz w:val="24"/>
        </w:rPr>
        <w:t>,</w:t>
      </w:r>
      <w:r>
        <w:rPr>
          <w:color w:val="000000"/>
          <w:sz w:val="24"/>
        </w:rPr>
        <w:t>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w:t>
      </w:r>
      <w:r w:rsidRPr="00C30CFF">
        <w:rPr>
          <w:color w:val="000000"/>
          <w:sz w:val="24"/>
        </w:rPr>
        <w:t>(</w:t>
      </w:r>
      <w:r w:rsidRPr="00C30CFF">
        <w:rPr>
          <w:color w:val="000000"/>
          <w:sz w:val="24"/>
        </w:rPr>
        <w:t>不含公允价值变动收益</w:t>
      </w:r>
      <w:r w:rsidRPr="00C30CFF">
        <w:rPr>
          <w:color w:val="000000"/>
          <w:sz w:val="24"/>
        </w:rPr>
        <w:t>)</w:t>
      </w:r>
      <w:r w:rsidRPr="00C30CFF">
        <w:rPr>
          <w:color w:val="000000"/>
          <w:sz w:val="24"/>
        </w:rPr>
        <w:t>扣除相关费用后的余额</w:t>
      </w:r>
      <w:r w:rsidRPr="00C30CFF">
        <w:rPr>
          <w:color w:val="000000"/>
          <w:sz w:val="24"/>
        </w:rPr>
        <w:t>,</w:t>
      </w:r>
      <w:r w:rsidRPr="00C30CFF">
        <w:rPr>
          <w:color w:val="000000"/>
          <w:sz w:val="24"/>
        </w:rPr>
        <w:t>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易方达瑞兴混合I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601C50">
        <w:tc>
          <w:tcPr>
            <w:tcW w:w="1290" w:type="dxa"/>
            <w:vAlign w:val="center"/>
          </w:tcPr>
          <w:p w:rsidR="00601C50" w:rsidRDefault="00624EAF">
            <w:pPr>
              <w:jc w:val="left"/>
            </w:pPr>
            <w:r>
              <w:rPr>
                <w:color w:val="000000"/>
                <w:sz w:val="24"/>
              </w:rPr>
              <w:t>过去三个月</w:t>
            </w:r>
          </w:p>
        </w:tc>
        <w:tc>
          <w:tcPr>
            <w:tcW w:w="1291" w:type="dxa"/>
            <w:vAlign w:val="center"/>
          </w:tcPr>
          <w:p w:rsidR="00601C50" w:rsidRDefault="00624EAF">
            <w:pPr>
              <w:jc w:val="center"/>
            </w:pPr>
            <w:r>
              <w:rPr>
                <w:color w:val="000000"/>
                <w:sz w:val="24"/>
              </w:rPr>
              <w:t>5.53%</w:t>
            </w:r>
          </w:p>
        </w:tc>
        <w:tc>
          <w:tcPr>
            <w:tcW w:w="1291" w:type="dxa"/>
            <w:vAlign w:val="center"/>
          </w:tcPr>
          <w:p w:rsidR="00601C50" w:rsidRDefault="00624EAF">
            <w:pPr>
              <w:jc w:val="center"/>
            </w:pPr>
            <w:r>
              <w:rPr>
                <w:color w:val="000000"/>
                <w:sz w:val="24"/>
              </w:rPr>
              <w:t>0.41%</w:t>
            </w:r>
          </w:p>
        </w:tc>
        <w:tc>
          <w:tcPr>
            <w:tcW w:w="1291" w:type="dxa"/>
            <w:vAlign w:val="center"/>
          </w:tcPr>
          <w:p w:rsidR="00601C50" w:rsidRDefault="00624EAF">
            <w:pPr>
              <w:jc w:val="center"/>
            </w:pPr>
            <w:r>
              <w:rPr>
                <w:color w:val="000000"/>
                <w:sz w:val="24"/>
              </w:rPr>
              <w:t>0.98%</w:t>
            </w:r>
          </w:p>
        </w:tc>
        <w:tc>
          <w:tcPr>
            <w:tcW w:w="1291" w:type="dxa"/>
            <w:vAlign w:val="center"/>
          </w:tcPr>
          <w:p w:rsidR="00601C50" w:rsidRDefault="00624EAF">
            <w:pPr>
              <w:jc w:val="center"/>
            </w:pPr>
            <w:r>
              <w:rPr>
                <w:color w:val="000000"/>
                <w:sz w:val="24"/>
              </w:rPr>
              <w:t>0.24%</w:t>
            </w:r>
          </w:p>
        </w:tc>
        <w:tc>
          <w:tcPr>
            <w:tcW w:w="1291" w:type="dxa"/>
            <w:vAlign w:val="center"/>
          </w:tcPr>
          <w:p w:rsidR="00601C50" w:rsidRDefault="00624EAF">
            <w:pPr>
              <w:jc w:val="center"/>
            </w:pPr>
            <w:r>
              <w:rPr>
                <w:color w:val="000000"/>
                <w:sz w:val="24"/>
              </w:rPr>
              <w:t>4.55%</w:t>
            </w:r>
          </w:p>
        </w:tc>
        <w:tc>
          <w:tcPr>
            <w:tcW w:w="1291" w:type="dxa"/>
            <w:vAlign w:val="center"/>
          </w:tcPr>
          <w:p w:rsidR="00601C50" w:rsidRDefault="00624EAF">
            <w:pPr>
              <w:jc w:val="center"/>
            </w:pPr>
            <w:r>
              <w:rPr>
                <w:color w:val="000000"/>
                <w:sz w:val="24"/>
              </w:rPr>
              <w:t>0.17%</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易方达瑞兴混合E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601C50">
        <w:tc>
          <w:tcPr>
            <w:tcW w:w="1290" w:type="dxa"/>
            <w:vAlign w:val="center"/>
          </w:tcPr>
          <w:p w:rsidR="00601C50" w:rsidRDefault="00624EAF">
            <w:pPr>
              <w:jc w:val="left"/>
            </w:pPr>
            <w:r>
              <w:rPr>
                <w:color w:val="000000"/>
                <w:sz w:val="24"/>
              </w:rPr>
              <w:t>过去三个月</w:t>
            </w:r>
          </w:p>
        </w:tc>
        <w:tc>
          <w:tcPr>
            <w:tcW w:w="1291" w:type="dxa"/>
            <w:vAlign w:val="center"/>
          </w:tcPr>
          <w:p w:rsidR="00601C50" w:rsidRDefault="00624EAF">
            <w:pPr>
              <w:jc w:val="center"/>
            </w:pPr>
            <w:r>
              <w:rPr>
                <w:color w:val="000000"/>
                <w:sz w:val="24"/>
              </w:rPr>
              <w:t>5.46%</w:t>
            </w:r>
          </w:p>
        </w:tc>
        <w:tc>
          <w:tcPr>
            <w:tcW w:w="1291" w:type="dxa"/>
            <w:vAlign w:val="center"/>
          </w:tcPr>
          <w:p w:rsidR="00601C50" w:rsidRDefault="00624EAF">
            <w:pPr>
              <w:jc w:val="center"/>
            </w:pPr>
            <w:r>
              <w:rPr>
                <w:color w:val="000000"/>
                <w:sz w:val="24"/>
              </w:rPr>
              <w:t>0.41%</w:t>
            </w:r>
          </w:p>
        </w:tc>
        <w:tc>
          <w:tcPr>
            <w:tcW w:w="1291" w:type="dxa"/>
            <w:vAlign w:val="center"/>
          </w:tcPr>
          <w:p w:rsidR="00601C50" w:rsidRDefault="00624EAF">
            <w:pPr>
              <w:jc w:val="center"/>
            </w:pPr>
            <w:r>
              <w:rPr>
                <w:color w:val="000000"/>
                <w:sz w:val="24"/>
              </w:rPr>
              <w:t>0.98%</w:t>
            </w:r>
          </w:p>
        </w:tc>
        <w:tc>
          <w:tcPr>
            <w:tcW w:w="1291" w:type="dxa"/>
            <w:vAlign w:val="center"/>
          </w:tcPr>
          <w:p w:rsidR="00601C50" w:rsidRDefault="00624EAF">
            <w:pPr>
              <w:jc w:val="center"/>
            </w:pPr>
            <w:r>
              <w:rPr>
                <w:color w:val="000000"/>
                <w:sz w:val="24"/>
              </w:rPr>
              <w:t>0.24%</w:t>
            </w:r>
          </w:p>
        </w:tc>
        <w:tc>
          <w:tcPr>
            <w:tcW w:w="1291" w:type="dxa"/>
            <w:vAlign w:val="center"/>
          </w:tcPr>
          <w:p w:rsidR="00601C50" w:rsidRDefault="00624EAF">
            <w:pPr>
              <w:jc w:val="center"/>
            </w:pPr>
            <w:r>
              <w:rPr>
                <w:color w:val="000000"/>
                <w:sz w:val="24"/>
              </w:rPr>
              <w:t>4.48%</w:t>
            </w:r>
          </w:p>
        </w:tc>
        <w:tc>
          <w:tcPr>
            <w:tcW w:w="1291" w:type="dxa"/>
            <w:vAlign w:val="center"/>
          </w:tcPr>
          <w:p w:rsidR="00601C50" w:rsidRDefault="00624EAF">
            <w:pPr>
              <w:jc w:val="center"/>
            </w:pPr>
            <w:r>
              <w:rPr>
                <w:color w:val="000000"/>
                <w:sz w:val="24"/>
              </w:rPr>
              <w:t>0.17%</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易方达瑞兴灵活配置混合型证券投资基金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(2017</w:t>
      </w:r>
      <w:r w:rsidRPr="00FA472B">
        <w:rPr>
          <w:rFonts w:ascii="Times New Roman" w:hAnsi="Times New Roman"/>
          <w:sz w:val="24"/>
          <w:szCs w:val="24"/>
        </w:rPr>
        <w:t>年</w:t>
      </w:r>
      <w:r w:rsidRPr="00FA472B">
        <w:rPr>
          <w:rFonts w:ascii="Times New Roman" w:hAnsi="Times New Roman"/>
          <w:sz w:val="24"/>
          <w:szCs w:val="24"/>
        </w:rPr>
        <w:t>6</w:t>
      </w:r>
      <w:r w:rsidRPr="00FA472B">
        <w:rPr>
          <w:rFonts w:ascii="Times New Roman" w:hAnsi="Times New Roman"/>
          <w:sz w:val="24"/>
          <w:szCs w:val="24"/>
        </w:rPr>
        <w:t>月</w:t>
      </w:r>
      <w:r w:rsidRPr="00FA472B">
        <w:rPr>
          <w:rFonts w:ascii="Times New Roman" w:hAnsi="Times New Roman"/>
          <w:sz w:val="24"/>
          <w:szCs w:val="24"/>
        </w:rPr>
        <w:t>23</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易方达瑞兴混合</w:t>
      </w:r>
      <w:r w:rsidRPr="00611CB2">
        <w:rPr>
          <w:color w:val="000000"/>
          <w:sz w:val="24"/>
        </w:rPr>
        <w:t>I</w:t>
      </w:r>
    </w:p>
    <w:p w:rsidR="00F016DD" w:rsidRPr="0078105B" w:rsidRDefault="00624EAF"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易方达瑞兴混合</w:t>
      </w:r>
      <w:r w:rsidRPr="00611CB2">
        <w:rPr>
          <w:color w:val="000000"/>
          <w:sz w:val="24"/>
        </w:rPr>
        <w:t>E</w:t>
      </w:r>
    </w:p>
    <w:p w:rsidR="00F016DD" w:rsidRPr="0078105B" w:rsidRDefault="00624EAF"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I</w:t>
      </w:r>
      <w:r w:rsidRPr="00DF18FE">
        <w:rPr>
          <w:color w:val="000000"/>
          <w:sz w:val="24"/>
        </w:rPr>
        <w:t>类基金份额净值增长率为</w:t>
      </w:r>
      <w:r w:rsidRPr="00DF18FE">
        <w:rPr>
          <w:color w:val="000000"/>
          <w:sz w:val="24"/>
        </w:rPr>
        <w:t>10.60%</w:t>
      </w:r>
      <w:r w:rsidRPr="00DF18FE">
        <w:rPr>
          <w:color w:val="000000"/>
          <w:sz w:val="24"/>
        </w:rPr>
        <w:t>，</w:t>
      </w:r>
      <w:r w:rsidRPr="00DF18FE">
        <w:rPr>
          <w:color w:val="000000"/>
          <w:sz w:val="24"/>
        </w:rPr>
        <w:t>E</w:t>
      </w:r>
      <w:r w:rsidRPr="00DF18FE">
        <w:rPr>
          <w:color w:val="000000"/>
          <w:sz w:val="24"/>
        </w:rPr>
        <w:t>类基金份额净值增长率为</w:t>
      </w:r>
      <w:r w:rsidRPr="00DF18FE">
        <w:rPr>
          <w:color w:val="000000"/>
          <w:sz w:val="24"/>
        </w:rPr>
        <w:t>10.10%</w:t>
      </w:r>
      <w:r w:rsidRPr="00DF18FE">
        <w:rPr>
          <w:color w:val="000000"/>
          <w:sz w:val="24"/>
        </w:rPr>
        <w:t>，同期业绩比较基准收益率为</w:t>
      </w:r>
      <w:r w:rsidRPr="00DF18FE">
        <w:rPr>
          <w:color w:val="000000"/>
          <w:sz w:val="24"/>
        </w:rPr>
        <w:t>10.90%</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lastRenderedPageBreak/>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601C50">
        <w:tc>
          <w:tcPr>
            <w:tcW w:w="567" w:type="dxa"/>
            <w:vAlign w:val="center"/>
          </w:tcPr>
          <w:p w:rsidR="00601C50" w:rsidRDefault="00624EAF">
            <w:pPr>
              <w:jc w:val="center"/>
            </w:pPr>
            <w:r>
              <w:rPr>
                <w:color w:val="000000"/>
                <w:sz w:val="24"/>
              </w:rPr>
              <w:t>胡剑</w:t>
            </w:r>
          </w:p>
        </w:tc>
        <w:tc>
          <w:tcPr>
            <w:tcW w:w="2835" w:type="dxa"/>
            <w:vAlign w:val="center"/>
          </w:tcPr>
          <w:p w:rsidR="00601C50" w:rsidRDefault="00624EAF">
            <w:pPr>
              <w:jc w:val="center"/>
            </w:pPr>
            <w:r>
              <w:rPr>
                <w:color w:val="000000"/>
                <w:sz w:val="24"/>
              </w:rPr>
              <w:t>本基金的基金经理、易方达裕惠回报定期开放式混合型发起式证券投资基金的基金经理、易方达信用债债券型证券投资基金的基金经理、易方达稳健收益债券型证券投资基金的基金经理、易方达岁丰添利债券型证券投资基金的基金经理、易方达瑞祺灵活配置混合型证券投资基金的基金经理、易方达瑞智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日）、易方达瑞祥灵活配置混合型证券投资基金的基金经理（自</w:t>
            </w:r>
            <w:r>
              <w:rPr>
                <w:color w:val="000000"/>
                <w:sz w:val="24"/>
              </w:rPr>
              <w:t>2018</w:t>
            </w:r>
            <w:r>
              <w:rPr>
                <w:color w:val="000000"/>
                <w:sz w:val="24"/>
              </w:rPr>
              <w:t>年</w:t>
            </w:r>
            <w:r>
              <w:rPr>
                <w:color w:val="000000"/>
                <w:sz w:val="24"/>
              </w:rPr>
              <w:t>01</w:t>
            </w:r>
            <w:r>
              <w:rPr>
                <w:color w:val="000000"/>
                <w:sz w:val="24"/>
              </w:rPr>
              <w:t>月</w:t>
            </w:r>
            <w:r>
              <w:rPr>
                <w:color w:val="000000"/>
                <w:sz w:val="24"/>
              </w:rPr>
              <w:t>19</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日）、易方达瑞富灵活配置混合型证券投资基金的基金经理、易方达瑞</w:t>
            </w:r>
            <w:r>
              <w:rPr>
                <w:color w:val="000000"/>
                <w:sz w:val="24"/>
              </w:rPr>
              <w:t>财灵活配置混合型证券投资基金的基金经理、易方达恒益定期开放债券型发起式证券投资基金的基金经理、易方达恒盛</w:t>
            </w:r>
            <w:r>
              <w:rPr>
                <w:color w:val="000000"/>
                <w:sz w:val="24"/>
              </w:rPr>
              <w:t>3</w:t>
            </w:r>
            <w:r>
              <w:rPr>
                <w:color w:val="000000"/>
                <w:sz w:val="24"/>
              </w:rPr>
              <w:t>个月定期开放混合型发起式证券投资基金的基金经理、易方达恒利</w:t>
            </w:r>
            <w:r>
              <w:rPr>
                <w:color w:val="000000"/>
                <w:sz w:val="24"/>
              </w:rPr>
              <w:t>3</w:t>
            </w:r>
            <w:r>
              <w:rPr>
                <w:color w:val="000000"/>
                <w:sz w:val="24"/>
              </w:rPr>
              <w:t>个月定期开放债券型发起式证券投资基金的基金经理、易方达高等级信用债债券型证券投资基金的基金经理（自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17</w:t>
            </w:r>
            <w:r>
              <w:rPr>
                <w:color w:val="000000"/>
                <w:sz w:val="24"/>
              </w:rPr>
              <w:t>日）、易方达丰惠混合型证券投资基金的</w:t>
            </w:r>
            <w:r>
              <w:rPr>
                <w:color w:val="000000"/>
                <w:sz w:val="24"/>
              </w:rPr>
              <w:lastRenderedPageBreak/>
              <w:t>基金经理、易方达</w:t>
            </w:r>
            <w:r>
              <w:rPr>
                <w:color w:val="000000"/>
                <w:sz w:val="24"/>
              </w:rPr>
              <w:t>3</w:t>
            </w:r>
            <w:r>
              <w:rPr>
                <w:color w:val="000000"/>
                <w:sz w:val="24"/>
              </w:rPr>
              <w:t>年封闭运作战略配售灵活配置混合型证券投资基金</w:t>
            </w:r>
            <w:r>
              <w:rPr>
                <w:color w:val="000000"/>
                <w:sz w:val="24"/>
              </w:rPr>
              <w:t>(LOF)</w:t>
            </w:r>
            <w:r>
              <w:rPr>
                <w:color w:val="000000"/>
                <w:sz w:val="24"/>
              </w:rPr>
              <w:t>的基金经理、固定收益研究部总经理、固定收益投资部总经理</w:t>
            </w:r>
          </w:p>
        </w:tc>
        <w:tc>
          <w:tcPr>
            <w:tcW w:w="851" w:type="dxa"/>
            <w:vAlign w:val="center"/>
          </w:tcPr>
          <w:p w:rsidR="00601C50" w:rsidRDefault="00624EAF">
            <w:pPr>
              <w:jc w:val="center"/>
            </w:pPr>
            <w:r>
              <w:rPr>
                <w:color w:val="000000"/>
                <w:sz w:val="24"/>
              </w:rPr>
              <w:lastRenderedPageBreak/>
              <w:t>2017-06-23</w:t>
            </w:r>
          </w:p>
        </w:tc>
        <w:tc>
          <w:tcPr>
            <w:tcW w:w="850" w:type="dxa"/>
            <w:vAlign w:val="center"/>
          </w:tcPr>
          <w:p w:rsidR="00601C50" w:rsidRDefault="00624EAF">
            <w:pPr>
              <w:jc w:val="center"/>
            </w:pPr>
            <w:r>
              <w:rPr>
                <w:color w:val="000000"/>
                <w:sz w:val="24"/>
              </w:rPr>
              <w:t>2019-07-0</w:t>
            </w:r>
            <w:r>
              <w:rPr>
                <w:color w:val="000000"/>
                <w:sz w:val="24"/>
              </w:rPr>
              <w:t>3</w:t>
            </w:r>
          </w:p>
        </w:tc>
        <w:tc>
          <w:tcPr>
            <w:tcW w:w="851" w:type="dxa"/>
            <w:vAlign w:val="center"/>
          </w:tcPr>
          <w:p w:rsidR="00601C50" w:rsidRDefault="00624EAF">
            <w:pPr>
              <w:jc w:val="center"/>
            </w:pPr>
            <w:r>
              <w:rPr>
                <w:color w:val="000000"/>
                <w:sz w:val="24"/>
              </w:rPr>
              <w:t>13</w:t>
            </w:r>
            <w:r>
              <w:rPr>
                <w:color w:val="000000"/>
                <w:sz w:val="24"/>
              </w:rPr>
              <w:t>年</w:t>
            </w:r>
          </w:p>
        </w:tc>
        <w:tc>
          <w:tcPr>
            <w:tcW w:w="2977" w:type="dxa"/>
            <w:vAlign w:val="center"/>
          </w:tcPr>
          <w:p w:rsidR="00601C50" w:rsidRDefault="00624EAF">
            <w:r>
              <w:rPr>
                <w:color w:val="000000"/>
                <w:sz w:val="24"/>
              </w:rPr>
              <w:t>硕士研究生，曾任易方达基金管理有限公司固定收益部债券研究员、基金经理助理兼债券研究员、固定收益研究部负责人、固定收益总部总经理助理、易方达中债新综合债券指数发起式证券投资基金（</w:t>
            </w:r>
            <w:r>
              <w:rPr>
                <w:color w:val="000000"/>
                <w:sz w:val="24"/>
              </w:rPr>
              <w:t>LOF</w:t>
            </w:r>
            <w:r>
              <w:rPr>
                <w:color w:val="000000"/>
                <w:sz w:val="24"/>
              </w:rPr>
              <w:t>）基金经理、易方达纯债</w:t>
            </w:r>
            <w:r>
              <w:rPr>
                <w:color w:val="000000"/>
                <w:sz w:val="24"/>
              </w:rPr>
              <w:t>1</w:t>
            </w:r>
            <w:r>
              <w:rPr>
                <w:color w:val="000000"/>
                <w:sz w:val="24"/>
              </w:rPr>
              <w:t>年定期开放债券型证券投资基金基金经理、易方达永旭添利定期开放债券型证券投资基金基金经理、易方达纯债债券型证券投资基金基金经理、易方达裕景添利</w:t>
            </w:r>
            <w:r>
              <w:rPr>
                <w:color w:val="000000"/>
                <w:sz w:val="24"/>
              </w:rPr>
              <w:t>6</w:t>
            </w:r>
            <w:r>
              <w:rPr>
                <w:color w:val="000000"/>
                <w:sz w:val="24"/>
              </w:rPr>
              <w:t>个月定期开放债券型证券投资基金基金经理。</w:t>
            </w:r>
          </w:p>
        </w:tc>
      </w:tr>
      <w:tr w:rsidR="00601C50">
        <w:tc>
          <w:tcPr>
            <w:tcW w:w="567" w:type="dxa"/>
            <w:vAlign w:val="center"/>
          </w:tcPr>
          <w:p w:rsidR="00601C50" w:rsidRDefault="00624EAF">
            <w:pPr>
              <w:jc w:val="center"/>
            </w:pPr>
            <w:r>
              <w:rPr>
                <w:color w:val="000000"/>
                <w:sz w:val="24"/>
              </w:rPr>
              <w:t>韩阅川</w:t>
            </w:r>
          </w:p>
        </w:tc>
        <w:tc>
          <w:tcPr>
            <w:tcW w:w="2835" w:type="dxa"/>
            <w:vAlign w:val="center"/>
          </w:tcPr>
          <w:p w:rsidR="00601C50" w:rsidRDefault="00624EAF">
            <w:pPr>
              <w:jc w:val="center"/>
            </w:pPr>
            <w:r>
              <w:rPr>
                <w:color w:val="000000"/>
                <w:sz w:val="24"/>
              </w:rPr>
              <w:t>本基金的基金经理、易方达裕鑫债券型证券投资基金的基金经理、易方达新鑫灵活配置混合型证券投资基金的基金经理、易方达新益灵活配置混合型证券投资基金的基金经理、易方达新享灵活配置混合型证券投资基金的基金经理、易方达新利灵活配置混合型证券投资基金的基金经理、易方达瑞智灵活配置混合型证券投资基金的基金经理、易方达瑞选灵活配置混合型证券投资基金的基金经理、易方达瑞祥灵活配置混合型证券投资基金的基金经理、易方达瑞景灵活配置混合型证券投资基金的基金经理、易方达瑞信灵活配置混合型证券投资基金的基金经理助理、易方达新收益灵活配</w:t>
            </w:r>
            <w:r>
              <w:rPr>
                <w:color w:val="000000"/>
                <w:sz w:val="24"/>
              </w:rPr>
              <w:t>置混合型证券投资基金的基金经理助理、易方达瑞和灵活配置混合型证券投资基金的基金经理助理、易方达新益灵活配置混合型证券投资基金的基金经理助理（自</w:t>
            </w:r>
            <w:r>
              <w:rPr>
                <w:color w:val="000000"/>
                <w:sz w:val="24"/>
              </w:rPr>
              <w:t>2019</w:t>
            </w:r>
            <w:r>
              <w:rPr>
                <w:color w:val="000000"/>
                <w:sz w:val="24"/>
              </w:rPr>
              <w:t>年</w:t>
            </w:r>
            <w:r>
              <w:rPr>
                <w:color w:val="000000"/>
                <w:sz w:val="24"/>
              </w:rPr>
              <w:t>04</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02</w:t>
            </w:r>
            <w:r>
              <w:rPr>
                <w:color w:val="000000"/>
                <w:sz w:val="24"/>
              </w:rPr>
              <w:t>日）、易方达裕鑫债券型证券投资基金的基金经理助理（自</w:t>
            </w:r>
            <w:r>
              <w:rPr>
                <w:color w:val="000000"/>
                <w:sz w:val="24"/>
              </w:rPr>
              <w:t>2019</w:t>
            </w:r>
            <w:r>
              <w:rPr>
                <w:color w:val="000000"/>
                <w:sz w:val="24"/>
              </w:rPr>
              <w:t>年</w:t>
            </w:r>
            <w:r>
              <w:rPr>
                <w:color w:val="000000"/>
                <w:sz w:val="24"/>
              </w:rPr>
              <w:t>01</w:t>
            </w:r>
            <w:r>
              <w:rPr>
                <w:color w:val="000000"/>
                <w:sz w:val="24"/>
              </w:rPr>
              <w:t>月</w:t>
            </w:r>
            <w:r>
              <w:rPr>
                <w:color w:val="000000"/>
                <w:sz w:val="24"/>
              </w:rPr>
              <w:t>04</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日）、易方达瑞选灵活配置混</w:t>
            </w:r>
            <w:r>
              <w:rPr>
                <w:color w:val="000000"/>
                <w:sz w:val="24"/>
              </w:rPr>
              <w:lastRenderedPageBreak/>
              <w:t>合型证券投资基金的基金经理助理（自</w:t>
            </w:r>
            <w:r>
              <w:rPr>
                <w:color w:val="000000"/>
                <w:sz w:val="24"/>
              </w:rPr>
              <w:t>2019</w:t>
            </w:r>
            <w:r>
              <w:rPr>
                <w:color w:val="000000"/>
                <w:sz w:val="24"/>
              </w:rPr>
              <w:t>年</w:t>
            </w:r>
            <w:r>
              <w:rPr>
                <w:color w:val="000000"/>
                <w:sz w:val="24"/>
              </w:rPr>
              <w:t>04</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02</w:t>
            </w:r>
            <w:r>
              <w:rPr>
                <w:color w:val="000000"/>
                <w:sz w:val="24"/>
              </w:rPr>
              <w:t>日）</w:t>
            </w:r>
          </w:p>
        </w:tc>
        <w:tc>
          <w:tcPr>
            <w:tcW w:w="851" w:type="dxa"/>
            <w:vAlign w:val="center"/>
          </w:tcPr>
          <w:p w:rsidR="00601C50" w:rsidRDefault="00624EAF">
            <w:pPr>
              <w:jc w:val="center"/>
            </w:pPr>
            <w:r>
              <w:rPr>
                <w:color w:val="000000"/>
                <w:sz w:val="24"/>
              </w:rPr>
              <w:lastRenderedPageBreak/>
              <w:t>2019-06-26</w:t>
            </w:r>
          </w:p>
        </w:tc>
        <w:tc>
          <w:tcPr>
            <w:tcW w:w="850" w:type="dxa"/>
            <w:vAlign w:val="center"/>
          </w:tcPr>
          <w:p w:rsidR="00601C50" w:rsidRDefault="00624EAF">
            <w:pPr>
              <w:jc w:val="center"/>
            </w:pPr>
            <w:r>
              <w:rPr>
                <w:color w:val="000000"/>
                <w:sz w:val="24"/>
              </w:rPr>
              <w:t>-</w:t>
            </w:r>
          </w:p>
        </w:tc>
        <w:tc>
          <w:tcPr>
            <w:tcW w:w="851" w:type="dxa"/>
            <w:vAlign w:val="center"/>
          </w:tcPr>
          <w:p w:rsidR="00601C50" w:rsidRDefault="00624EAF">
            <w:pPr>
              <w:jc w:val="center"/>
            </w:pPr>
            <w:r>
              <w:rPr>
                <w:color w:val="000000"/>
                <w:sz w:val="24"/>
              </w:rPr>
              <w:t>8</w:t>
            </w:r>
            <w:r>
              <w:rPr>
                <w:color w:val="000000"/>
                <w:sz w:val="24"/>
              </w:rPr>
              <w:t>年</w:t>
            </w:r>
          </w:p>
        </w:tc>
        <w:tc>
          <w:tcPr>
            <w:tcW w:w="2977" w:type="dxa"/>
            <w:vAlign w:val="center"/>
          </w:tcPr>
          <w:p w:rsidR="00601C50" w:rsidRDefault="00624EAF">
            <w:r>
              <w:rPr>
                <w:color w:val="000000"/>
                <w:sz w:val="24"/>
              </w:rPr>
              <w:t>硕士研究生，曾任嘉实基金管理有限公司固定收益部研究员、投资经理，易方达基金管理有限公司易</w:t>
            </w:r>
            <w:r>
              <w:rPr>
                <w:color w:val="000000"/>
                <w:sz w:val="24"/>
              </w:rPr>
              <w:t>方达新享灵活配置混合型证券投资基金基金经理助理、易方达新利灵活配置混合型证券投资基金基金经理助理、易方达瑞景灵活配置混合型证券投资基金基金经理助理、易方达瑞兴灵活配置混合型证券投资基金基金经理助理、易方达瑞祥灵活配置混合型证券投资基金基金经理助理、易方达瑞智灵活配置混合型证券投资基金基金经理助理、易方达新鑫灵活配置混合型证券投资基金基金经理助理。</w:t>
            </w:r>
          </w:p>
        </w:tc>
      </w:tr>
    </w:tbl>
    <w:p w:rsidR="00601C50" w:rsidRDefault="00624EAF">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w:t>
      </w:r>
      <w:r>
        <w:rPr>
          <w:color w:val="000000"/>
          <w:sz w:val="24"/>
        </w:rPr>
        <w:t>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601C50" w:rsidRDefault="00624EAF">
      <w:pPr>
        <w:spacing w:line="360" w:lineRule="auto"/>
        <w:ind w:firstLineChars="200" w:firstLine="480"/>
        <w:rPr>
          <w:color w:val="000000"/>
          <w:sz w:val="24"/>
        </w:rPr>
      </w:pPr>
      <w:r>
        <w:rPr>
          <w:color w:val="000000"/>
          <w:sz w:val="24"/>
        </w:rPr>
        <w:t>本报告期内，公司旗下所有投资组合参</w:t>
      </w:r>
      <w:r>
        <w:rPr>
          <w:color w:val="000000"/>
          <w:sz w:val="24"/>
        </w:rPr>
        <w:t>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601C50" w:rsidRDefault="00624EAF">
      <w:pPr>
        <w:spacing w:line="360" w:lineRule="auto"/>
        <w:ind w:firstLineChars="200" w:firstLine="480"/>
        <w:rPr>
          <w:color w:val="000000"/>
          <w:sz w:val="24"/>
        </w:rPr>
      </w:pPr>
      <w:r>
        <w:rPr>
          <w:color w:val="000000"/>
          <w:sz w:val="24"/>
        </w:rPr>
        <w:t>2019</w:t>
      </w:r>
      <w:r>
        <w:rPr>
          <w:color w:val="000000"/>
          <w:sz w:val="24"/>
        </w:rPr>
        <w:t>年三季度，利率债收益率呈</w:t>
      </w:r>
      <w:r>
        <w:rPr>
          <w:color w:val="000000"/>
          <w:sz w:val="24"/>
        </w:rPr>
        <w:t>“V”</w:t>
      </w:r>
      <w:r>
        <w:rPr>
          <w:color w:val="000000"/>
          <w:sz w:val="24"/>
        </w:rPr>
        <w:t>型走势，经济、通胀和政策预期变化等因素是核心驱动。</w:t>
      </w:r>
      <w:r>
        <w:rPr>
          <w:color w:val="000000"/>
          <w:sz w:val="24"/>
        </w:rPr>
        <w:t>7</w:t>
      </w:r>
      <w:r>
        <w:rPr>
          <w:color w:val="000000"/>
          <w:sz w:val="24"/>
        </w:rPr>
        <w:t>月以来，在制造业</w:t>
      </w:r>
      <w:r>
        <w:rPr>
          <w:color w:val="000000"/>
          <w:sz w:val="24"/>
        </w:rPr>
        <w:t>PMI</w:t>
      </w:r>
      <w:r>
        <w:rPr>
          <w:color w:val="000000"/>
          <w:sz w:val="24"/>
        </w:rPr>
        <w:t>持续低迷、降准降息预期等影响下，长端收益</w:t>
      </w:r>
      <w:r>
        <w:rPr>
          <w:color w:val="000000"/>
          <w:sz w:val="24"/>
        </w:rPr>
        <w:lastRenderedPageBreak/>
        <w:t>率震荡下行。随后，政治局会议对经济、政策的表态，及中美贸易摩擦升级、人民币汇率快速贬值等，推动长端收益率突破年内低点；</w:t>
      </w:r>
      <w:r>
        <w:rPr>
          <w:color w:val="000000"/>
          <w:sz w:val="24"/>
        </w:rPr>
        <w:t>8</w:t>
      </w:r>
      <w:r>
        <w:rPr>
          <w:color w:val="000000"/>
          <w:sz w:val="24"/>
        </w:rPr>
        <w:t>月中下旬开始，债市进入区间震荡，地方债额度提升、政金债纳入同业投资管理等，推动长端收益率有所上行。临近季度末，通胀预期升温、货币宽松预期下降，以及债市调整引发的减持等，导致债市调整延续。整个季度来看，</w:t>
      </w:r>
      <w:r>
        <w:rPr>
          <w:color w:val="000000"/>
          <w:sz w:val="24"/>
        </w:rPr>
        <w:t>10</w:t>
      </w:r>
      <w:r>
        <w:rPr>
          <w:color w:val="000000"/>
          <w:sz w:val="24"/>
        </w:rPr>
        <w:t>年期国债和国开债收益率均下行</w:t>
      </w:r>
      <w:r>
        <w:rPr>
          <w:color w:val="000000"/>
          <w:sz w:val="24"/>
        </w:rPr>
        <w:t>8BP</w:t>
      </w:r>
      <w:r>
        <w:rPr>
          <w:color w:val="000000"/>
          <w:sz w:val="24"/>
        </w:rPr>
        <w:t>，</w:t>
      </w:r>
      <w:r>
        <w:rPr>
          <w:color w:val="000000"/>
          <w:sz w:val="24"/>
        </w:rPr>
        <w:t>收益率整体仍是以下行为主。信用债则主要跟随利率债走势，收益率总体来看也是下行，中票收益率下行幅度大于城投债，信用利差多数呈收窄趋势。</w:t>
      </w:r>
    </w:p>
    <w:p w:rsidR="00601C50" w:rsidRDefault="00624EAF">
      <w:pPr>
        <w:spacing w:line="360" w:lineRule="auto"/>
        <w:ind w:firstLineChars="200" w:firstLine="480"/>
        <w:rPr>
          <w:color w:val="000000"/>
          <w:sz w:val="24"/>
        </w:rPr>
      </w:pPr>
      <w:r>
        <w:rPr>
          <w:color w:val="000000"/>
          <w:sz w:val="24"/>
        </w:rPr>
        <w:t>权益市场方面，受到中报相对景气、政策变化和贸易摩擦等方面的影响，三季度权益市场出现一定程度的风格切换。上证综指经历了</w:t>
      </w:r>
      <w:r>
        <w:rPr>
          <w:color w:val="000000"/>
          <w:sz w:val="24"/>
        </w:rPr>
        <w:t>“V”</w:t>
      </w:r>
      <w:r>
        <w:rPr>
          <w:color w:val="000000"/>
          <w:sz w:val="24"/>
        </w:rPr>
        <w:t>型行情，而创业板则几乎是一路上涨。在华为半导体供应链国产化、</w:t>
      </w:r>
      <w:r>
        <w:rPr>
          <w:color w:val="000000"/>
          <w:sz w:val="24"/>
        </w:rPr>
        <w:t>5G</w:t>
      </w:r>
      <w:r>
        <w:rPr>
          <w:color w:val="000000"/>
          <w:sz w:val="24"/>
        </w:rPr>
        <w:t>手机超预期，以及美国延迟对手机相关产品加征关税等影响下，通信、电子、半导体等板块表现最为突出。</w:t>
      </w:r>
      <w:r>
        <w:rPr>
          <w:color w:val="000000"/>
          <w:sz w:val="24"/>
        </w:rPr>
        <w:t>7-8</w:t>
      </w:r>
      <w:r>
        <w:rPr>
          <w:color w:val="000000"/>
          <w:sz w:val="24"/>
        </w:rPr>
        <w:t>月市场受到科创板开板和中美贸易谈判的催化，科技板块开启显著较好的表现，而大消费类中报业绩较好</w:t>
      </w:r>
      <w:r>
        <w:rPr>
          <w:color w:val="000000"/>
          <w:sz w:val="24"/>
        </w:rPr>
        <w:t>的白酒、医药等板块也继续表现领先。与此同时，政治局会议表态经济增长低于预期、</w:t>
      </w:r>
      <w:r>
        <w:rPr>
          <w:color w:val="000000"/>
          <w:sz w:val="24"/>
        </w:rPr>
        <w:t>LPR</w:t>
      </w:r>
      <w:r>
        <w:rPr>
          <w:color w:val="000000"/>
          <w:sz w:val="24"/>
        </w:rPr>
        <w:t>改革等使得大金融板块受到一定冲击，且在经济数据持续较差的情况下，房地产政策依然不断收紧，基建发力也不够强劲，传统周期板块表现也大幅落后。</w:t>
      </w:r>
      <w:r>
        <w:rPr>
          <w:color w:val="000000"/>
          <w:sz w:val="24"/>
        </w:rPr>
        <w:t>9</w:t>
      </w:r>
      <w:r>
        <w:rPr>
          <w:color w:val="000000"/>
          <w:sz w:val="24"/>
        </w:rPr>
        <w:t>月初，金融委提出加大逆周期调节和疏通货币传导机制，随后央行实施降准，持续提升了市场的宽松预期和风险偏好，科技板块继续领涨。但到了季末，</w:t>
      </w:r>
      <w:r>
        <w:rPr>
          <w:color w:val="000000"/>
          <w:sz w:val="24"/>
        </w:rPr>
        <w:t>MLF</w:t>
      </w:r>
      <w:r>
        <w:rPr>
          <w:color w:val="000000"/>
          <w:sz w:val="24"/>
        </w:rPr>
        <w:t>利率并未下降，且原油、猪价提升市场对于滞胀的担忧，对基本面及流动性的预期也受到压制，情绪和风险偏好有所趋弱，市场出现调整。虽然这一阶段低估值且业绩稳健的</w:t>
      </w:r>
      <w:r>
        <w:rPr>
          <w:color w:val="000000"/>
          <w:sz w:val="24"/>
        </w:rPr>
        <w:t>大金融板块表现出一定的抗跌性，但节前上证指数仍逐渐下跌退回到</w:t>
      </w:r>
      <w:r>
        <w:rPr>
          <w:color w:val="000000"/>
          <w:sz w:val="24"/>
        </w:rPr>
        <w:t>2900</w:t>
      </w:r>
      <w:r>
        <w:rPr>
          <w:color w:val="000000"/>
          <w:sz w:val="24"/>
        </w:rPr>
        <w:t>的位置。</w:t>
      </w:r>
    </w:p>
    <w:p w:rsidR="00F016DD" w:rsidRPr="00DF18FE" w:rsidRDefault="00F016DD" w:rsidP="00DF18FE">
      <w:pPr>
        <w:spacing w:line="360" w:lineRule="auto"/>
        <w:ind w:firstLineChars="200" w:firstLine="480"/>
        <w:rPr>
          <w:color w:val="000000"/>
          <w:sz w:val="24"/>
        </w:rPr>
      </w:pPr>
      <w:r w:rsidRPr="00DF18FE">
        <w:rPr>
          <w:color w:val="000000"/>
          <w:sz w:val="24"/>
        </w:rPr>
        <w:t>操作上，三季度组合股票主要选择高分红、低估值、较高</w:t>
      </w:r>
      <w:r w:rsidRPr="00DF18FE">
        <w:rPr>
          <w:color w:val="000000"/>
          <w:sz w:val="24"/>
        </w:rPr>
        <w:t>ROE</w:t>
      </w:r>
      <w:r w:rsidRPr="00DF18FE">
        <w:rPr>
          <w:color w:val="000000"/>
          <w:sz w:val="24"/>
        </w:rPr>
        <w:t>的优质个股，积极参与科创板与主板打新，作为收益增强。债券方面，持仓主要为信用债，采用票息以及杠杆策略。</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I</w:t>
      </w:r>
      <w:r w:rsidRPr="00DF18FE">
        <w:rPr>
          <w:color w:val="000000"/>
          <w:sz w:val="24"/>
        </w:rPr>
        <w:t>类基金份额净值为</w:t>
      </w:r>
      <w:r w:rsidRPr="00DF18FE">
        <w:rPr>
          <w:color w:val="000000"/>
          <w:sz w:val="24"/>
        </w:rPr>
        <w:t>1.106</w:t>
      </w:r>
      <w:r w:rsidRPr="00DF18FE">
        <w:rPr>
          <w:color w:val="000000"/>
          <w:sz w:val="24"/>
        </w:rPr>
        <w:t>元，本报告期份额净值增长率为</w:t>
      </w:r>
      <w:r w:rsidRPr="00DF18FE">
        <w:rPr>
          <w:color w:val="000000"/>
          <w:sz w:val="24"/>
        </w:rPr>
        <w:t>5.53%</w:t>
      </w:r>
      <w:r w:rsidRPr="00DF18FE">
        <w:rPr>
          <w:color w:val="000000"/>
          <w:sz w:val="24"/>
        </w:rPr>
        <w:t>；</w:t>
      </w:r>
      <w:r w:rsidRPr="00DF18FE">
        <w:rPr>
          <w:color w:val="000000"/>
          <w:sz w:val="24"/>
        </w:rPr>
        <w:t>E</w:t>
      </w:r>
      <w:r w:rsidRPr="00DF18FE">
        <w:rPr>
          <w:color w:val="000000"/>
          <w:sz w:val="24"/>
        </w:rPr>
        <w:t>类基金份额净值为</w:t>
      </w:r>
      <w:r w:rsidRPr="00DF18FE">
        <w:rPr>
          <w:color w:val="000000"/>
          <w:sz w:val="24"/>
        </w:rPr>
        <w:t>1.101</w:t>
      </w:r>
      <w:r w:rsidRPr="00DF18FE">
        <w:rPr>
          <w:color w:val="000000"/>
          <w:sz w:val="24"/>
        </w:rPr>
        <w:t>元，本报告期份额净值增长率为</w:t>
      </w:r>
      <w:r w:rsidRPr="00DF18FE">
        <w:rPr>
          <w:color w:val="000000"/>
          <w:sz w:val="24"/>
        </w:rPr>
        <w:t>5.46%</w:t>
      </w:r>
      <w:r w:rsidRPr="00DF18FE">
        <w:rPr>
          <w:color w:val="000000"/>
          <w:sz w:val="24"/>
        </w:rPr>
        <w:t>；同期业绩比较基准收益率为</w:t>
      </w:r>
      <w:r w:rsidRPr="00DF18FE">
        <w:rPr>
          <w:color w:val="000000"/>
          <w:sz w:val="24"/>
        </w:rPr>
        <w:t>0.98%</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75,746,394.23</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16.78</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75,746,394.23</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16.78</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351,819,389.28</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77.93</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341,819,389.28</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75.72</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10,000,000.00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2.22</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9,900,134.85</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2.19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8,314,995.05</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1.84</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5,670,040.64</w:t>
            </w:r>
          </w:p>
        </w:tc>
        <w:tc>
          <w:tcPr>
            <w:tcW w:w="1843" w:type="dxa"/>
            <w:vAlign w:val="center"/>
          </w:tcPr>
          <w:p w:rsidR="00F016DD" w:rsidRPr="00FA472B" w:rsidRDefault="00F016DD" w:rsidP="00F4518C">
            <w:pPr>
              <w:jc w:val="right"/>
              <w:rPr>
                <w:color w:val="000000"/>
                <w:sz w:val="24"/>
              </w:rPr>
            </w:pPr>
            <w:r w:rsidRPr="00FA472B">
              <w:rPr>
                <w:color w:val="000000"/>
                <w:sz w:val="24"/>
              </w:rPr>
              <w:t>1.26</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451,450,954.05</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8,959,317.92</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2.26</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21,332,360.97</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5.39</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8,151,678.30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2.06</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2,949,125.80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0.74</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lastRenderedPageBreak/>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3,254,572.00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0.82</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7,119,769.00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1.80</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78,198.64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0.02</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13,781,873.60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3.48</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10,119,498.00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2.56</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75,746,394.23</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19.13</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601C50">
        <w:tc>
          <w:tcPr>
            <w:tcW w:w="817" w:type="dxa"/>
            <w:vAlign w:val="center"/>
          </w:tcPr>
          <w:p w:rsidR="00601C50" w:rsidRDefault="00624EAF">
            <w:pPr>
              <w:jc w:val="center"/>
            </w:pPr>
            <w:r>
              <w:rPr>
                <w:color w:val="000000"/>
                <w:sz w:val="24"/>
              </w:rPr>
              <w:t>1</w:t>
            </w:r>
          </w:p>
        </w:tc>
        <w:tc>
          <w:tcPr>
            <w:tcW w:w="1276" w:type="dxa"/>
            <w:vAlign w:val="center"/>
          </w:tcPr>
          <w:p w:rsidR="00601C50" w:rsidRDefault="00624EAF">
            <w:pPr>
              <w:jc w:val="center"/>
            </w:pPr>
            <w:r>
              <w:rPr>
                <w:color w:val="000000"/>
                <w:sz w:val="24"/>
              </w:rPr>
              <w:t>601398</w:t>
            </w:r>
          </w:p>
        </w:tc>
        <w:tc>
          <w:tcPr>
            <w:tcW w:w="1417" w:type="dxa"/>
            <w:vAlign w:val="center"/>
          </w:tcPr>
          <w:p w:rsidR="00601C50" w:rsidRDefault="00624EAF">
            <w:pPr>
              <w:jc w:val="center"/>
            </w:pPr>
            <w:r>
              <w:rPr>
                <w:color w:val="000000"/>
                <w:sz w:val="24"/>
              </w:rPr>
              <w:t>工商银行</w:t>
            </w:r>
          </w:p>
        </w:tc>
        <w:tc>
          <w:tcPr>
            <w:tcW w:w="1560" w:type="dxa"/>
            <w:vAlign w:val="center"/>
          </w:tcPr>
          <w:p w:rsidR="00601C50" w:rsidRDefault="00624EAF">
            <w:pPr>
              <w:jc w:val="right"/>
            </w:pPr>
            <w:r>
              <w:rPr>
                <w:color w:val="000000"/>
                <w:sz w:val="24"/>
              </w:rPr>
              <w:t>854,380</w:t>
            </w:r>
          </w:p>
        </w:tc>
        <w:tc>
          <w:tcPr>
            <w:tcW w:w="2268" w:type="dxa"/>
            <w:vAlign w:val="center"/>
          </w:tcPr>
          <w:p w:rsidR="00601C50" w:rsidRDefault="00624EAF">
            <w:pPr>
              <w:jc w:val="right"/>
            </w:pPr>
            <w:r>
              <w:rPr>
                <w:color w:val="000000"/>
                <w:sz w:val="24"/>
              </w:rPr>
              <w:t>4,724,721.40</w:t>
            </w:r>
          </w:p>
        </w:tc>
        <w:tc>
          <w:tcPr>
            <w:tcW w:w="1559" w:type="dxa"/>
            <w:vAlign w:val="center"/>
          </w:tcPr>
          <w:p w:rsidR="00601C50" w:rsidRDefault="00624EAF">
            <w:pPr>
              <w:jc w:val="right"/>
            </w:pPr>
            <w:r>
              <w:rPr>
                <w:color w:val="000000"/>
                <w:sz w:val="24"/>
              </w:rPr>
              <w:t>1.19</w:t>
            </w:r>
          </w:p>
        </w:tc>
      </w:tr>
      <w:tr w:rsidR="00601C50">
        <w:tc>
          <w:tcPr>
            <w:tcW w:w="817" w:type="dxa"/>
            <w:vAlign w:val="center"/>
          </w:tcPr>
          <w:p w:rsidR="00601C50" w:rsidRDefault="00624EAF">
            <w:pPr>
              <w:jc w:val="center"/>
            </w:pPr>
            <w:r>
              <w:rPr>
                <w:color w:val="000000"/>
                <w:sz w:val="24"/>
              </w:rPr>
              <w:t>2</w:t>
            </w:r>
          </w:p>
        </w:tc>
        <w:tc>
          <w:tcPr>
            <w:tcW w:w="1276" w:type="dxa"/>
            <w:vAlign w:val="center"/>
          </w:tcPr>
          <w:p w:rsidR="00601C50" w:rsidRDefault="00624EAF">
            <w:pPr>
              <w:jc w:val="center"/>
            </w:pPr>
            <w:r>
              <w:rPr>
                <w:color w:val="000000"/>
                <w:sz w:val="24"/>
              </w:rPr>
              <w:t>600048</w:t>
            </w:r>
          </w:p>
        </w:tc>
        <w:tc>
          <w:tcPr>
            <w:tcW w:w="1417" w:type="dxa"/>
            <w:vAlign w:val="center"/>
          </w:tcPr>
          <w:p w:rsidR="00601C50" w:rsidRDefault="00624EAF">
            <w:pPr>
              <w:jc w:val="center"/>
            </w:pPr>
            <w:r>
              <w:rPr>
                <w:color w:val="000000"/>
                <w:sz w:val="24"/>
              </w:rPr>
              <w:t>保利地产</w:t>
            </w:r>
          </w:p>
        </w:tc>
        <w:tc>
          <w:tcPr>
            <w:tcW w:w="1560" w:type="dxa"/>
            <w:vAlign w:val="center"/>
          </w:tcPr>
          <w:p w:rsidR="00601C50" w:rsidRDefault="00624EAF">
            <w:pPr>
              <w:jc w:val="right"/>
            </w:pPr>
            <w:r>
              <w:rPr>
                <w:color w:val="000000"/>
                <w:sz w:val="24"/>
              </w:rPr>
              <w:t>236,500</w:t>
            </w:r>
          </w:p>
        </w:tc>
        <w:tc>
          <w:tcPr>
            <w:tcW w:w="2268" w:type="dxa"/>
            <w:vAlign w:val="center"/>
          </w:tcPr>
          <w:p w:rsidR="00601C50" w:rsidRDefault="00624EAF">
            <w:pPr>
              <w:jc w:val="right"/>
            </w:pPr>
            <w:r>
              <w:rPr>
                <w:color w:val="000000"/>
                <w:sz w:val="24"/>
              </w:rPr>
              <w:t>3,381,950.00</w:t>
            </w:r>
          </w:p>
        </w:tc>
        <w:tc>
          <w:tcPr>
            <w:tcW w:w="1559" w:type="dxa"/>
            <w:vAlign w:val="center"/>
          </w:tcPr>
          <w:p w:rsidR="00601C50" w:rsidRDefault="00624EAF">
            <w:pPr>
              <w:jc w:val="right"/>
            </w:pPr>
            <w:r>
              <w:rPr>
                <w:color w:val="000000"/>
                <w:sz w:val="24"/>
              </w:rPr>
              <w:t>0.85</w:t>
            </w:r>
          </w:p>
        </w:tc>
      </w:tr>
      <w:tr w:rsidR="00601C50">
        <w:tc>
          <w:tcPr>
            <w:tcW w:w="817" w:type="dxa"/>
            <w:vAlign w:val="center"/>
          </w:tcPr>
          <w:p w:rsidR="00601C50" w:rsidRDefault="00624EAF">
            <w:pPr>
              <w:jc w:val="center"/>
            </w:pPr>
            <w:r>
              <w:rPr>
                <w:color w:val="000000"/>
                <w:sz w:val="24"/>
              </w:rPr>
              <w:t>3</w:t>
            </w:r>
          </w:p>
        </w:tc>
        <w:tc>
          <w:tcPr>
            <w:tcW w:w="1276" w:type="dxa"/>
            <w:vAlign w:val="center"/>
          </w:tcPr>
          <w:p w:rsidR="00601C50" w:rsidRDefault="00624EAF">
            <w:pPr>
              <w:jc w:val="center"/>
            </w:pPr>
            <w:r>
              <w:rPr>
                <w:color w:val="000000"/>
                <w:sz w:val="24"/>
              </w:rPr>
              <w:t>600585</w:t>
            </w:r>
          </w:p>
        </w:tc>
        <w:tc>
          <w:tcPr>
            <w:tcW w:w="1417" w:type="dxa"/>
            <w:vAlign w:val="center"/>
          </w:tcPr>
          <w:p w:rsidR="00601C50" w:rsidRDefault="00624EAF">
            <w:pPr>
              <w:jc w:val="center"/>
            </w:pPr>
            <w:r>
              <w:rPr>
                <w:color w:val="000000"/>
                <w:sz w:val="24"/>
              </w:rPr>
              <w:t>海螺水泥</w:t>
            </w:r>
          </w:p>
        </w:tc>
        <w:tc>
          <w:tcPr>
            <w:tcW w:w="1560" w:type="dxa"/>
            <w:vAlign w:val="center"/>
          </w:tcPr>
          <w:p w:rsidR="00601C50" w:rsidRDefault="00624EAF">
            <w:pPr>
              <w:jc w:val="right"/>
            </w:pPr>
            <w:r>
              <w:rPr>
                <w:color w:val="000000"/>
                <w:sz w:val="24"/>
              </w:rPr>
              <w:t>81,200</w:t>
            </w:r>
          </w:p>
        </w:tc>
        <w:tc>
          <w:tcPr>
            <w:tcW w:w="2268" w:type="dxa"/>
            <w:vAlign w:val="center"/>
          </w:tcPr>
          <w:p w:rsidR="00601C50" w:rsidRDefault="00624EAF">
            <w:pPr>
              <w:jc w:val="right"/>
            </w:pPr>
            <w:r>
              <w:rPr>
                <w:color w:val="000000"/>
                <w:sz w:val="24"/>
              </w:rPr>
              <w:t>3,356,808.00</w:t>
            </w:r>
          </w:p>
        </w:tc>
        <w:tc>
          <w:tcPr>
            <w:tcW w:w="1559" w:type="dxa"/>
            <w:vAlign w:val="center"/>
          </w:tcPr>
          <w:p w:rsidR="00601C50" w:rsidRDefault="00624EAF">
            <w:pPr>
              <w:jc w:val="right"/>
            </w:pPr>
            <w:r>
              <w:rPr>
                <w:color w:val="000000"/>
                <w:sz w:val="24"/>
              </w:rPr>
              <w:t>0.85</w:t>
            </w:r>
          </w:p>
        </w:tc>
      </w:tr>
      <w:tr w:rsidR="00601C50">
        <w:tc>
          <w:tcPr>
            <w:tcW w:w="817" w:type="dxa"/>
            <w:vAlign w:val="center"/>
          </w:tcPr>
          <w:p w:rsidR="00601C50" w:rsidRDefault="00624EAF">
            <w:pPr>
              <w:jc w:val="center"/>
            </w:pPr>
            <w:r>
              <w:rPr>
                <w:color w:val="000000"/>
                <w:sz w:val="24"/>
              </w:rPr>
              <w:t>4</w:t>
            </w:r>
          </w:p>
        </w:tc>
        <w:tc>
          <w:tcPr>
            <w:tcW w:w="1276" w:type="dxa"/>
            <w:vAlign w:val="center"/>
          </w:tcPr>
          <w:p w:rsidR="00601C50" w:rsidRDefault="00624EAF">
            <w:pPr>
              <w:jc w:val="center"/>
            </w:pPr>
            <w:r>
              <w:rPr>
                <w:color w:val="000000"/>
                <w:sz w:val="24"/>
              </w:rPr>
              <w:t>600066</w:t>
            </w:r>
          </w:p>
        </w:tc>
        <w:tc>
          <w:tcPr>
            <w:tcW w:w="1417" w:type="dxa"/>
            <w:vAlign w:val="center"/>
          </w:tcPr>
          <w:p w:rsidR="00601C50" w:rsidRDefault="00624EAF">
            <w:pPr>
              <w:jc w:val="center"/>
            </w:pPr>
            <w:r>
              <w:rPr>
                <w:color w:val="000000"/>
                <w:sz w:val="24"/>
              </w:rPr>
              <w:t>宇通客车</w:t>
            </w:r>
          </w:p>
        </w:tc>
        <w:tc>
          <w:tcPr>
            <w:tcW w:w="1560" w:type="dxa"/>
            <w:vAlign w:val="center"/>
          </w:tcPr>
          <w:p w:rsidR="00601C50" w:rsidRDefault="00624EAF">
            <w:pPr>
              <w:jc w:val="right"/>
            </w:pPr>
            <w:r>
              <w:rPr>
                <w:color w:val="000000"/>
                <w:sz w:val="24"/>
              </w:rPr>
              <w:t>240,400</w:t>
            </w:r>
          </w:p>
        </w:tc>
        <w:tc>
          <w:tcPr>
            <w:tcW w:w="2268" w:type="dxa"/>
            <w:vAlign w:val="center"/>
          </w:tcPr>
          <w:p w:rsidR="00601C50" w:rsidRDefault="00624EAF">
            <w:pPr>
              <w:jc w:val="right"/>
            </w:pPr>
            <w:r>
              <w:rPr>
                <w:color w:val="000000"/>
                <w:sz w:val="24"/>
              </w:rPr>
              <w:t>3,341,560.00</w:t>
            </w:r>
          </w:p>
        </w:tc>
        <w:tc>
          <w:tcPr>
            <w:tcW w:w="1559" w:type="dxa"/>
            <w:vAlign w:val="center"/>
          </w:tcPr>
          <w:p w:rsidR="00601C50" w:rsidRDefault="00624EAF">
            <w:pPr>
              <w:jc w:val="right"/>
            </w:pPr>
            <w:r>
              <w:rPr>
                <w:color w:val="000000"/>
                <w:sz w:val="24"/>
              </w:rPr>
              <w:t>0.84</w:t>
            </w:r>
          </w:p>
        </w:tc>
      </w:tr>
      <w:tr w:rsidR="00601C50">
        <w:tc>
          <w:tcPr>
            <w:tcW w:w="817" w:type="dxa"/>
            <w:vAlign w:val="center"/>
          </w:tcPr>
          <w:p w:rsidR="00601C50" w:rsidRDefault="00624EAF">
            <w:pPr>
              <w:jc w:val="center"/>
            </w:pPr>
            <w:r>
              <w:rPr>
                <w:color w:val="000000"/>
                <w:sz w:val="24"/>
              </w:rPr>
              <w:t>5</w:t>
            </w:r>
          </w:p>
        </w:tc>
        <w:tc>
          <w:tcPr>
            <w:tcW w:w="1276" w:type="dxa"/>
            <w:vAlign w:val="center"/>
          </w:tcPr>
          <w:p w:rsidR="00601C50" w:rsidRDefault="00624EAF">
            <w:pPr>
              <w:jc w:val="center"/>
            </w:pPr>
            <w:r>
              <w:rPr>
                <w:color w:val="000000"/>
                <w:sz w:val="24"/>
              </w:rPr>
              <w:t>600704</w:t>
            </w:r>
          </w:p>
        </w:tc>
        <w:tc>
          <w:tcPr>
            <w:tcW w:w="1417" w:type="dxa"/>
            <w:vAlign w:val="center"/>
          </w:tcPr>
          <w:p w:rsidR="00601C50" w:rsidRDefault="00624EAF">
            <w:pPr>
              <w:jc w:val="center"/>
            </w:pPr>
            <w:r>
              <w:rPr>
                <w:color w:val="000000"/>
                <w:sz w:val="24"/>
              </w:rPr>
              <w:t>物产中大</w:t>
            </w:r>
          </w:p>
        </w:tc>
        <w:tc>
          <w:tcPr>
            <w:tcW w:w="1560" w:type="dxa"/>
            <w:vAlign w:val="center"/>
          </w:tcPr>
          <w:p w:rsidR="00601C50" w:rsidRDefault="00624EAF">
            <w:pPr>
              <w:jc w:val="right"/>
            </w:pPr>
            <w:r>
              <w:rPr>
                <w:color w:val="000000"/>
                <w:sz w:val="24"/>
              </w:rPr>
              <w:t>593,900</w:t>
            </w:r>
          </w:p>
        </w:tc>
        <w:tc>
          <w:tcPr>
            <w:tcW w:w="2268" w:type="dxa"/>
            <w:vAlign w:val="center"/>
          </w:tcPr>
          <w:p w:rsidR="00601C50" w:rsidRDefault="00624EAF">
            <w:pPr>
              <w:jc w:val="right"/>
            </w:pPr>
            <w:r>
              <w:rPr>
                <w:color w:val="000000"/>
                <w:sz w:val="24"/>
              </w:rPr>
              <w:t>3,254,572.00</w:t>
            </w:r>
          </w:p>
        </w:tc>
        <w:tc>
          <w:tcPr>
            <w:tcW w:w="1559" w:type="dxa"/>
            <w:vAlign w:val="center"/>
          </w:tcPr>
          <w:p w:rsidR="00601C50" w:rsidRDefault="00624EAF">
            <w:pPr>
              <w:jc w:val="right"/>
            </w:pPr>
            <w:r>
              <w:rPr>
                <w:color w:val="000000"/>
                <w:sz w:val="24"/>
              </w:rPr>
              <w:t>0.82</w:t>
            </w:r>
          </w:p>
        </w:tc>
      </w:tr>
      <w:tr w:rsidR="00601C50">
        <w:tc>
          <w:tcPr>
            <w:tcW w:w="817" w:type="dxa"/>
            <w:vAlign w:val="center"/>
          </w:tcPr>
          <w:p w:rsidR="00601C50" w:rsidRDefault="00624EAF">
            <w:pPr>
              <w:jc w:val="center"/>
            </w:pPr>
            <w:r>
              <w:rPr>
                <w:color w:val="000000"/>
                <w:sz w:val="24"/>
              </w:rPr>
              <w:t>6</w:t>
            </w:r>
          </w:p>
        </w:tc>
        <w:tc>
          <w:tcPr>
            <w:tcW w:w="1276" w:type="dxa"/>
            <w:vAlign w:val="center"/>
          </w:tcPr>
          <w:p w:rsidR="00601C50" w:rsidRDefault="00624EAF">
            <w:pPr>
              <w:jc w:val="center"/>
            </w:pPr>
            <w:r>
              <w:rPr>
                <w:color w:val="000000"/>
                <w:sz w:val="24"/>
              </w:rPr>
              <w:t>601088</w:t>
            </w:r>
          </w:p>
        </w:tc>
        <w:tc>
          <w:tcPr>
            <w:tcW w:w="1417" w:type="dxa"/>
            <w:vAlign w:val="center"/>
          </w:tcPr>
          <w:p w:rsidR="00601C50" w:rsidRDefault="00624EAF">
            <w:pPr>
              <w:jc w:val="center"/>
            </w:pPr>
            <w:r>
              <w:rPr>
                <w:color w:val="000000"/>
                <w:sz w:val="24"/>
              </w:rPr>
              <w:t>中国神华</w:t>
            </w:r>
          </w:p>
        </w:tc>
        <w:tc>
          <w:tcPr>
            <w:tcW w:w="1560" w:type="dxa"/>
            <w:vAlign w:val="center"/>
          </w:tcPr>
          <w:p w:rsidR="00601C50" w:rsidRDefault="00624EAF">
            <w:pPr>
              <w:jc w:val="right"/>
            </w:pPr>
            <w:r>
              <w:rPr>
                <w:color w:val="000000"/>
                <w:sz w:val="24"/>
              </w:rPr>
              <w:t>169,064</w:t>
            </w:r>
          </w:p>
        </w:tc>
        <w:tc>
          <w:tcPr>
            <w:tcW w:w="2268" w:type="dxa"/>
            <w:vAlign w:val="center"/>
          </w:tcPr>
          <w:p w:rsidR="00601C50" w:rsidRDefault="00624EAF">
            <w:pPr>
              <w:jc w:val="right"/>
            </w:pPr>
            <w:r>
              <w:rPr>
                <w:color w:val="000000"/>
                <w:sz w:val="24"/>
              </w:rPr>
              <w:t>3,175,021.92</w:t>
            </w:r>
          </w:p>
        </w:tc>
        <w:tc>
          <w:tcPr>
            <w:tcW w:w="1559" w:type="dxa"/>
            <w:vAlign w:val="center"/>
          </w:tcPr>
          <w:p w:rsidR="00601C50" w:rsidRDefault="00624EAF">
            <w:pPr>
              <w:jc w:val="right"/>
            </w:pPr>
            <w:r>
              <w:rPr>
                <w:color w:val="000000"/>
                <w:sz w:val="24"/>
              </w:rPr>
              <w:t>0.80</w:t>
            </w:r>
          </w:p>
        </w:tc>
      </w:tr>
      <w:tr w:rsidR="00601C50">
        <w:tc>
          <w:tcPr>
            <w:tcW w:w="817" w:type="dxa"/>
            <w:vAlign w:val="center"/>
          </w:tcPr>
          <w:p w:rsidR="00601C50" w:rsidRDefault="00624EAF">
            <w:pPr>
              <w:jc w:val="center"/>
            </w:pPr>
            <w:r>
              <w:rPr>
                <w:color w:val="000000"/>
                <w:sz w:val="24"/>
              </w:rPr>
              <w:t>7</w:t>
            </w:r>
          </w:p>
        </w:tc>
        <w:tc>
          <w:tcPr>
            <w:tcW w:w="1276" w:type="dxa"/>
            <w:vAlign w:val="center"/>
          </w:tcPr>
          <w:p w:rsidR="00601C50" w:rsidRDefault="00624EAF">
            <w:pPr>
              <w:jc w:val="center"/>
            </w:pPr>
            <w:r>
              <w:rPr>
                <w:color w:val="000000"/>
                <w:sz w:val="24"/>
              </w:rPr>
              <w:t>600900</w:t>
            </w:r>
          </w:p>
        </w:tc>
        <w:tc>
          <w:tcPr>
            <w:tcW w:w="1417" w:type="dxa"/>
            <w:vAlign w:val="center"/>
          </w:tcPr>
          <w:p w:rsidR="00601C50" w:rsidRDefault="00624EAF">
            <w:pPr>
              <w:jc w:val="center"/>
            </w:pPr>
            <w:r>
              <w:rPr>
                <w:color w:val="000000"/>
                <w:sz w:val="24"/>
              </w:rPr>
              <w:t>长江电力</w:t>
            </w:r>
          </w:p>
        </w:tc>
        <w:tc>
          <w:tcPr>
            <w:tcW w:w="1560" w:type="dxa"/>
            <w:vAlign w:val="center"/>
          </w:tcPr>
          <w:p w:rsidR="00601C50" w:rsidRDefault="00624EAF">
            <w:pPr>
              <w:jc w:val="right"/>
            </w:pPr>
            <w:r>
              <w:rPr>
                <w:color w:val="000000"/>
                <w:sz w:val="24"/>
              </w:rPr>
              <w:t>170,050</w:t>
            </w:r>
          </w:p>
        </w:tc>
        <w:tc>
          <w:tcPr>
            <w:tcW w:w="2268" w:type="dxa"/>
            <w:vAlign w:val="center"/>
          </w:tcPr>
          <w:p w:rsidR="00601C50" w:rsidRDefault="00624EAF">
            <w:pPr>
              <w:jc w:val="right"/>
            </w:pPr>
            <w:r>
              <w:rPr>
                <w:color w:val="000000"/>
                <w:sz w:val="24"/>
              </w:rPr>
              <w:t>3,100,011.50</w:t>
            </w:r>
          </w:p>
        </w:tc>
        <w:tc>
          <w:tcPr>
            <w:tcW w:w="1559" w:type="dxa"/>
            <w:vAlign w:val="center"/>
          </w:tcPr>
          <w:p w:rsidR="00601C50" w:rsidRDefault="00624EAF">
            <w:pPr>
              <w:jc w:val="right"/>
            </w:pPr>
            <w:r>
              <w:rPr>
                <w:color w:val="000000"/>
                <w:sz w:val="24"/>
              </w:rPr>
              <w:t>0.78</w:t>
            </w:r>
          </w:p>
        </w:tc>
      </w:tr>
      <w:tr w:rsidR="00601C50">
        <w:tc>
          <w:tcPr>
            <w:tcW w:w="817" w:type="dxa"/>
            <w:vAlign w:val="center"/>
          </w:tcPr>
          <w:p w:rsidR="00601C50" w:rsidRDefault="00624EAF">
            <w:pPr>
              <w:jc w:val="center"/>
            </w:pPr>
            <w:r>
              <w:rPr>
                <w:color w:val="000000"/>
                <w:sz w:val="24"/>
              </w:rPr>
              <w:t>8</w:t>
            </w:r>
          </w:p>
        </w:tc>
        <w:tc>
          <w:tcPr>
            <w:tcW w:w="1276" w:type="dxa"/>
            <w:vAlign w:val="center"/>
          </w:tcPr>
          <w:p w:rsidR="00601C50" w:rsidRDefault="00624EAF">
            <w:pPr>
              <w:jc w:val="center"/>
            </w:pPr>
            <w:r>
              <w:rPr>
                <w:color w:val="000000"/>
                <w:sz w:val="24"/>
              </w:rPr>
              <w:t>600377</w:t>
            </w:r>
          </w:p>
        </w:tc>
        <w:tc>
          <w:tcPr>
            <w:tcW w:w="1417" w:type="dxa"/>
            <w:vAlign w:val="center"/>
          </w:tcPr>
          <w:p w:rsidR="00601C50" w:rsidRDefault="00624EAF">
            <w:pPr>
              <w:jc w:val="center"/>
            </w:pPr>
            <w:r>
              <w:rPr>
                <w:color w:val="000000"/>
                <w:sz w:val="24"/>
              </w:rPr>
              <w:t>宁沪高速</w:t>
            </w:r>
          </w:p>
        </w:tc>
        <w:tc>
          <w:tcPr>
            <w:tcW w:w="1560" w:type="dxa"/>
            <w:vAlign w:val="center"/>
          </w:tcPr>
          <w:p w:rsidR="00601C50" w:rsidRDefault="00624EAF">
            <w:pPr>
              <w:jc w:val="right"/>
            </w:pPr>
            <w:r>
              <w:rPr>
                <w:color w:val="000000"/>
                <w:sz w:val="24"/>
              </w:rPr>
              <w:t>297,300</w:t>
            </w:r>
          </w:p>
        </w:tc>
        <w:tc>
          <w:tcPr>
            <w:tcW w:w="2268" w:type="dxa"/>
            <w:vAlign w:val="center"/>
          </w:tcPr>
          <w:p w:rsidR="00601C50" w:rsidRDefault="00624EAF">
            <w:pPr>
              <w:jc w:val="right"/>
            </w:pPr>
            <w:r>
              <w:rPr>
                <w:color w:val="000000"/>
                <w:sz w:val="24"/>
              </w:rPr>
              <w:t>3,088,947.00</w:t>
            </w:r>
          </w:p>
        </w:tc>
        <w:tc>
          <w:tcPr>
            <w:tcW w:w="1559" w:type="dxa"/>
            <w:vAlign w:val="center"/>
          </w:tcPr>
          <w:p w:rsidR="00601C50" w:rsidRDefault="00624EAF">
            <w:pPr>
              <w:jc w:val="right"/>
            </w:pPr>
            <w:r>
              <w:rPr>
                <w:color w:val="000000"/>
                <w:sz w:val="24"/>
              </w:rPr>
              <w:t>0.78</w:t>
            </w:r>
          </w:p>
        </w:tc>
      </w:tr>
      <w:tr w:rsidR="00601C50">
        <w:tc>
          <w:tcPr>
            <w:tcW w:w="817" w:type="dxa"/>
            <w:vAlign w:val="center"/>
          </w:tcPr>
          <w:p w:rsidR="00601C50" w:rsidRDefault="00624EAF">
            <w:pPr>
              <w:jc w:val="center"/>
            </w:pPr>
            <w:r>
              <w:rPr>
                <w:color w:val="000000"/>
                <w:sz w:val="24"/>
              </w:rPr>
              <w:t>9</w:t>
            </w:r>
          </w:p>
        </w:tc>
        <w:tc>
          <w:tcPr>
            <w:tcW w:w="1276" w:type="dxa"/>
            <w:vAlign w:val="center"/>
          </w:tcPr>
          <w:p w:rsidR="00601C50" w:rsidRDefault="00624EAF">
            <w:pPr>
              <w:jc w:val="center"/>
            </w:pPr>
            <w:r>
              <w:rPr>
                <w:color w:val="000000"/>
                <w:sz w:val="24"/>
              </w:rPr>
              <w:t>600104</w:t>
            </w:r>
          </w:p>
        </w:tc>
        <w:tc>
          <w:tcPr>
            <w:tcW w:w="1417" w:type="dxa"/>
            <w:vAlign w:val="center"/>
          </w:tcPr>
          <w:p w:rsidR="00601C50" w:rsidRDefault="00624EAF">
            <w:pPr>
              <w:jc w:val="center"/>
            </w:pPr>
            <w:r>
              <w:rPr>
                <w:color w:val="000000"/>
                <w:sz w:val="24"/>
              </w:rPr>
              <w:t>上汽集团</w:t>
            </w:r>
          </w:p>
        </w:tc>
        <w:tc>
          <w:tcPr>
            <w:tcW w:w="1560" w:type="dxa"/>
            <w:vAlign w:val="center"/>
          </w:tcPr>
          <w:p w:rsidR="00601C50" w:rsidRDefault="00624EAF">
            <w:pPr>
              <w:jc w:val="right"/>
            </w:pPr>
            <w:r>
              <w:rPr>
                <w:color w:val="000000"/>
                <w:sz w:val="24"/>
              </w:rPr>
              <w:t>128,800</w:t>
            </w:r>
          </w:p>
        </w:tc>
        <w:tc>
          <w:tcPr>
            <w:tcW w:w="2268" w:type="dxa"/>
            <w:vAlign w:val="center"/>
          </w:tcPr>
          <w:p w:rsidR="00601C50" w:rsidRDefault="00624EAF">
            <w:pPr>
              <w:jc w:val="right"/>
            </w:pPr>
            <w:r>
              <w:rPr>
                <w:color w:val="000000"/>
                <w:sz w:val="24"/>
              </w:rPr>
              <w:t>3,062,864.00</w:t>
            </w:r>
          </w:p>
        </w:tc>
        <w:tc>
          <w:tcPr>
            <w:tcW w:w="1559" w:type="dxa"/>
            <w:vAlign w:val="center"/>
          </w:tcPr>
          <w:p w:rsidR="00601C50" w:rsidRDefault="00624EAF">
            <w:pPr>
              <w:jc w:val="right"/>
            </w:pPr>
            <w:r>
              <w:rPr>
                <w:color w:val="000000"/>
                <w:sz w:val="24"/>
              </w:rPr>
              <w:t>0.77</w:t>
            </w:r>
          </w:p>
        </w:tc>
      </w:tr>
      <w:tr w:rsidR="00601C50">
        <w:tc>
          <w:tcPr>
            <w:tcW w:w="817" w:type="dxa"/>
            <w:vAlign w:val="center"/>
          </w:tcPr>
          <w:p w:rsidR="00601C50" w:rsidRDefault="00624EAF">
            <w:pPr>
              <w:jc w:val="center"/>
            </w:pPr>
            <w:r>
              <w:rPr>
                <w:color w:val="000000"/>
                <w:sz w:val="24"/>
              </w:rPr>
              <w:t>10</w:t>
            </w:r>
          </w:p>
        </w:tc>
        <w:tc>
          <w:tcPr>
            <w:tcW w:w="1276" w:type="dxa"/>
            <w:vAlign w:val="center"/>
          </w:tcPr>
          <w:p w:rsidR="00601C50" w:rsidRDefault="00624EAF">
            <w:pPr>
              <w:jc w:val="center"/>
            </w:pPr>
            <w:r>
              <w:rPr>
                <w:color w:val="000000"/>
                <w:sz w:val="24"/>
              </w:rPr>
              <w:t>601006</w:t>
            </w:r>
          </w:p>
        </w:tc>
        <w:tc>
          <w:tcPr>
            <w:tcW w:w="1417" w:type="dxa"/>
            <w:vAlign w:val="center"/>
          </w:tcPr>
          <w:p w:rsidR="00601C50" w:rsidRDefault="00624EAF">
            <w:pPr>
              <w:jc w:val="center"/>
            </w:pPr>
            <w:r>
              <w:rPr>
                <w:color w:val="000000"/>
                <w:sz w:val="24"/>
              </w:rPr>
              <w:t>大秦铁路</w:t>
            </w:r>
          </w:p>
        </w:tc>
        <w:tc>
          <w:tcPr>
            <w:tcW w:w="1560" w:type="dxa"/>
            <w:vAlign w:val="center"/>
          </w:tcPr>
          <w:p w:rsidR="00601C50" w:rsidRDefault="00624EAF">
            <w:pPr>
              <w:jc w:val="right"/>
            </w:pPr>
            <w:r>
              <w:rPr>
                <w:color w:val="000000"/>
                <w:sz w:val="24"/>
              </w:rPr>
              <w:t>402,200</w:t>
            </w:r>
          </w:p>
        </w:tc>
        <w:tc>
          <w:tcPr>
            <w:tcW w:w="2268" w:type="dxa"/>
            <w:vAlign w:val="center"/>
          </w:tcPr>
          <w:p w:rsidR="00601C50" w:rsidRDefault="00624EAF">
            <w:pPr>
              <w:jc w:val="right"/>
            </w:pPr>
            <w:r>
              <w:rPr>
                <w:color w:val="000000"/>
                <w:sz w:val="24"/>
              </w:rPr>
              <w:t>3,052,698.00</w:t>
            </w:r>
          </w:p>
        </w:tc>
        <w:tc>
          <w:tcPr>
            <w:tcW w:w="1559" w:type="dxa"/>
            <w:vAlign w:val="center"/>
          </w:tcPr>
          <w:p w:rsidR="00601C50" w:rsidRDefault="00624EAF">
            <w:pPr>
              <w:jc w:val="right"/>
            </w:pPr>
            <w:r>
              <w:rPr>
                <w:color w:val="000000"/>
                <w:sz w:val="24"/>
              </w:rPr>
              <w:t>0.77</w:t>
            </w:r>
          </w:p>
        </w:tc>
      </w:tr>
    </w:tbl>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19,994,000.00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5.05</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19,994,000.00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5.05</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102,640,390.00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25.92</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219,130,000.00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55.33</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54,999.28</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0.01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341,819,389.28</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86.31</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601C50">
        <w:tc>
          <w:tcPr>
            <w:tcW w:w="802" w:type="dxa"/>
            <w:vAlign w:val="center"/>
          </w:tcPr>
          <w:p w:rsidR="00601C50" w:rsidRDefault="00624EAF">
            <w:pPr>
              <w:jc w:val="center"/>
            </w:pPr>
            <w:r>
              <w:rPr>
                <w:color w:val="000000"/>
                <w:sz w:val="24"/>
              </w:rPr>
              <w:t>1</w:t>
            </w:r>
          </w:p>
        </w:tc>
        <w:tc>
          <w:tcPr>
            <w:tcW w:w="1559" w:type="dxa"/>
            <w:vAlign w:val="center"/>
          </w:tcPr>
          <w:p w:rsidR="00601C50" w:rsidRDefault="00624EAF">
            <w:pPr>
              <w:jc w:val="center"/>
            </w:pPr>
            <w:r>
              <w:rPr>
                <w:color w:val="000000"/>
                <w:sz w:val="24"/>
              </w:rPr>
              <w:t>101800773</w:t>
            </w:r>
          </w:p>
        </w:tc>
        <w:tc>
          <w:tcPr>
            <w:tcW w:w="1985" w:type="dxa"/>
            <w:vAlign w:val="center"/>
          </w:tcPr>
          <w:p w:rsidR="00601C50" w:rsidRDefault="00624EAF">
            <w:pPr>
              <w:jc w:val="center"/>
            </w:pPr>
            <w:r>
              <w:rPr>
                <w:color w:val="000000"/>
                <w:sz w:val="24"/>
              </w:rPr>
              <w:t>18</w:t>
            </w:r>
            <w:r>
              <w:rPr>
                <w:color w:val="000000"/>
                <w:sz w:val="24"/>
              </w:rPr>
              <w:t>首钢</w:t>
            </w:r>
            <w:r>
              <w:rPr>
                <w:color w:val="000000"/>
                <w:sz w:val="24"/>
              </w:rPr>
              <w:t>MTN002</w:t>
            </w:r>
          </w:p>
        </w:tc>
        <w:tc>
          <w:tcPr>
            <w:tcW w:w="1559" w:type="dxa"/>
            <w:vAlign w:val="center"/>
          </w:tcPr>
          <w:p w:rsidR="00601C50" w:rsidRDefault="00624EAF">
            <w:pPr>
              <w:jc w:val="right"/>
            </w:pPr>
            <w:r>
              <w:rPr>
                <w:color w:val="000000"/>
                <w:sz w:val="24"/>
              </w:rPr>
              <w:t>200,000</w:t>
            </w:r>
          </w:p>
        </w:tc>
        <w:tc>
          <w:tcPr>
            <w:tcW w:w="2126" w:type="dxa"/>
            <w:vAlign w:val="center"/>
          </w:tcPr>
          <w:p w:rsidR="00601C50" w:rsidRDefault="00624EAF">
            <w:pPr>
              <w:jc w:val="right"/>
            </w:pPr>
            <w:r>
              <w:rPr>
                <w:color w:val="000000"/>
                <w:sz w:val="24"/>
              </w:rPr>
              <w:t>20,450,000.00</w:t>
            </w:r>
          </w:p>
        </w:tc>
        <w:tc>
          <w:tcPr>
            <w:tcW w:w="990" w:type="dxa"/>
            <w:vAlign w:val="center"/>
          </w:tcPr>
          <w:p w:rsidR="00601C50" w:rsidRDefault="00624EAF">
            <w:pPr>
              <w:jc w:val="right"/>
            </w:pPr>
            <w:r>
              <w:rPr>
                <w:color w:val="000000"/>
                <w:sz w:val="24"/>
              </w:rPr>
              <w:t>5.16</w:t>
            </w:r>
          </w:p>
        </w:tc>
      </w:tr>
      <w:tr w:rsidR="00601C50">
        <w:tc>
          <w:tcPr>
            <w:tcW w:w="802" w:type="dxa"/>
            <w:vAlign w:val="center"/>
          </w:tcPr>
          <w:p w:rsidR="00601C50" w:rsidRDefault="00624EAF">
            <w:pPr>
              <w:jc w:val="center"/>
            </w:pPr>
            <w:r>
              <w:rPr>
                <w:color w:val="000000"/>
                <w:sz w:val="24"/>
              </w:rPr>
              <w:t>2</w:t>
            </w:r>
          </w:p>
        </w:tc>
        <w:tc>
          <w:tcPr>
            <w:tcW w:w="1559" w:type="dxa"/>
            <w:vAlign w:val="center"/>
          </w:tcPr>
          <w:p w:rsidR="00601C50" w:rsidRDefault="00624EAF">
            <w:pPr>
              <w:jc w:val="center"/>
            </w:pPr>
            <w:r>
              <w:rPr>
                <w:color w:val="000000"/>
                <w:sz w:val="24"/>
              </w:rPr>
              <w:t>101660004</w:t>
            </w:r>
          </w:p>
        </w:tc>
        <w:tc>
          <w:tcPr>
            <w:tcW w:w="1985" w:type="dxa"/>
            <w:vAlign w:val="center"/>
          </w:tcPr>
          <w:p w:rsidR="00601C50" w:rsidRDefault="00624EAF">
            <w:pPr>
              <w:jc w:val="center"/>
            </w:pPr>
            <w:r>
              <w:rPr>
                <w:color w:val="000000"/>
                <w:sz w:val="24"/>
              </w:rPr>
              <w:t>16</w:t>
            </w:r>
            <w:r>
              <w:rPr>
                <w:color w:val="000000"/>
                <w:sz w:val="24"/>
              </w:rPr>
              <w:t>陕有色</w:t>
            </w:r>
            <w:r>
              <w:rPr>
                <w:color w:val="000000"/>
                <w:sz w:val="24"/>
              </w:rPr>
              <w:t>MTN001</w:t>
            </w:r>
          </w:p>
        </w:tc>
        <w:tc>
          <w:tcPr>
            <w:tcW w:w="1559" w:type="dxa"/>
            <w:vAlign w:val="center"/>
          </w:tcPr>
          <w:p w:rsidR="00601C50" w:rsidRDefault="00624EAF">
            <w:pPr>
              <w:jc w:val="right"/>
            </w:pPr>
            <w:r>
              <w:rPr>
                <w:color w:val="000000"/>
                <w:sz w:val="24"/>
              </w:rPr>
              <w:t>200,000</w:t>
            </w:r>
          </w:p>
        </w:tc>
        <w:tc>
          <w:tcPr>
            <w:tcW w:w="2126" w:type="dxa"/>
            <w:vAlign w:val="center"/>
          </w:tcPr>
          <w:p w:rsidR="00601C50" w:rsidRDefault="00624EAF">
            <w:pPr>
              <w:jc w:val="right"/>
            </w:pPr>
            <w:r>
              <w:rPr>
                <w:color w:val="000000"/>
                <w:sz w:val="24"/>
              </w:rPr>
              <w:t>20,416,000.00</w:t>
            </w:r>
          </w:p>
        </w:tc>
        <w:tc>
          <w:tcPr>
            <w:tcW w:w="990" w:type="dxa"/>
            <w:vAlign w:val="center"/>
          </w:tcPr>
          <w:p w:rsidR="00601C50" w:rsidRDefault="00624EAF">
            <w:pPr>
              <w:jc w:val="right"/>
            </w:pPr>
            <w:r>
              <w:rPr>
                <w:color w:val="000000"/>
                <w:sz w:val="24"/>
              </w:rPr>
              <w:t>5.15</w:t>
            </w:r>
          </w:p>
        </w:tc>
      </w:tr>
      <w:tr w:rsidR="00601C50">
        <w:tc>
          <w:tcPr>
            <w:tcW w:w="802" w:type="dxa"/>
            <w:vAlign w:val="center"/>
          </w:tcPr>
          <w:p w:rsidR="00601C50" w:rsidRDefault="00624EAF">
            <w:pPr>
              <w:jc w:val="center"/>
            </w:pPr>
            <w:r>
              <w:rPr>
                <w:color w:val="000000"/>
                <w:sz w:val="24"/>
              </w:rPr>
              <w:t>3</w:t>
            </w:r>
          </w:p>
        </w:tc>
        <w:tc>
          <w:tcPr>
            <w:tcW w:w="1559" w:type="dxa"/>
            <w:vAlign w:val="center"/>
          </w:tcPr>
          <w:p w:rsidR="00601C50" w:rsidRDefault="00624EAF">
            <w:pPr>
              <w:jc w:val="center"/>
            </w:pPr>
            <w:r>
              <w:rPr>
                <w:color w:val="000000"/>
                <w:sz w:val="24"/>
              </w:rPr>
              <w:t>101900751</w:t>
            </w:r>
          </w:p>
        </w:tc>
        <w:tc>
          <w:tcPr>
            <w:tcW w:w="1985" w:type="dxa"/>
            <w:vAlign w:val="center"/>
          </w:tcPr>
          <w:p w:rsidR="00601C50" w:rsidRDefault="00624EAF">
            <w:pPr>
              <w:jc w:val="center"/>
            </w:pPr>
            <w:r>
              <w:rPr>
                <w:color w:val="000000"/>
                <w:sz w:val="24"/>
              </w:rPr>
              <w:t>19</w:t>
            </w:r>
            <w:r>
              <w:rPr>
                <w:color w:val="000000"/>
                <w:sz w:val="24"/>
              </w:rPr>
              <w:t>陕延油</w:t>
            </w:r>
            <w:r>
              <w:rPr>
                <w:color w:val="000000"/>
                <w:sz w:val="24"/>
              </w:rPr>
              <w:t>MTN004</w:t>
            </w:r>
          </w:p>
        </w:tc>
        <w:tc>
          <w:tcPr>
            <w:tcW w:w="1559" w:type="dxa"/>
            <w:vAlign w:val="center"/>
          </w:tcPr>
          <w:p w:rsidR="00601C50" w:rsidRDefault="00624EAF">
            <w:pPr>
              <w:jc w:val="right"/>
            </w:pPr>
            <w:r>
              <w:rPr>
                <w:color w:val="000000"/>
                <w:sz w:val="24"/>
              </w:rPr>
              <w:t>200,000</w:t>
            </w:r>
          </w:p>
        </w:tc>
        <w:tc>
          <w:tcPr>
            <w:tcW w:w="2126" w:type="dxa"/>
            <w:vAlign w:val="center"/>
          </w:tcPr>
          <w:p w:rsidR="00601C50" w:rsidRDefault="00624EAF">
            <w:pPr>
              <w:jc w:val="right"/>
            </w:pPr>
            <w:r>
              <w:rPr>
                <w:color w:val="000000"/>
                <w:sz w:val="24"/>
              </w:rPr>
              <w:t>20,244,000.00</w:t>
            </w:r>
          </w:p>
        </w:tc>
        <w:tc>
          <w:tcPr>
            <w:tcW w:w="990" w:type="dxa"/>
            <w:vAlign w:val="center"/>
          </w:tcPr>
          <w:p w:rsidR="00601C50" w:rsidRDefault="00624EAF">
            <w:pPr>
              <w:jc w:val="right"/>
            </w:pPr>
            <w:r>
              <w:rPr>
                <w:color w:val="000000"/>
                <w:sz w:val="24"/>
              </w:rPr>
              <w:t>5.11</w:t>
            </w:r>
          </w:p>
        </w:tc>
      </w:tr>
      <w:tr w:rsidR="00601C50">
        <w:tc>
          <w:tcPr>
            <w:tcW w:w="802" w:type="dxa"/>
            <w:vAlign w:val="center"/>
          </w:tcPr>
          <w:p w:rsidR="00601C50" w:rsidRDefault="00624EAF">
            <w:pPr>
              <w:jc w:val="center"/>
            </w:pPr>
            <w:r>
              <w:rPr>
                <w:color w:val="000000"/>
                <w:sz w:val="24"/>
              </w:rPr>
              <w:t>4</w:t>
            </w:r>
          </w:p>
        </w:tc>
        <w:tc>
          <w:tcPr>
            <w:tcW w:w="1559" w:type="dxa"/>
            <w:vAlign w:val="center"/>
          </w:tcPr>
          <w:p w:rsidR="00601C50" w:rsidRDefault="00624EAF">
            <w:pPr>
              <w:jc w:val="center"/>
            </w:pPr>
            <w:r>
              <w:rPr>
                <w:color w:val="000000"/>
                <w:sz w:val="24"/>
              </w:rPr>
              <w:t>101900049</w:t>
            </w:r>
          </w:p>
        </w:tc>
        <w:tc>
          <w:tcPr>
            <w:tcW w:w="1985" w:type="dxa"/>
            <w:vAlign w:val="center"/>
          </w:tcPr>
          <w:p w:rsidR="00601C50" w:rsidRDefault="00624EAF">
            <w:pPr>
              <w:jc w:val="center"/>
            </w:pPr>
            <w:r>
              <w:rPr>
                <w:color w:val="000000"/>
                <w:sz w:val="24"/>
              </w:rPr>
              <w:t>19</w:t>
            </w:r>
            <w:r>
              <w:rPr>
                <w:color w:val="000000"/>
                <w:sz w:val="24"/>
              </w:rPr>
              <w:t>津城建</w:t>
            </w:r>
            <w:r>
              <w:rPr>
                <w:color w:val="000000"/>
                <w:sz w:val="24"/>
              </w:rPr>
              <w:t>MTN001A</w:t>
            </w:r>
          </w:p>
        </w:tc>
        <w:tc>
          <w:tcPr>
            <w:tcW w:w="1559" w:type="dxa"/>
            <w:vAlign w:val="center"/>
          </w:tcPr>
          <w:p w:rsidR="00601C50" w:rsidRDefault="00624EAF">
            <w:pPr>
              <w:jc w:val="right"/>
            </w:pPr>
            <w:r>
              <w:rPr>
                <w:color w:val="000000"/>
                <w:sz w:val="24"/>
              </w:rPr>
              <w:t>200,000</w:t>
            </w:r>
          </w:p>
        </w:tc>
        <w:tc>
          <w:tcPr>
            <w:tcW w:w="2126" w:type="dxa"/>
            <w:vAlign w:val="center"/>
          </w:tcPr>
          <w:p w:rsidR="00601C50" w:rsidRDefault="00624EAF">
            <w:pPr>
              <w:jc w:val="right"/>
            </w:pPr>
            <w:r>
              <w:rPr>
                <w:color w:val="000000"/>
                <w:sz w:val="24"/>
              </w:rPr>
              <w:t>20,208,000.00</w:t>
            </w:r>
          </w:p>
        </w:tc>
        <w:tc>
          <w:tcPr>
            <w:tcW w:w="990" w:type="dxa"/>
            <w:vAlign w:val="center"/>
          </w:tcPr>
          <w:p w:rsidR="00601C50" w:rsidRDefault="00624EAF">
            <w:pPr>
              <w:jc w:val="right"/>
            </w:pPr>
            <w:r>
              <w:rPr>
                <w:color w:val="000000"/>
                <w:sz w:val="24"/>
              </w:rPr>
              <w:t>5.10</w:t>
            </w:r>
          </w:p>
        </w:tc>
      </w:tr>
      <w:tr w:rsidR="00601C50">
        <w:tc>
          <w:tcPr>
            <w:tcW w:w="802" w:type="dxa"/>
            <w:vAlign w:val="center"/>
          </w:tcPr>
          <w:p w:rsidR="00601C50" w:rsidRDefault="00624EAF">
            <w:pPr>
              <w:jc w:val="center"/>
            </w:pPr>
            <w:r>
              <w:rPr>
                <w:color w:val="000000"/>
                <w:sz w:val="24"/>
              </w:rPr>
              <w:t>5</w:t>
            </w:r>
          </w:p>
        </w:tc>
        <w:tc>
          <w:tcPr>
            <w:tcW w:w="1559" w:type="dxa"/>
            <w:vAlign w:val="center"/>
          </w:tcPr>
          <w:p w:rsidR="00601C50" w:rsidRDefault="00624EAF">
            <w:pPr>
              <w:jc w:val="center"/>
            </w:pPr>
            <w:r>
              <w:rPr>
                <w:color w:val="000000"/>
                <w:sz w:val="24"/>
              </w:rPr>
              <w:t>101900833</w:t>
            </w:r>
          </w:p>
        </w:tc>
        <w:tc>
          <w:tcPr>
            <w:tcW w:w="1985" w:type="dxa"/>
            <w:vAlign w:val="center"/>
          </w:tcPr>
          <w:p w:rsidR="00601C50" w:rsidRDefault="00624EAF">
            <w:pPr>
              <w:jc w:val="center"/>
            </w:pPr>
            <w:r>
              <w:rPr>
                <w:color w:val="000000"/>
                <w:sz w:val="24"/>
              </w:rPr>
              <w:t>19</w:t>
            </w:r>
            <w:r>
              <w:rPr>
                <w:color w:val="000000"/>
                <w:sz w:val="24"/>
              </w:rPr>
              <w:t>河钢集</w:t>
            </w:r>
            <w:r>
              <w:rPr>
                <w:color w:val="000000"/>
                <w:sz w:val="24"/>
              </w:rPr>
              <w:t>MTN004</w:t>
            </w:r>
          </w:p>
        </w:tc>
        <w:tc>
          <w:tcPr>
            <w:tcW w:w="1559" w:type="dxa"/>
            <w:vAlign w:val="center"/>
          </w:tcPr>
          <w:p w:rsidR="00601C50" w:rsidRDefault="00624EAF">
            <w:pPr>
              <w:jc w:val="right"/>
            </w:pPr>
            <w:r>
              <w:rPr>
                <w:color w:val="000000"/>
                <w:sz w:val="24"/>
              </w:rPr>
              <w:t>200,000</w:t>
            </w:r>
          </w:p>
        </w:tc>
        <w:tc>
          <w:tcPr>
            <w:tcW w:w="2126" w:type="dxa"/>
            <w:vAlign w:val="center"/>
          </w:tcPr>
          <w:p w:rsidR="00601C50" w:rsidRDefault="00624EAF">
            <w:pPr>
              <w:jc w:val="right"/>
            </w:pPr>
            <w:r>
              <w:rPr>
                <w:color w:val="000000"/>
                <w:sz w:val="24"/>
              </w:rPr>
              <w:t>20,192,000.00</w:t>
            </w:r>
          </w:p>
        </w:tc>
        <w:tc>
          <w:tcPr>
            <w:tcW w:w="990" w:type="dxa"/>
            <w:vAlign w:val="center"/>
          </w:tcPr>
          <w:p w:rsidR="00601C50" w:rsidRDefault="00624EAF">
            <w:pPr>
              <w:jc w:val="right"/>
            </w:pPr>
            <w:r>
              <w:rPr>
                <w:color w:val="000000"/>
                <w:sz w:val="24"/>
              </w:rPr>
              <w:t>5.10</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0"/>
        <w:gridCol w:w="1325"/>
        <w:gridCol w:w="1289"/>
        <w:gridCol w:w="1808"/>
        <w:gridCol w:w="1697"/>
        <w:gridCol w:w="1722"/>
      </w:tblGrid>
      <w:tr w:rsidR="00F016DD" w:rsidRPr="0078105B" w:rsidTr="00174038">
        <w:tc>
          <w:tcPr>
            <w:tcW w:w="1187"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3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证券代码</w:t>
            </w:r>
          </w:p>
        </w:tc>
        <w:tc>
          <w:tcPr>
            <w:tcW w:w="1263"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证券名称</w:t>
            </w:r>
          </w:p>
        </w:tc>
        <w:tc>
          <w:tcPr>
            <w:tcW w:w="181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w:t>
            </w:r>
            <w:r w:rsidRPr="00FA472B">
              <w:rPr>
                <w:color w:val="000000"/>
                <w:kern w:val="0"/>
                <w:sz w:val="24"/>
              </w:rPr>
              <w:t>(</w:t>
            </w:r>
            <w:r w:rsidRPr="00FA472B">
              <w:rPr>
                <w:color w:val="000000"/>
                <w:kern w:val="0"/>
                <w:sz w:val="24"/>
              </w:rPr>
              <w:t>份</w:t>
            </w:r>
            <w:r w:rsidRPr="00FA472B">
              <w:rPr>
                <w:color w:val="000000"/>
                <w:kern w:val="0"/>
                <w:sz w:val="24"/>
              </w:rPr>
              <w:t>)</w:t>
            </w:r>
          </w:p>
        </w:tc>
        <w:tc>
          <w:tcPr>
            <w:tcW w:w="1698"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17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r w:rsidRPr="00FA472B">
              <w:rPr>
                <w:color w:val="000000"/>
                <w:kern w:val="0"/>
                <w:sz w:val="24"/>
              </w:rPr>
              <w:t>%</w:t>
            </w:r>
            <w:r w:rsidRPr="00FA472B">
              <w:rPr>
                <w:color w:val="000000"/>
                <w:kern w:val="0"/>
                <w:sz w:val="24"/>
              </w:rPr>
              <w:t>）</w:t>
            </w:r>
          </w:p>
        </w:tc>
      </w:tr>
      <w:tr w:rsidR="00601C50">
        <w:tc>
          <w:tcPr>
            <w:tcW w:w="0" w:type="auto"/>
            <w:vAlign w:val="center"/>
          </w:tcPr>
          <w:p w:rsidR="00601C50" w:rsidRDefault="00624EAF">
            <w:pPr>
              <w:jc w:val="center"/>
            </w:pPr>
            <w:r>
              <w:rPr>
                <w:color w:val="000000"/>
                <w:sz w:val="24"/>
              </w:rPr>
              <w:t>1</w:t>
            </w:r>
          </w:p>
        </w:tc>
        <w:tc>
          <w:tcPr>
            <w:tcW w:w="0" w:type="auto"/>
            <w:vAlign w:val="center"/>
          </w:tcPr>
          <w:p w:rsidR="00601C50" w:rsidRDefault="00624EAF">
            <w:pPr>
              <w:jc w:val="center"/>
            </w:pPr>
            <w:r>
              <w:rPr>
                <w:color w:val="000000"/>
                <w:sz w:val="24"/>
              </w:rPr>
              <w:t>138020</w:t>
            </w:r>
          </w:p>
        </w:tc>
        <w:tc>
          <w:tcPr>
            <w:tcW w:w="0" w:type="auto"/>
            <w:vAlign w:val="center"/>
          </w:tcPr>
          <w:p w:rsidR="00601C50" w:rsidRDefault="00624EAF">
            <w:pPr>
              <w:jc w:val="center"/>
            </w:pPr>
            <w:r>
              <w:rPr>
                <w:color w:val="000000"/>
                <w:sz w:val="24"/>
              </w:rPr>
              <w:t>绿城</w:t>
            </w:r>
            <w:r>
              <w:rPr>
                <w:color w:val="000000"/>
                <w:sz w:val="24"/>
              </w:rPr>
              <w:t>15</w:t>
            </w:r>
            <w:r>
              <w:rPr>
                <w:color w:val="000000"/>
                <w:sz w:val="24"/>
              </w:rPr>
              <w:t>优</w:t>
            </w:r>
          </w:p>
        </w:tc>
        <w:tc>
          <w:tcPr>
            <w:tcW w:w="0" w:type="auto"/>
            <w:vAlign w:val="center"/>
          </w:tcPr>
          <w:p w:rsidR="00601C50" w:rsidRDefault="00624EAF">
            <w:pPr>
              <w:jc w:val="right"/>
            </w:pPr>
            <w:r>
              <w:rPr>
                <w:color w:val="000000"/>
                <w:sz w:val="24"/>
              </w:rPr>
              <w:t>100,000</w:t>
            </w:r>
          </w:p>
        </w:tc>
        <w:tc>
          <w:tcPr>
            <w:tcW w:w="0" w:type="auto"/>
            <w:vAlign w:val="center"/>
          </w:tcPr>
          <w:p w:rsidR="00601C50" w:rsidRDefault="00624EAF">
            <w:pPr>
              <w:jc w:val="right"/>
            </w:pPr>
            <w:r>
              <w:rPr>
                <w:color w:val="000000"/>
                <w:sz w:val="24"/>
              </w:rPr>
              <w:t>10,000,000.00</w:t>
            </w:r>
          </w:p>
        </w:tc>
        <w:tc>
          <w:tcPr>
            <w:tcW w:w="0" w:type="auto"/>
            <w:vAlign w:val="center"/>
          </w:tcPr>
          <w:p w:rsidR="00601C50" w:rsidRDefault="00624EAF">
            <w:pPr>
              <w:jc w:val="right"/>
            </w:pPr>
            <w:r>
              <w:rPr>
                <w:color w:val="000000"/>
                <w:sz w:val="24"/>
              </w:rPr>
              <w:t>2.52</w:t>
            </w:r>
          </w:p>
        </w:tc>
      </w:tr>
    </w:tbl>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lastRenderedPageBreak/>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46,701.51</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329,226.31</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5,294,112.82</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5,670,040.64</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本基金本报告期末未持有处于转股期的可转换债券。</w:t>
      </w:r>
    </w:p>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本基金本报告期末前十名股票中不存在流通受限情况。</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易方达瑞兴混合</w:t>
            </w:r>
            <w:r w:rsidRPr="00FA472B">
              <w:rPr>
                <w:sz w:val="24"/>
              </w:rPr>
              <w:t>I</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易方达瑞兴混合</w:t>
            </w:r>
            <w:r w:rsidRPr="00FA472B">
              <w:rPr>
                <w:sz w:val="24"/>
              </w:rPr>
              <w:t>E</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304,048,895.49</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7,903.13</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lastRenderedPageBreak/>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35,817,012.63</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18,438,027.90</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30,001.20</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580.00</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339,835,906.92</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18,445,351.03</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CC78C7" w:rsidRPr="00266D4B" w:rsidRDefault="00CC78C7" w:rsidP="00CC78C7">
      <w:pPr>
        <w:autoSpaceDE w:val="0"/>
        <w:autoSpaceDN w:val="0"/>
        <w:adjustRightInd w:val="0"/>
        <w:spacing w:before="29" w:line="288" w:lineRule="auto"/>
        <w:ind w:left="15" w:right="480"/>
        <w:jc w:val="right"/>
        <w:rPr>
          <w:color w:val="000000"/>
          <w:kern w:val="0"/>
          <w:sz w:val="24"/>
        </w:rPr>
      </w:pPr>
      <w:r w:rsidRPr="00266D4B">
        <w:rPr>
          <w:color w:val="000000"/>
          <w:kern w:val="0"/>
          <w:sz w:val="24"/>
        </w:rPr>
        <w:t>单位：份</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67"/>
        <w:gridCol w:w="2616"/>
        <w:gridCol w:w="2631"/>
      </w:tblGrid>
      <w:tr w:rsidR="00CC78C7" w:rsidRPr="00E90B39" w:rsidTr="00964538">
        <w:trPr>
          <w:trHeight w:val="248"/>
        </w:trPr>
        <w:tc>
          <w:tcPr>
            <w:tcW w:w="3167" w:type="dxa"/>
            <w:vAlign w:val="center"/>
          </w:tcPr>
          <w:p w:rsidR="00CC78C7" w:rsidRPr="00FA472B" w:rsidRDefault="00CC78C7" w:rsidP="00964538">
            <w:pPr>
              <w:autoSpaceDE w:val="0"/>
              <w:autoSpaceDN w:val="0"/>
              <w:adjustRightInd w:val="0"/>
              <w:spacing w:before="29" w:line="360" w:lineRule="auto"/>
              <w:ind w:left="15"/>
              <w:jc w:val="center"/>
              <w:rPr>
                <w:color w:val="000000"/>
                <w:kern w:val="0"/>
                <w:sz w:val="24"/>
              </w:rPr>
            </w:pPr>
            <w:r w:rsidRPr="00FA472B">
              <w:rPr>
                <w:color w:val="000000"/>
                <w:kern w:val="0"/>
                <w:sz w:val="24"/>
              </w:rPr>
              <w:t>项目</w:t>
            </w:r>
          </w:p>
        </w:tc>
        <w:tc>
          <w:tcPr>
            <w:tcW w:w="2616" w:type="dxa"/>
            <w:vAlign w:val="bottom"/>
          </w:tcPr>
          <w:p w:rsidR="00CC78C7" w:rsidRPr="00FA472B" w:rsidRDefault="00CC78C7" w:rsidP="00964538">
            <w:pPr>
              <w:jc w:val="center"/>
              <w:rPr>
                <w:sz w:val="24"/>
              </w:rPr>
            </w:pPr>
            <w:r w:rsidRPr="00FA472B">
              <w:rPr>
                <w:sz w:val="24"/>
              </w:rPr>
              <w:t>易方达瑞兴混合</w:t>
            </w:r>
            <w:r w:rsidRPr="00FA472B">
              <w:rPr>
                <w:sz w:val="24"/>
              </w:rPr>
              <w:t>I</w:t>
            </w:r>
          </w:p>
        </w:tc>
        <w:tc>
          <w:tcPr>
            <w:tcW w:w="2631" w:type="dxa"/>
            <w:vAlign w:val="bottom"/>
          </w:tcPr>
          <w:p w:rsidR="00CC78C7" w:rsidRPr="00FA472B" w:rsidRDefault="00CC78C7" w:rsidP="00964538">
            <w:pPr>
              <w:jc w:val="center"/>
              <w:rPr>
                <w:sz w:val="24"/>
              </w:rPr>
            </w:pPr>
            <w:r w:rsidRPr="00FA472B">
              <w:rPr>
                <w:sz w:val="24"/>
              </w:rPr>
              <w:t>易方达瑞兴混合</w:t>
            </w:r>
            <w:r w:rsidRPr="00FA472B">
              <w:rPr>
                <w:sz w:val="24"/>
              </w:rPr>
              <w:t>E</w:t>
            </w:r>
          </w:p>
        </w:tc>
      </w:tr>
      <w:tr w:rsidR="00CC78C7" w:rsidRPr="00E90B39" w:rsidTr="00964538">
        <w:trPr>
          <w:trHeight w:val="247"/>
        </w:trPr>
        <w:tc>
          <w:tcPr>
            <w:tcW w:w="3167" w:type="dxa"/>
            <w:vAlign w:val="center"/>
          </w:tcPr>
          <w:p w:rsidR="00CC78C7" w:rsidRPr="00FA472B" w:rsidRDefault="00CC78C7" w:rsidP="00964538">
            <w:pPr>
              <w:pStyle w:val="ac"/>
              <w:adjustRightInd w:val="0"/>
              <w:snapToGrid w:val="0"/>
              <w:spacing w:line="360" w:lineRule="exact"/>
              <w:rPr>
                <w:color w:val="000000"/>
                <w:szCs w:val="24"/>
              </w:rPr>
            </w:pPr>
            <w:r w:rsidRPr="00FA472B">
              <w:rPr>
                <w:color w:val="000000"/>
                <w:szCs w:val="24"/>
              </w:rPr>
              <w:t>报告期期初管理人持有的本基金份额</w:t>
            </w:r>
          </w:p>
        </w:tc>
        <w:tc>
          <w:tcPr>
            <w:tcW w:w="2616" w:type="dxa"/>
            <w:vAlign w:val="center"/>
          </w:tcPr>
          <w:p w:rsidR="00CC78C7" w:rsidRPr="00FA472B" w:rsidRDefault="00CC78C7" w:rsidP="00964538">
            <w:pPr>
              <w:jc w:val="right"/>
              <w:rPr>
                <w:sz w:val="24"/>
              </w:rPr>
            </w:pPr>
            <w:r w:rsidRPr="00FA472B">
              <w:rPr>
                <w:color w:val="000000"/>
                <w:sz w:val="24"/>
              </w:rPr>
              <w:t>10,000,000.00</w:t>
            </w:r>
          </w:p>
        </w:tc>
        <w:tc>
          <w:tcPr>
            <w:tcW w:w="2631" w:type="dxa"/>
            <w:vAlign w:val="center"/>
          </w:tcPr>
          <w:p w:rsidR="00CC78C7" w:rsidRPr="00FA472B" w:rsidRDefault="00CC78C7" w:rsidP="00964538">
            <w:pPr>
              <w:jc w:val="right"/>
              <w:rPr>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3B42FF">
              <w:rPr>
                <w:rFonts w:eastAsiaTheme="minorEastAsia"/>
                <w:color w:val="000000" w:themeColor="text1"/>
                <w:kern w:val="0"/>
                <w:sz w:val="24"/>
              </w:rPr>
              <w:t>报告期</w:t>
            </w:r>
            <w:r w:rsidRPr="00FA472B">
              <w:rPr>
                <w:color w:val="000000"/>
                <w:kern w:val="0"/>
                <w:sz w:val="24"/>
              </w:rPr>
              <w:t>期间</w:t>
            </w:r>
            <w:r w:rsidRPr="00FA472B">
              <w:rPr>
                <w:color w:val="000000"/>
                <w:sz w:val="24"/>
              </w:rPr>
              <w:t>买入</w:t>
            </w:r>
            <w:r w:rsidRPr="00FA472B">
              <w:rPr>
                <w:color w:val="000000"/>
                <w:sz w:val="24"/>
              </w:rPr>
              <w:t>/</w:t>
            </w:r>
            <w:r w:rsidRPr="00FA472B">
              <w:rPr>
                <w:color w:val="000000"/>
                <w:sz w:val="24"/>
              </w:rPr>
              <w:t>申购总份额</w:t>
            </w:r>
          </w:p>
        </w:tc>
        <w:tc>
          <w:tcPr>
            <w:tcW w:w="2616" w:type="dxa"/>
            <w:vAlign w:val="center"/>
          </w:tcPr>
          <w:p w:rsidR="00CC78C7" w:rsidRPr="00FA472B" w:rsidRDefault="00CC78C7" w:rsidP="00964538">
            <w:pPr>
              <w:jc w:val="right"/>
              <w:rPr>
                <w:color w:val="000000"/>
                <w:kern w:val="0"/>
                <w:sz w:val="24"/>
              </w:rPr>
            </w:pPr>
            <w:r w:rsidRPr="00FA472B">
              <w:rPr>
                <w:color w:val="000000"/>
                <w:sz w:val="24"/>
              </w:rPr>
              <w:t>-</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3B42FF">
              <w:rPr>
                <w:rFonts w:eastAsiaTheme="minorEastAsia"/>
                <w:color w:val="000000" w:themeColor="text1"/>
                <w:kern w:val="0"/>
                <w:sz w:val="24"/>
              </w:rPr>
              <w:t>报告期</w:t>
            </w:r>
            <w:r w:rsidRPr="00FA472B">
              <w:rPr>
                <w:color w:val="000000"/>
                <w:kern w:val="0"/>
                <w:sz w:val="24"/>
              </w:rPr>
              <w:t>期间</w:t>
            </w:r>
            <w:r w:rsidRPr="00FA472B">
              <w:rPr>
                <w:color w:val="000000"/>
                <w:sz w:val="24"/>
              </w:rPr>
              <w:t>卖出</w:t>
            </w:r>
            <w:r w:rsidRPr="00FA472B">
              <w:rPr>
                <w:color w:val="000000"/>
                <w:sz w:val="24"/>
              </w:rPr>
              <w:t>/</w:t>
            </w:r>
            <w:r w:rsidRPr="00FA472B">
              <w:rPr>
                <w:color w:val="000000"/>
                <w:sz w:val="24"/>
              </w:rPr>
              <w:t>赎回总份额</w:t>
            </w:r>
          </w:p>
        </w:tc>
        <w:tc>
          <w:tcPr>
            <w:tcW w:w="2616" w:type="dxa"/>
            <w:vAlign w:val="center"/>
          </w:tcPr>
          <w:p w:rsidR="00CC78C7" w:rsidRPr="00FA472B" w:rsidRDefault="00CC78C7" w:rsidP="00964538">
            <w:pPr>
              <w:jc w:val="right"/>
              <w:rPr>
                <w:color w:val="000000"/>
                <w:kern w:val="0"/>
                <w:sz w:val="24"/>
              </w:rPr>
            </w:pPr>
            <w:r w:rsidRPr="00FA472B">
              <w:rPr>
                <w:color w:val="000000"/>
                <w:sz w:val="24"/>
              </w:rPr>
              <w:t>-</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FA472B">
              <w:rPr>
                <w:color w:val="000000"/>
                <w:sz w:val="24"/>
              </w:rPr>
              <w:t>报告期期末管理人持有的本基金份额</w:t>
            </w:r>
          </w:p>
        </w:tc>
        <w:tc>
          <w:tcPr>
            <w:tcW w:w="2616" w:type="dxa"/>
            <w:vAlign w:val="center"/>
          </w:tcPr>
          <w:p w:rsidR="00CC78C7" w:rsidRPr="00FA472B" w:rsidRDefault="00CC78C7" w:rsidP="00964538">
            <w:pPr>
              <w:jc w:val="right"/>
              <w:rPr>
                <w:sz w:val="24"/>
              </w:rPr>
            </w:pPr>
            <w:r w:rsidRPr="00FA472B">
              <w:rPr>
                <w:color w:val="000000"/>
                <w:sz w:val="24"/>
              </w:rPr>
              <w:t>10,000,000.00</w:t>
            </w:r>
          </w:p>
        </w:tc>
        <w:tc>
          <w:tcPr>
            <w:tcW w:w="2631" w:type="dxa"/>
            <w:vAlign w:val="center"/>
          </w:tcPr>
          <w:p w:rsidR="00CC78C7" w:rsidRPr="00FA472B" w:rsidRDefault="00CC78C7" w:rsidP="00964538">
            <w:pPr>
              <w:jc w:val="right"/>
              <w:rPr>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FA472B">
              <w:rPr>
                <w:color w:val="000000"/>
                <w:sz w:val="24"/>
              </w:rPr>
              <w:t>报告期期末持有的本基金份额占基金总份额比例（</w:t>
            </w:r>
            <w:r w:rsidRPr="00FA472B">
              <w:rPr>
                <w:color w:val="000000"/>
                <w:sz w:val="24"/>
              </w:rPr>
              <w:t>%</w:t>
            </w:r>
            <w:r w:rsidRPr="00FA472B">
              <w:rPr>
                <w:color w:val="000000"/>
                <w:sz w:val="24"/>
              </w:rPr>
              <w:t>）</w:t>
            </w:r>
          </w:p>
        </w:tc>
        <w:tc>
          <w:tcPr>
            <w:tcW w:w="2616" w:type="dxa"/>
            <w:vAlign w:val="center"/>
          </w:tcPr>
          <w:p w:rsidR="00CC78C7" w:rsidRPr="00FA472B" w:rsidRDefault="00CC78C7" w:rsidP="00964538">
            <w:pPr>
              <w:jc w:val="right"/>
              <w:rPr>
                <w:color w:val="000000"/>
                <w:kern w:val="0"/>
                <w:sz w:val="24"/>
              </w:rPr>
            </w:pPr>
            <w:r w:rsidRPr="00FA472B">
              <w:rPr>
                <w:color w:val="000000"/>
                <w:sz w:val="24"/>
              </w:rPr>
              <w:t>2.94</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bl>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997454" w:rsidRPr="00B75F09" w:rsidRDefault="00997454" w:rsidP="00997454">
      <w:pPr>
        <w:pStyle w:val="1"/>
        <w:spacing w:beforeLines="100" w:before="312" w:afterLines="100" w:after="312" w:line="360" w:lineRule="auto"/>
        <w:jc w:val="center"/>
        <w:rPr>
          <w:rFonts w:ascii="宋体" w:hAnsi="宋体" w:cs="Arial"/>
          <w:color w:val="000000"/>
          <w:kern w:val="0"/>
          <w:sz w:val="24"/>
          <w:szCs w:val="24"/>
        </w:rPr>
      </w:pPr>
      <w:r w:rsidRPr="00B75F09">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B75F09">
        <w:rPr>
          <w:rFonts w:ascii="宋体" w:hAnsi="宋体" w:cs="Arial"/>
          <w:color w:val="000000"/>
          <w:kern w:val="0"/>
          <w:sz w:val="24"/>
          <w:szCs w:val="24"/>
        </w:rPr>
        <w:t>影响投资者决策的其他重要信息</w:t>
      </w:r>
    </w:p>
    <w:p w:rsidR="00575C75" w:rsidRPr="001F5F5D" w:rsidRDefault="00575C75" w:rsidP="00575C75">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575C75" w:rsidRPr="00FC0759" w:rsidTr="00CD72D6">
        <w:trPr>
          <w:jc w:val="center"/>
        </w:trPr>
        <w:tc>
          <w:tcPr>
            <w:tcW w:w="709" w:type="dxa"/>
            <w:vMerge w:val="restart"/>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575C75" w:rsidRPr="00FC0759" w:rsidRDefault="00575C75"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575C75" w:rsidRPr="00FC0759" w:rsidTr="00CD72D6">
        <w:trPr>
          <w:jc w:val="center"/>
        </w:trPr>
        <w:tc>
          <w:tcPr>
            <w:tcW w:w="709" w:type="dxa"/>
            <w:vMerge/>
            <w:vAlign w:val="center"/>
          </w:tcPr>
          <w:p w:rsidR="00575C75" w:rsidRPr="00FC0759" w:rsidRDefault="00575C75"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601C50">
        <w:trPr>
          <w:jc w:val="center"/>
        </w:trPr>
        <w:tc>
          <w:tcPr>
            <w:tcW w:w="709" w:type="dxa"/>
            <w:vMerge w:val="restart"/>
            <w:vAlign w:val="center"/>
          </w:tcPr>
          <w:p w:rsidR="00601C50" w:rsidRDefault="00624EAF">
            <w:r>
              <w:rPr>
                <w:rFonts w:eastAsiaTheme="minorEastAsia"/>
                <w:bCs/>
                <w:color w:val="000000" w:themeColor="text1"/>
                <w:sz w:val="24"/>
              </w:rPr>
              <w:t>机构</w:t>
            </w:r>
          </w:p>
        </w:tc>
        <w:tc>
          <w:tcPr>
            <w:tcW w:w="709" w:type="dxa"/>
            <w:vAlign w:val="center"/>
          </w:tcPr>
          <w:p w:rsidR="00601C50" w:rsidRDefault="00624EAF">
            <w:pPr>
              <w:jc w:val="center"/>
            </w:pPr>
            <w:r>
              <w:rPr>
                <w:sz w:val="24"/>
              </w:rPr>
              <w:t>1</w:t>
            </w:r>
          </w:p>
        </w:tc>
        <w:tc>
          <w:tcPr>
            <w:tcW w:w="2126" w:type="dxa"/>
            <w:vAlign w:val="center"/>
          </w:tcPr>
          <w:p w:rsidR="00601C50" w:rsidRDefault="00624EAF">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601C50" w:rsidRDefault="00624EAF">
            <w:pPr>
              <w:jc w:val="center"/>
            </w:pPr>
            <w:r>
              <w:rPr>
                <w:sz w:val="24"/>
              </w:rPr>
              <w:t>96,431,051.11</w:t>
            </w:r>
          </w:p>
        </w:tc>
        <w:tc>
          <w:tcPr>
            <w:tcW w:w="1276" w:type="dxa"/>
            <w:vAlign w:val="center"/>
          </w:tcPr>
          <w:p w:rsidR="00601C50" w:rsidRDefault="00624EAF">
            <w:pPr>
              <w:jc w:val="center"/>
            </w:pPr>
            <w:r>
              <w:rPr>
                <w:sz w:val="24"/>
              </w:rPr>
              <w:t>-</w:t>
            </w:r>
          </w:p>
        </w:tc>
        <w:tc>
          <w:tcPr>
            <w:tcW w:w="1276" w:type="dxa"/>
            <w:vAlign w:val="center"/>
          </w:tcPr>
          <w:p w:rsidR="00601C50" w:rsidRDefault="00624EAF">
            <w:pPr>
              <w:jc w:val="center"/>
            </w:pPr>
            <w:r>
              <w:rPr>
                <w:sz w:val="24"/>
              </w:rPr>
              <w:t>-</w:t>
            </w:r>
          </w:p>
        </w:tc>
        <w:tc>
          <w:tcPr>
            <w:tcW w:w="1417" w:type="dxa"/>
            <w:vAlign w:val="center"/>
          </w:tcPr>
          <w:p w:rsidR="00601C50" w:rsidRDefault="00624EAF">
            <w:pPr>
              <w:jc w:val="center"/>
            </w:pPr>
            <w:r>
              <w:rPr>
                <w:sz w:val="24"/>
              </w:rPr>
              <w:t>96,431,051.11</w:t>
            </w:r>
          </w:p>
        </w:tc>
        <w:tc>
          <w:tcPr>
            <w:tcW w:w="851" w:type="dxa"/>
            <w:vAlign w:val="center"/>
          </w:tcPr>
          <w:p w:rsidR="00601C50" w:rsidRDefault="00624EAF">
            <w:pPr>
              <w:jc w:val="center"/>
            </w:pPr>
            <w:r>
              <w:rPr>
                <w:sz w:val="24"/>
              </w:rPr>
              <w:t>26.91%</w:t>
            </w:r>
          </w:p>
        </w:tc>
      </w:tr>
      <w:tr w:rsidR="00601C50">
        <w:trPr>
          <w:jc w:val="center"/>
        </w:trPr>
        <w:tc>
          <w:tcPr>
            <w:tcW w:w="709" w:type="dxa"/>
            <w:vMerge/>
          </w:tcPr>
          <w:p w:rsidR="00601C50" w:rsidRDefault="00601C50"/>
        </w:tc>
        <w:tc>
          <w:tcPr>
            <w:tcW w:w="709" w:type="dxa"/>
            <w:vAlign w:val="center"/>
          </w:tcPr>
          <w:p w:rsidR="00601C50" w:rsidRDefault="00624EAF">
            <w:pPr>
              <w:jc w:val="center"/>
            </w:pPr>
            <w:r>
              <w:rPr>
                <w:sz w:val="24"/>
              </w:rPr>
              <w:t>2</w:t>
            </w:r>
          </w:p>
        </w:tc>
        <w:tc>
          <w:tcPr>
            <w:tcW w:w="2126" w:type="dxa"/>
            <w:vAlign w:val="center"/>
          </w:tcPr>
          <w:p w:rsidR="00601C50" w:rsidRDefault="00624EAF">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601C50" w:rsidRDefault="00624EAF">
            <w:pPr>
              <w:jc w:val="center"/>
            </w:pPr>
            <w:r>
              <w:rPr>
                <w:sz w:val="24"/>
              </w:rPr>
              <w:t>86,787,849.57</w:t>
            </w:r>
          </w:p>
        </w:tc>
        <w:tc>
          <w:tcPr>
            <w:tcW w:w="1276" w:type="dxa"/>
            <w:vAlign w:val="center"/>
          </w:tcPr>
          <w:p w:rsidR="00601C50" w:rsidRDefault="00624EAF">
            <w:pPr>
              <w:jc w:val="center"/>
            </w:pPr>
            <w:r>
              <w:rPr>
                <w:sz w:val="24"/>
              </w:rPr>
              <w:t>-</w:t>
            </w:r>
          </w:p>
        </w:tc>
        <w:tc>
          <w:tcPr>
            <w:tcW w:w="1276" w:type="dxa"/>
            <w:vAlign w:val="center"/>
          </w:tcPr>
          <w:p w:rsidR="00601C50" w:rsidRDefault="00624EAF">
            <w:pPr>
              <w:jc w:val="center"/>
            </w:pPr>
            <w:r>
              <w:rPr>
                <w:sz w:val="24"/>
              </w:rPr>
              <w:t>-</w:t>
            </w:r>
          </w:p>
        </w:tc>
        <w:tc>
          <w:tcPr>
            <w:tcW w:w="1417" w:type="dxa"/>
            <w:vAlign w:val="center"/>
          </w:tcPr>
          <w:p w:rsidR="00601C50" w:rsidRDefault="00624EAF">
            <w:pPr>
              <w:jc w:val="center"/>
            </w:pPr>
            <w:r>
              <w:rPr>
                <w:sz w:val="24"/>
              </w:rPr>
              <w:t>86,787,849.57</w:t>
            </w:r>
          </w:p>
        </w:tc>
        <w:tc>
          <w:tcPr>
            <w:tcW w:w="851" w:type="dxa"/>
            <w:vAlign w:val="center"/>
          </w:tcPr>
          <w:p w:rsidR="00601C50" w:rsidRDefault="00624EAF">
            <w:pPr>
              <w:jc w:val="center"/>
            </w:pPr>
            <w:r>
              <w:rPr>
                <w:sz w:val="24"/>
              </w:rPr>
              <w:t>24.22%</w:t>
            </w:r>
          </w:p>
        </w:tc>
      </w:tr>
      <w:tr w:rsidR="00575C75" w:rsidRPr="00FC0759" w:rsidTr="00CD72D6">
        <w:trPr>
          <w:jc w:val="center"/>
        </w:trPr>
        <w:tc>
          <w:tcPr>
            <w:tcW w:w="9637" w:type="dxa"/>
            <w:gridSpan w:val="8"/>
            <w:vAlign w:val="center"/>
          </w:tcPr>
          <w:p w:rsidR="00575C75" w:rsidRPr="00FC0759" w:rsidRDefault="00575C75" w:rsidP="00BF07C4">
            <w:pPr>
              <w:autoSpaceDE w:val="0"/>
              <w:autoSpaceDN w:val="0"/>
              <w:adjustRightInd w:val="0"/>
              <w:jc w:val="center"/>
              <w:rPr>
                <w:sz w:val="24"/>
              </w:rPr>
            </w:pPr>
            <w:r w:rsidRPr="00FC0759">
              <w:rPr>
                <w:color w:val="000000"/>
                <w:sz w:val="24"/>
              </w:rPr>
              <w:t>产品特有风险</w:t>
            </w:r>
          </w:p>
        </w:tc>
      </w:tr>
      <w:tr w:rsidR="00575C75" w:rsidRPr="00FC0759" w:rsidTr="00CD72D6">
        <w:trPr>
          <w:jc w:val="center"/>
        </w:trPr>
        <w:tc>
          <w:tcPr>
            <w:tcW w:w="9637" w:type="dxa"/>
            <w:gridSpan w:val="8"/>
            <w:vAlign w:val="center"/>
          </w:tcPr>
          <w:p w:rsidR="00575C75" w:rsidRPr="00FC0759" w:rsidRDefault="00575C75" w:rsidP="00CD72D6">
            <w:pPr>
              <w:autoSpaceDE w:val="0"/>
              <w:autoSpaceDN w:val="0"/>
              <w:adjustRightInd w:val="0"/>
              <w:jc w:val="left"/>
              <w:rPr>
                <w:sz w:val="24"/>
              </w:rPr>
            </w:pPr>
            <w:r w:rsidRPr="00FC0759">
              <w:rPr>
                <w:sz w:val="24"/>
              </w:rPr>
              <w:lastRenderedPageBreak/>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601C50" w:rsidRDefault="00624EAF">
      <w:pPr>
        <w:spacing w:line="360" w:lineRule="auto"/>
        <w:ind w:firstLineChars="200" w:firstLine="480"/>
        <w:rPr>
          <w:color w:val="000000"/>
          <w:sz w:val="24"/>
        </w:rPr>
      </w:pPr>
      <w:r>
        <w:rPr>
          <w:color w:val="000000"/>
          <w:sz w:val="24"/>
        </w:rPr>
        <w:t>1.</w:t>
      </w:r>
      <w:r>
        <w:rPr>
          <w:color w:val="000000"/>
          <w:sz w:val="24"/>
        </w:rPr>
        <w:t>中国证监会准予易方达瑞兴灵活配置混合型证券投资基金注册的文件；</w:t>
      </w:r>
    </w:p>
    <w:p w:rsidR="00601C50" w:rsidRDefault="00624EAF">
      <w:pPr>
        <w:spacing w:line="360" w:lineRule="auto"/>
        <w:ind w:firstLineChars="200" w:firstLine="480"/>
        <w:rPr>
          <w:color w:val="000000"/>
          <w:sz w:val="24"/>
        </w:rPr>
      </w:pPr>
      <w:r>
        <w:rPr>
          <w:color w:val="000000"/>
          <w:sz w:val="24"/>
        </w:rPr>
        <w:t>2.</w:t>
      </w:r>
      <w:r>
        <w:rPr>
          <w:color w:val="000000"/>
          <w:sz w:val="24"/>
        </w:rPr>
        <w:t>《易方达瑞兴灵活配置混合型证券投资基金基金合同》；</w:t>
      </w:r>
    </w:p>
    <w:p w:rsidR="00601C50" w:rsidRDefault="00624EAF">
      <w:pPr>
        <w:spacing w:line="360" w:lineRule="auto"/>
        <w:ind w:firstLineChars="200" w:firstLine="480"/>
        <w:rPr>
          <w:color w:val="000000"/>
          <w:sz w:val="24"/>
        </w:rPr>
      </w:pPr>
      <w:r>
        <w:rPr>
          <w:color w:val="000000"/>
          <w:sz w:val="24"/>
        </w:rPr>
        <w:t>3.</w:t>
      </w:r>
      <w:r>
        <w:rPr>
          <w:color w:val="000000"/>
          <w:sz w:val="24"/>
        </w:rPr>
        <w:t>《易方达瑞兴灵活配置混合型证券投资基金托管协议》；</w:t>
      </w:r>
    </w:p>
    <w:p w:rsidR="00601C50" w:rsidRDefault="00624EAF">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624EAF">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624EAF">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624EAF">
      <w:rPr>
        <w:rStyle w:val="a7"/>
        <w:noProof/>
      </w:rPr>
      <w:t>15</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易方达瑞兴灵活配置混合型证券投资基金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1C50"/>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4EAF"/>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8261E293-DDA3-47C8-9385-2D11CAFF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1358</Words>
  <Characters>7746</Characters>
  <Application>Microsoft Office Word</Application>
  <DocSecurity>0</DocSecurity>
  <Lines>64</Lines>
  <Paragraphs>18</Paragraphs>
  <ScaleCrop>false</ScaleCrop>
  <Company>TRT. Ltd. Co.</Company>
  <LinksUpToDate>false</LinksUpToDate>
  <CharactersWithSpaces>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2019-10-16T13:55:00Z</cp:lastPrinted>
  <dcterms:created xsi:type="dcterms:W3CDTF">2013-06-21T06:56:00Z</dcterms:created>
  <dcterms:modified xsi:type="dcterms:W3CDTF">2019-10-16T13:55:00Z</dcterms:modified>
</cp:coreProperties>
</file>