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易方达瑞和灵活配置混合型证券投资基金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交通银行股份有限公司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3612A" w:rsidRDefault="00C40E19">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3612A" w:rsidRDefault="00C40E19">
      <w:pPr>
        <w:spacing w:line="360" w:lineRule="auto"/>
        <w:ind w:firstLineChars="200" w:firstLine="480"/>
        <w:rPr>
          <w:color w:val="000000"/>
          <w:sz w:val="24"/>
          <w:szCs w:val="24"/>
        </w:rPr>
      </w:pPr>
      <w:r>
        <w:rPr>
          <w:color w:val="000000"/>
          <w:sz w:val="24"/>
          <w:szCs w:val="24"/>
        </w:rPr>
        <w:t>基金托管人交通银行股份有限公司根据本基金合同规定，于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3612A" w:rsidRDefault="00C40E19">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3612A" w:rsidRDefault="00C40E19">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3612A" w:rsidRDefault="00C40E19">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易方达瑞和混合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001562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001562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2</w:t>
            </w:r>
            <w:r w:rsidRPr="00232B03">
              <w:rPr>
                <w:color w:val="000000"/>
                <w:kern w:val="0"/>
                <w:sz w:val="24"/>
                <w:szCs w:val="24"/>
              </w:rPr>
              <w:t>月</w:t>
            </w:r>
            <w:r w:rsidRPr="00232B03">
              <w:rPr>
                <w:color w:val="000000"/>
                <w:kern w:val="0"/>
                <w:sz w:val="24"/>
                <w:szCs w:val="24"/>
              </w:rPr>
              <w:t>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217,121,962.62</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因素、估值及流动性因素、政策因素等分析，确定组合中股票、债券、货币市场工具等资产类别的配置比例。本基金在行业分析、公司基本面分析及估值水平分析的基础上，进行股票组合的构建。当行业、公司</w:t>
            </w:r>
            <w:r w:rsidRPr="00232B03">
              <w:rPr>
                <w:color w:val="000000"/>
                <w:kern w:val="0"/>
                <w:sz w:val="24"/>
                <w:szCs w:val="24"/>
              </w:rPr>
              <w:lastRenderedPageBreak/>
              <w:t>的基本面、股票的估值水平出现较大变化时，本基金将对股票组合适时进行动态调整。在债券投资方面，本基金将主要通过类属配置与券种选择两个层次进行投资管理。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一年期人民币定期存款利率（税后）</w:t>
            </w:r>
            <w:r w:rsidRPr="00232B03">
              <w:rPr>
                <w:color w:val="000000"/>
                <w:kern w:val="0"/>
                <w:sz w:val="24"/>
                <w:szCs w:val="24"/>
              </w:rPr>
              <w:t>+2%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15,064,256.21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29,966,788.56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0.1559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275,459,800.62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1.269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3612A" w:rsidRDefault="00C40E19">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r w:rsidRPr="006506EF">
        <w:rPr>
          <w:color w:val="000000"/>
          <w:sz w:val="24"/>
        </w:rPr>
        <w:t xml:space="preserve"> </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3612A">
        <w:tc>
          <w:tcPr>
            <w:tcW w:w="1395" w:type="dxa"/>
            <w:vAlign w:val="center"/>
          </w:tcPr>
          <w:p w:rsidR="0073612A" w:rsidRDefault="00C40E19">
            <w:pPr>
              <w:jc w:val="left"/>
            </w:pPr>
            <w:r>
              <w:rPr>
                <w:color w:val="000000"/>
                <w:kern w:val="0"/>
                <w:sz w:val="24"/>
                <w:szCs w:val="24"/>
              </w:rPr>
              <w:t>过去三个月</w:t>
            </w:r>
          </w:p>
        </w:tc>
        <w:tc>
          <w:tcPr>
            <w:tcW w:w="1092" w:type="dxa"/>
            <w:vAlign w:val="center"/>
          </w:tcPr>
          <w:p w:rsidR="0073612A" w:rsidRDefault="00C40E19">
            <w:pPr>
              <w:jc w:val="center"/>
            </w:pPr>
            <w:r>
              <w:rPr>
                <w:color w:val="000000"/>
                <w:kern w:val="0"/>
                <w:sz w:val="24"/>
                <w:szCs w:val="24"/>
              </w:rPr>
              <w:t>14.53%</w:t>
            </w:r>
          </w:p>
        </w:tc>
        <w:tc>
          <w:tcPr>
            <w:tcW w:w="1161" w:type="dxa"/>
            <w:vAlign w:val="center"/>
          </w:tcPr>
          <w:p w:rsidR="0073612A" w:rsidRDefault="00C40E19">
            <w:pPr>
              <w:jc w:val="center"/>
            </w:pPr>
            <w:r>
              <w:rPr>
                <w:color w:val="000000"/>
                <w:kern w:val="0"/>
                <w:sz w:val="24"/>
                <w:szCs w:val="24"/>
              </w:rPr>
              <w:t>1.20%</w:t>
            </w:r>
          </w:p>
        </w:tc>
        <w:tc>
          <w:tcPr>
            <w:tcW w:w="1181" w:type="dxa"/>
            <w:vAlign w:val="center"/>
          </w:tcPr>
          <w:p w:rsidR="0073612A" w:rsidRDefault="00C40E19">
            <w:pPr>
              <w:jc w:val="center"/>
            </w:pPr>
            <w:r>
              <w:rPr>
                <w:color w:val="000000"/>
                <w:kern w:val="0"/>
                <w:sz w:val="24"/>
                <w:szCs w:val="24"/>
              </w:rPr>
              <w:t>0.89%</w:t>
            </w:r>
          </w:p>
        </w:tc>
        <w:tc>
          <w:tcPr>
            <w:tcW w:w="1188" w:type="dxa"/>
            <w:vAlign w:val="center"/>
          </w:tcPr>
          <w:p w:rsidR="0073612A" w:rsidRDefault="00C40E19">
            <w:pPr>
              <w:jc w:val="center"/>
            </w:pPr>
            <w:r>
              <w:rPr>
                <w:color w:val="000000"/>
                <w:kern w:val="0"/>
                <w:sz w:val="24"/>
                <w:szCs w:val="24"/>
              </w:rPr>
              <w:t>0.01%</w:t>
            </w:r>
          </w:p>
        </w:tc>
        <w:tc>
          <w:tcPr>
            <w:tcW w:w="1199" w:type="dxa"/>
            <w:vAlign w:val="center"/>
          </w:tcPr>
          <w:p w:rsidR="0073612A" w:rsidRDefault="00C40E19">
            <w:pPr>
              <w:jc w:val="center"/>
            </w:pPr>
            <w:r>
              <w:rPr>
                <w:color w:val="000000"/>
                <w:kern w:val="0"/>
                <w:sz w:val="24"/>
                <w:szCs w:val="24"/>
              </w:rPr>
              <w:t>13.64%</w:t>
            </w:r>
          </w:p>
        </w:tc>
        <w:tc>
          <w:tcPr>
            <w:tcW w:w="1204" w:type="dxa"/>
            <w:vAlign w:val="center"/>
          </w:tcPr>
          <w:p w:rsidR="0073612A" w:rsidRDefault="00C40E19">
            <w:pPr>
              <w:jc w:val="center"/>
            </w:pPr>
            <w:r>
              <w:rPr>
                <w:color w:val="000000"/>
                <w:kern w:val="0"/>
                <w:sz w:val="24"/>
                <w:szCs w:val="24"/>
              </w:rPr>
              <w:t>1.19%</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易方达瑞和灵活配置混合型证券投资基金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2</w:t>
      </w:r>
      <w:r w:rsidRPr="0074694E">
        <w:rPr>
          <w:rFonts w:ascii="Times New Roman" w:hAnsi="Times New Roman"/>
          <w:sz w:val="24"/>
          <w:szCs w:val="24"/>
        </w:rPr>
        <w:t>月</w:t>
      </w:r>
      <w:r w:rsidRPr="0074694E">
        <w:rPr>
          <w:rFonts w:ascii="Times New Roman" w:hAnsi="Times New Roman"/>
          <w:sz w:val="24"/>
          <w:szCs w:val="24"/>
        </w:rPr>
        <w:t>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C40E19"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26.90%</w:t>
      </w:r>
      <w:r w:rsidRPr="006C56AA">
        <w:rPr>
          <w:color w:val="000000"/>
          <w:sz w:val="24"/>
          <w:szCs w:val="24"/>
        </w:rPr>
        <w:t>，同期业绩比较基准收益率为</w:t>
      </w:r>
      <w:r w:rsidRPr="006C56AA">
        <w:rPr>
          <w:color w:val="000000"/>
          <w:sz w:val="24"/>
          <w:szCs w:val="24"/>
        </w:rPr>
        <w:t>5.89%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3612A">
        <w:tc>
          <w:tcPr>
            <w:tcW w:w="567" w:type="dxa"/>
            <w:vAlign w:val="center"/>
          </w:tcPr>
          <w:p w:rsidR="0073612A" w:rsidRDefault="00C40E19">
            <w:pPr>
              <w:jc w:val="center"/>
            </w:pPr>
            <w:r>
              <w:rPr>
                <w:color w:val="000000"/>
                <w:sz w:val="24"/>
              </w:rPr>
              <w:t>张清华</w:t>
            </w:r>
          </w:p>
        </w:tc>
        <w:tc>
          <w:tcPr>
            <w:tcW w:w="2835" w:type="dxa"/>
            <w:vAlign w:val="center"/>
          </w:tcPr>
          <w:p w:rsidR="0073612A" w:rsidRDefault="00C40E19">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丰华债券型证券投资基金的基金经理、易方达丰和债券型证券</w:t>
            </w:r>
            <w:r>
              <w:rPr>
                <w:color w:val="000000"/>
                <w:sz w:val="24"/>
              </w:rPr>
              <w:t>投资基金的基金经理、易方达安盈回报混合型证券投资基金的基金经理、易方达安心回馈混合型证券投资基金的基金经理、易方达安心回报债券型证券投资基金的基金经理、混合资产投资部总经理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73612A" w:rsidRDefault="00C40E19">
            <w:pPr>
              <w:jc w:val="center"/>
            </w:pPr>
            <w:r>
              <w:rPr>
                <w:color w:val="000000"/>
                <w:sz w:val="24"/>
              </w:rPr>
              <w:t>2018-02-07</w:t>
            </w:r>
          </w:p>
        </w:tc>
        <w:tc>
          <w:tcPr>
            <w:tcW w:w="850" w:type="dxa"/>
            <w:vAlign w:val="center"/>
          </w:tcPr>
          <w:p w:rsidR="0073612A" w:rsidRDefault="00C40E19">
            <w:pPr>
              <w:jc w:val="center"/>
            </w:pPr>
            <w:r>
              <w:rPr>
                <w:color w:val="000000"/>
                <w:sz w:val="24"/>
              </w:rPr>
              <w:t>-</w:t>
            </w:r>
          </w:p>
        </w:tc>
        <w:tc>
          <w:tcPr>
            <w:tcW w:w="851" w:type="dxa"/>
            <w:vAlign w:val="center"/>
          </w:tcPr>
          <w:p w:rsidR="0073612A" w:rsidRDefault="00C40E19">
            <w:pPr>
              <w:jc w:val="center"/>
            </w:pPr>
            <w:r>
              <w:rPr>
                <w:color w:val="000000"/>
                <w:sz w:val="24"/>
              </w:rPr>
              <w:t>12</w:t>
            </w:r>
            <w:r>
              <w:rPr>
                <w:color w:val="000000"/>
                <w:sz w:val="24"/>
              </w:rPr>
              <w:t>年</w:t>
            </w:r>
          </w:p>
        </w:tc>
        <w:tc>
          <w:tcPr>
            <w:tcW w:w="2977" w:type="dxa"/>
            <w:vAlign w:val="center"/>
          </w:tcPr>
          <w:p w:rsidR="0073612A" w:rsidRDefault="00C40E19">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bl>
    <w:p w:rsidR="0073612A" w:rsidRDefault="00C40E19">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3612A" w:rsidRDefault="00C40E19">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3612A" w:rsidRDefault="00C40E19">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型走势，经济、通胀和政策预期变化等是核心驱动因素。</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73612A" w:rsidRDefault="00C40E19">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利率并未下降，且原油、猪肉价格上行提升了市场对于滞胀的担忧，对基本面及流动性的预期也受到压制，情绪和风险偏好有所趋弱，市场出现调整。虽然这一阶段低估值且</w:t>
      </w:r>
      <w:r>
        <w:rPr>
          <w:color w:val="000000"/>
          <w:sz w:val="24"/>
          <w:szCs w:val="24"/>
        </w:rPr>
        <w:t>业绩稳健的大金融板块表现出一定的抗跌性，但节前上证指数仍逐渐下跌退回到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整体主要增加权益敞口、提升组合弹性。权益方面，股票仓位水平进一步提升，持仓仍以白马蓝筹为主，增配行业以电子、电气设备为主，同时积极参与科创版打新；权益部分整体为组合带来较好正贡献。债券方面，组合降低仓位水平，以保持流动性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1.269</w:t>
      </w:r>
      <w:r w:rsidRPr="006C56AA">
        <w:rPr>
          <w:color w:val="000000"/>
          <w:sz w:val="24"/>
          <w:szCs w:val="24"/>
        </w:rPr>
        <w:t>元，本报告期份额净值增长率为</w:t>
      </w:r>
      <w:r w:rsidRPr="006C56AA">
        <w:rPr>
          <w:color w:val="000000"/>
          <w:sz w:val="24"/>
          <w:szCs w:val="24"/>
        </w:rPr>
        <w:t>14.53%</w:t>
      </w:r>
      <w:r w:rsidRPr="006C56AA">
        <w:rPr>
          <w:color w:val="000000"/>
          <w:sz w:val="24"/>
          <w:szCs w:val="24"/>
        </w:rPr>
        <w:t>，同期业绩比较基准收益率为</w:t>
      </w:r>
      <w:r w:rsidRPr="006C56AA">
        <w:rPr>
          <w:color w:val="000000"/>
          <w:sz w:val="24"/>
          <w:szCs w:val="24"/>
        </w:rPr>
        <w:t>0.89%</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238,219,670.73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86.16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238,219,670.73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86.16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20,237,857.22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20,237,857.22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10,000,000.00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3.62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6,576,925.99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1,464,748.63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0.53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276,499,202.57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187,463,305.24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68.05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20,801,101.05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7.55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13,485,075.80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13,896,276.00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238,219,670.73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86.48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3612A">
        <w:tc>
          <w:tcPr>
            <w:tcW w:w="851" w:type="dxa"/>
            <w:vAlign w:val="center"/>
          </w:tcPr>
          <w:p w:rsidR="0073612A" w:rsidRDefault="00C40E19">
            <w:pPr>
              <w:jc w:val="center"/>
            </w:pPr>
            <w:r>
              <w:rPr>
                <w:color w:val="000000"/>
                <w:kern w:val="0"/>
                <w:sz w:val="24"/>
                <w:szCs w:val="24"/>
              </w:rPr>
              <w:t>1</w:t>
            </w:r>
          </w:p>
        </w:tc>
        <w:tc>
          <w:tcPr>
            <w:tcW w:w="1276" w:type="dxa"/>
            <w:vAlign w:val="center"/>
          </w:tcPr>
          <w:p w:rsidR="0073612A" w:rsidRDefault="00C40E19">
            <w:pPr>
              <w:jc w:val="center"/>
            </w:pPr>
            <w:r>
              <w:rPr>
                <w:color w:val="000000"/>
                <w:kern w:val="0"/>
                <w:sz w:val="24"/>
                <w:szCs w:val="24"/>
              </w:rPr>
              <w:t>000651</w:t>
            </w:r>
          </w:p>
        </w:tc>
        <w:tc>
          <w:tcPr>
            <w:tcW w:w="1418" w:type="dxa"/>
            <w:vAlign w:val="center"/>
          </w:tcPr>
          <w:p w:rsidR="0073612A" w:rsidRDefault="00C40E19">
            <w:pPr>
              <w:jc w:val="center"/>
            </w:pPr>
            <w:r>
              <w:rPr>
                <w:color w:val="000000"/>
                <w:kern w:val="0"/>
                <w:sz w:val="24"/>
                <w:szCs w:val="24"/>
              </w:rPr>
              <w:t>格力电器</w:t>
            </w:r>
          </w:p>
        </w:tc>
        <w:tc>
          <w:tcPr>
            <w:tcW w:w="1701" w:type="dxa"/>
            <w:vAlign w:val="center"/>
          </w:tcPr>
          <w:p w:rsidR="0073612A" w:rsidRDefault="00C40E19">
            <w:pPr>
              <w:jc w:val="right"/>
            </w:pPr>
            <w:r>
              <w:rPr>
                <w:color w:val="000000"/>
                <w:kern w:val="0"/>
                <w:sz w:val="24"/>
                <w:szCs w:val="24"/>
              </w:rPr>
              <w:t>324,814</w:t>
            </w:r>
          </w:p>
        </w:tc>
        <w:tc>
          <w:tcPr>
            <w:tcW w:w="1984" w:type="dxa"/>
            <w:vAlign w:val="center"/>
          </w:tcPr>
          <w:p w:rsidR="0073612A" w:rsidRDefault="00C40E19">
            <w:pPr>
              <w:jc w:val="right"/>
            </w:pPr>
            <w:r>
              <w:rPr>
                <w:color w:val="000000"/>
                <w:kern w:val="0"/>
                <w:sz w:val="24"/>
                <w:szCs w:val="24"/>
              </w:rPr>
              <w:t>18,611,842.20</w:t>
            </w:r>
          </w:p>
        </w:tc>
        <w:tc>
          <w:tcPr>
            <w:tcW w:w="1559" w:type="dxa"/>
            <w:vAlign w:val="center"/>
          </w:tcPr>
          <w:p w:rsidR="0073612A" w:rsidRDefault="00C40E19">
            <w:pPr>
              <w:jc w:val="right"/>
            </w:pPr>
            <w:r>
              <w:rPr>
                <w:color w:val="000000"/>
                <w:kern w:val="0"/>
                <w:sz w:val="24"/>
                <w:szCs w:val="24"/>
              </w:rPr>
              <w:t>6.76</w:t>
            </w:r>
          </w:p>
        </w:tc>
      </w:tr>
      <w:tr w:rsidR="0073612A">
        <w:tc>
          <w:tcPr>
            <w:tcW w:w="851" w:type="dxa"/>
            <w:vAlign w:val="center"/>
          </w:tcPr>
          <w:p w:rsidR="0073612A" w:rsidRDefault="00C40E19">
            <w:pPr>
              <w:jc w:val="center"/>
            </w:pPr>
            <w:r>
              <w:rPr>
                <w:color w:val="000000"/>
                <w:kern w:val="0"/>
                <w:sz w:val="24"/>
                <w:szCs w:val="24"/>
              </w:rPr>
              <w:t>2</w:t>
            </w:r>
          </w:p>
        </w:tc>
        <w:tc>
          <w:tcPr>
            <w:tcW w:w="1276" w:type="dxa"/>
            <w:vAlign w:val="center"/>
          </w:tcPr>
          <w:p w:rsidR="0073612A" w:rsidRDefault="00C40E19">
            <w:pPr>
              <w:jc w:val="center"/>
            </w:pPr>
            <w:r>
              <w:rPr>
                <w:color w:val="000000"/>
                <w:kern w:val="0"/>
                <w:sz w:val="24"/>
                <w:szCs w:val="24"/>
              </w:rPr>
              <w:t>000333</w:t>
            </w:r>
          </w:p>
        </w:tc>
        <w:tc>
          <w:tcPr>
            <w:tcW w:w="1418" w:type="dxa"/>
            <w:vAlign w:val="center"/>
          </w:tcPr>
          <w:p w:rsidR="0073612A" w:rsidRDefault="00C40E19">
            <w:pPr>
              <w:jc w:val="center"/>
            </w:pPr>
            <w:r>
              <w:rPr>
                <w:color w:val="000000"/>
                <w:kern w:val="0"/>
                <w:sz w:val="24"/>
                <w:szCs w:val="24"/>
              </w:rPr>
              <w:t>美的集团</w:t>
            </w:r>
          </w:p>
        </w:tc>
        <w:tc>
          <w:tcPr>
            <w:tcW w:w="1701" w:type="dxa"/>
            <w:vAlign w:val="center"/>
          </w:tcPr>
          <w:p w:rsidR="0073612A" w:rsidRDefault="00C40E19">
            <w:pPr>
              <w:jc w:val="right"/>
            </w:pPr>
            <w:r>
              <w:rPr>
                <w:color w:val="000000"/>
                <w:kern w:val="0"/>
                <w:sz w:val="24"/>
                <w:szCs w:val="24"/>
              </w:rPr>
              <w:t>359,700</w:t>
            </w:r>
          </w:p>
        </w:tc>
        <w:tc>
          <w:tcPr>
            <w:tcW w:w="1984" w:type="dxa"/>
            <w:vAlign w:val="center"/>
          </w:tcPr>
          <w:p w:rsidR="0073612A" w:rsidRDefault="00C40E19">
            <w:pPr>
              <w:jc w:val="right"/>
            </w:pPr>
            <w:r>
              <w:rPr>
                <w:color w:val="000000"/>
                <w:kern w:val="0"/>
                <w:sz w:val="24"/>
                <w:szCs w:val="24"/>
              </w:rPr>
              <w:t>18,380,670.00</w:t>
            </w:r>
          </w:p>
        </w:tc>
        <w:tc>
          <w:tcPr>
            <w:tcW w:w="1559" w:type="dxa"/>
            <w:vAlign w:val="center"/>
          </w:tcPr>
          <w:p w:rsidR="0073612A" w:rsidRDefault="00C40E19">
            <w:pPr>
              <w:jc w:val="right"/>
            </w:pPr>
            <w:r>
              <w:rPr>
                <w:color w:val="000000"/>
                <w:kern w:val="0"/>
                <w:sz w:val="24"/>
                <w:szCs w:val="24"/>
              </w:rPr>
              <w:t>6.67</w:t>
            </w:r>
          </w:p>
        </w:tc>
      </w:tr>
      <w:tr w:rsidR="0073612A">
        <w:tc>
          <w:tcPr>
            <w:tcW w:w="851" w:type="dxa"/>
            <w:vAlign w:val="center"/>
          </w:tcPr>
          <w:p w:rsidR="0073612A" w:rsidRDefault="00C40E19">
            <w:pPr>
              <w:jc w:val="center"/>
            </w:pPr>
            <w:r>
              <w:rPr>
                <w:color w:val="000000"/>
                <w:kern w:val="0"/>
                <w:sz w:val="24"/>
                <w:szCs w:val="24"/>
              </w:rPr>
              <w:t>3</w:t>
            </w:r>
          </w:p>
        </w:tc>
        <w:tc>
          <w:tcPr>
            <w:tcW w:w="1276" w:type="dxa"/>
            <w:vAlign w:val="center"/>
          </w:tcPr>
          <w:p w:rsidR="0073612A" w:rsidRDefault="00C40E19">
            <w:pPr>
              <w:jc w:val="center"/>
            </w:pPr>
            <w:r>
              <w:rPr>
                <w:color w:val="000000"/>
                <w:kern w:val="0"/>
                <w:sz w:val="24"/>
                <w:szCs w:val="24"/>
              </w:rPr>
              <w:t>300628</w:t>
            </w:r>
          </w:p>
        </w:tc>
        <w:tc>
          <w:tcPr>
            <w:tcW w:w="1418" w:type="dxa"/>
            <w:vAlign w:val="center"/>
          </w:tcPr>
          <w:p w:rsidR="0073612A" w:rsidRDefault="00C40E19">
            <w:pPr>
              <w:jc w:val="center"/>
            </w:pPr>
            <w:r>
              <w:rPr>
                <w:color w:val="000000"/>
                <w:kern w:val="0"/>
                <w:sz w:val="24"/>
                <w:szCs w:val="24"/>
              </w:rPr>
              <w:t>亿联网络</w:t>
            </w:r>
          </w:p>
        </w:tc>
        <w:tc>
          <w:tcPr>
            <w:tcW w:w="1701" w:type="dxa"/>
            <w:vAlign w:val="center"/>
          </w:tcPr>
          <w:p w:rsidR="0073612A" w:rsidRDefault="00C40E19">
            <w:pPr>
              <w:jc w:val="right"/>
            </w:pPr>
            <w:r>
              <w:rPr>
                <w:color w:val="000000"/>
                <w:kern w:val="0"/>
                <w:sz w:val="24"/>
                <w:szCs w:val="24"/>
              </w:rPr>
              <w:t>243,000</w:t>
            </w:r>
          </w:p>
        </w:tc>
        <w:tc>
          <w:tcPr>
            <w:tcW w:w="1984" w:type="dxa"/>
            <w:vAlign w:val="center"/>
          </w:tcPr>
          <w:p w:rsidR="0073612A" w:rsidRDefault="00C40E19">
            <w:pPr>
              <w:jc w:val="right"/>
            </w:pPr>
            <w:r>
              <w:rPr>
                <w:color w:val="000000"/>
                <w:kern w:val="0"/>
                <w:sz w:val="24"/>
                <w:szCs w:val="24"/>
              </w:rPr>
              <w:t>14,747,670.00</w:t>
            </w:r>
          </w:p>
        </w:tc>
        <w:tc>
          <w:tcPr>
            <w:tcW w:w="1559" w:type="dxa"/>
            <w:vAlign w:val="center"/>
          </w:tcPr>
          <w:p w:rsidR="0073612A" w:rsidRDefault="00C40E19">
            <w:pPr>
              <w:jc w:val="right"/>
            </w:pPr>
            <w:r>
              <w:rPr>
                <w:color w:val="000000"/>
                <w:kern w:val="0"/>
                <w:sz w:val="24"/>
                <w:szCs w:val="24"/>
              </w:rPr>
              <w:t>5.35</w:t>
            </w:r>
          </w:p>
        </w:tc>
      </w:tr>
      <w:tr w:rsidR="0073612A">
        <w:tc>
          <w:tcPr>
            <w:tcW w:w="851" w:type="dxa"/>
            <w:vAlign w:val="center"/>
          </w:tcPr>
          <w:p w:rsidR="0073612A" w:rsidRDefault="00C40E19">
            <w:pPr>
              <w:jc w:val="center"/>
            </w:pPr>
            <w:r>
              <w:rPr>
                <w:color w:val="000000"/>
                <w:kern w:val="0"/>
                <w:sz w:val="24"/>
                <w:szCs w:val="24"/>
              </w:rPr>
              <w:t>4</w:t>
            </w:r>
          </w:p>
        </w:tc>
        <w:tc>
          <w:tcPr>
            <w:tcW w:w="1276" w:type="dxa"/>
            <w:vAlign w:val="center"/>
          </w:tcPr>
          <w:p w:rsidR="0073612A" w:rsidRDefault="00C40E19">
            <w:pPr>
              <w:jc w:val="center"/>
            </w:pPr>
            <w:r>
              <w:rPr>
                <w:color w:val="000000"/>
                <w:kern w:val="0"/>
                <w:sz w:val="24"/>
                <w:szCs w:val="24"/>
              </w:rPr>
              <w:t>603259</w:t>
            </w:r>
          </w:p>
        </w:tc>
        <w:tc>
          <w:tcPr>
            <w:tcW w:w="1418" w:type="dxa"/>
            <w:vAlign w:val="center"/>
          </w:tcPr>
          <w:p w:rsidR="0073612A" w:rsidRDefault="00C40E19">
            <w:pPr>
              <w:jc w:val="center"/>
            </w:pPr>
            <w:r>
              <w:rPr>
                <w:color w:val="000000"/>
                <w:kern w:val="0"/>
                <w:sz w:val="24"/>
                <w:szCs w:val="24"/>
              </w:rPr>
              <w:t>药明康德</w:t>
            </w:r>
          </w:p>
        </w:tc>
        <w:tc>
          <w:tcPr>
            <w:tcW w:w="1701" w:type="dxa"/>
            <w:vAlign w:val="center"/>
          </w:tcPr>
          <w:p w:rsidR="0073612A" w:rsidRDefault="00C40E19">
            <w:pPr>
              <w:jc w:val="right"/>
            </w:pPr>
            <w:r>
              <w:rPr>
                <w:color w:val="000000"/>
                <w:kern w:val="0"/>
                <w:sz w:val="24"/>
                <w:szCs w:val="24"/>
              </w:rPr>
              <w:t>160,280</w:t>
            </w:r>
          </w:p>
        </w:tc>
        <w:tc>
          <w:tcPr>
            <w:tcW w:w="1984" w:type="dxa"/>
            <w:vAlign w:val="center"/>
          </w:tcPr>
          <w:p w:rsidR="0073612A" w:rsidRDefault="00C40E19">
            <w:pPr>
              <w:jc w:val="right"/>
            </w:pPr>
            <w:r>
              <w:rPr>
                <w:color w:val="000000"/>
                <w:kern w:val="0"/>
                <w:sz w:val="24"/>
                <w:szCs w:val="24"/>
              </w:rPr>
              <w:t>13,896,276.00</w:t>
            </w:r>
          </w:p>
        </w:tc>
        <w:tc>
          <w:tcPr>
            <w:tcW w:w="1559" w:type="dxa"/>
            <w:vAlign w:val="center"/>
          </w:tcPr>
          <w:p w:rsidR="0073612A" w:rsidRDefault="00C40E19">
            <w:pPr>
              <w:jc w:val="right"/>
            </w:pPr>
            <w:r>
              <w:rPr>
                <w:color w:val="000000"/>
                <w:kern w:val="0"/>
                <w:sz w:val="24"/>
                <w:szCs w:val="24"/>
              </w:rPr>
              <w:t>5.04</w:t>
            </w:r>
          </w:p>
        </w:tc>
      </w:tr>
      <w:tr w:rsidR="0073612A">
        <w:tc>
          <w:tcPr>
            <w:tcW w:w="851" w:type="dxa"/>
            <w:vAlign w:val="center"/>
          </w:tcPr>
          <w:p w:rsidR="0073612A" w:rsidRDefault="00C40E19">
            <w:pPr>
              <w:jc w:val="center"/>
            </w:pPr>
            <w:r>
              <w:rPr>
                <w:color w:val="000000"/>
                <w:kern w:val="0"/>
                <w:sz w:val="24"/>
                <w:szCs w:val="24"/>
              </w:rPr>
              <w:t>5</w:t>
            </w:r>
          </w:p>
        </w:tc>
        <w:tc>
          <w:tcPr>
            <w:tcW w:w="1276" w:type="dxa"/>
            <w:vAlign w:val="center"/>
          </w:tcPr>
          <w:p w:rsidR="0073612A" w:rsidRDefault="00C40E19">
            <w:pPr>
              <w:jc w:val="center"/>
            </w:pPr>
            <w:r>
              <w:rPr>
                <w:color w:val="000000"/>
                <w:kern w:val="0"/>
                <w:sz w:val="24"/>
                <w:szCs w:val="24"/>
              </w:rPr>
              <w:t>600004</w:t>
            </w:r>
          </w:p>
        </w:tc>
        <w:tc>
          <w:tcPr>
            <w:tcW w:w="1418" w:type="dxa"/>
            <w:vAlign w:val="center"/>
          </w:tcPr>
          <w:p w:rsidR="0073612A" w:rsidRDefault="00C40E19">
            <w:pPr>
              <w:jc w:val="center"/>
            </w:pPr>
            <w:r>
              <w:rPr>
                <w:color w:val="000000"/>
                <w:kern w:val="0"/>
                <w:sz w:val="24"/>
                <w:szCs w:val="24"/>
              </w:rPr>
              <w:t>白云机场</w:t>
            </w:r>
          </w:p>
        </w:tc>
        <w:tc>
          <w:tcPr>
            <w:tcW w:w="1701" w:type="dxa"/>
            <w:vAlign w:val="center"/>
          </w:tcPr>
          <w:p w:rsidR="0073612A" w:rsidRDefault="00C40E19">
            <w:pPr>
              <w:jc w:val="right"/>
            </w:pPr>
            <w:r>
              <w:rPr>
                <w:color w:val="000000"/>
                <w:kern w:val="0"/>
                <w:sz w:val="24"/>
                <w:szCs w:val="24"/>
              </w:rPr>
              <w:t>613,829</w:t>
            </w:r>
          </w:p>
        </w:tc>
        <w:tc>
          <w:tcPr>
            <w:tcW w:w="1984" w:type="dxa"/>
            <w:vAlign w:val="center"/>
          </w:tcPr>
          <w:p w:rsidR="0073612A" w:rsidRDefault="00C40E19">
            <w:pPr>
              <w:jc w:val="right"/>
            </w:pPr>
            <w:r>
              <w:rPr>
                <w:color w:val="000000"/>
                <w:kern w:val="0"/>
                <w:sz w:val="24"/>
                <w:szCs w:val="24"/>
              </w:rPr>
              <w:t>13,780,461.05</w:t>
            </w:r>
          </w:p>
        </w:tc>
        <w:tc>
          <w:tcPr>
            <w:tcW w:w="1559" w:type="dxa"/>
            <w:vAlign w:val="center"/>
          </w:tcPr>
          <w:p w:rsidR="0073612A" w:rsidRDefault="00C40E19">
            <w:pPr>
              <w:jc w:val="right"/>
            </w:pPr>
            <w:r>
              <w:rPr>
                <w:color w:val="000000"/>
                <w:kern w:val="0"/>
                <w:sz w:val="24"/>
                <w:szCs w:val="24"/>
              </w:rPr>
              <w:t>5.00</w:t>
            </w:r>
          </w:p>
        </w:tc>
      </w:tr>
      <w:tr w:rsidR="0073612A">
        <w:tc>
          <w:tcPr>
            <w:tcW w:w="851" w:type="dxa"/>
            <w:vAlign w:val="center"/>
          </w:tcPr>
          <w:p w:rsidR="0073612A" w:rsidRDefault="00C40E19">
            <w:pPr>
              <w:jc w:val="center"/>
            </w:pPr>
            <w:r>
              <w:rPr>
                <w:color w:val="000000"/>
                <w:kern w:val="0"/>
                <w:sz w:val="24"/>
                <w:szCs w:val="24"/>
              </w:rPr>
              <w:t>6</w:t>
            </w:r>
          </w:p>
        </w:tc>
        <w:tc>
          <w:tcPr>
            <w:tcW w:w="1276" w:type="dxa"/>
            <w:vAlign w:val="center"/>
          </w:tcPr>
          <w:p w:rsidR="0073612A" w:rsidRDefault="00C40E19">
            <w:pPr>
              <w:jc w:val="center"/>
            </w:pPr>
            <w:r>
              <w:rPr>
                <w:color w:val="000000"/>
                <w:kern w:val="0"/>
                <w:sz w:val="24"/>
                <w:szCs w:val="24"/>
              </w:rPr>
              <w:t>601318</w:t>
            </w:r>
          </w:p>
        </w:tc>
        <w:tc>
          <w:tcPr>
            <w:tcW w:w="1418" w:type="dxa"/>
            <w:vAlign w:val="center"/>
          </w:tcPr>
          <w:p w:rsidR="0073612A" w:rsidRDefault="00C40E19">
            <w:pPr>
              <w:jc w:val="center"/>
            </w:pPr>
            <w:r>
              <w:rPr>
                <w:color w:val="000000"/>
                <w:kern w:val="0"/>
                <w:sz w:val="24"/>
                <w:szCs w:val="24"/>
              </w:rPr>
              <w:t>中国平安</w:t>
            </w:r>
          </w:p>
        </w:tc>
        <w:tc>
          <w:tcPr>
            <w:tcW w:w="1701" w:type="dxa"/>
            <w:vAlign w:val="center"/>
          </w:tcPr>
          <w:p w:rsidR="0073612A" w:rsidRDefault="00C40E19">
            <w:pPr>
              <w:jc w:val="right"/>
            </w:pPr>
            <w:r>
              <w:rPr>
                <w:color w:val="000000"/>
                <w:kern w:val="0"/>
                <w:sz w:val="24"/>
                <w:szCs w:val="24"/>
              </w:rPr>
              <w:t>154,490</w:t>
            </w:r>
          </w:p>
        </w:tc>
        <w:tc>
          <w:tcPr>
            <w:tcW w:w="1984" w:type="dxa"/>
            <w:vAlign w:val="center"/>
          </w:tcPr>
          <w:p w:rsidR="0073612A" w:rsidRDefault="00C40E19">
            <w:pPr>
              <w:jc w:val="right"/>
            </w:pPr>
            <w:r>
              <w:rPr>
                <w:color w:val="000000"/>
                <w:kern w:val="0"/>
                <w:sz w:val="24"/>
                <w:szCs w:val="24"/>
              </w:rPr>
              <w:t>13,446,809.60</w:t>
            </w:r>
          </w:p>
        </w:tc>
        <w:tc>
          <w:tcPr>
            <w:tcW w:w="1559" w:type="dxa"/>
            <w:vAlign w:val="center"/>
          </w:tcPr>
          <w:p w:rsidR="0073612A" w:rsidRDefault="00C40E19">
            <w:pPr>
              <w:jc w:val="right"/>
            </w:pPr>
            <w:r>
              <w:rPr>
                <w:color w:val="000000"/>
                <w:kern w:val="0"/>
                <w:sz w:val="24"/>
                <w:szCs w:val="24"/>
              </w:rPr>
              <w:t>4.88</w:t>
            </w:r>
          </w:p>
        </w:tc>
      </w:tr>
      <w:tr w:rsidR="0073612A">
        <w:tc>
          <w:tcPr>
            <w:tcW w:w="851" w:type="dxa"/>
            <w:vAlign w:val="center"/>
          </w:tcPr>
          <w:p w:rsidR="0073612A" w:rsidRDefault="00C40E19">
            <w:pPr>
              <w:jc w:val="center"/>
            </w:pPr>
            <w:r>
              <w:rPr>
                <w:color w:val="000000"/>
                <w:kern w:val="0"/>
                <w:sz w:val="24"/>
                <w:szCs w:val="24"/>
              </w:rPr>
              <w:t>7</w:t>
            </w:r>
          </w:p>
        </w:tc>
        <w:tc>
          <w:tcPr>
            <w:tcW w:w="1276" w:type="dxa"/>
            <w:vAlign w:val="center"/>
          </w:tcPr>
          <w:p w:rsidR="0073612A" w:rsidRDefault="00C40E19">
            <w:pPr>
              <w:jc w:val="center"/>
            </w:pPr>
            <w:r>
              <w:rPr>
                <w:color w:val="000000"/>
                <w:kern w:val="0"/>
                <w:sz w:val="24"/>
                <w:szCs w:val="24"/>
              </w:rPr>
              <w:t>603806</w:t>
            </w:r>
          </w:p>
        </w:tc>
        <w:tc>
          <w:tcPr>
            <w:tcW w:w="1418" w:type="dxa"/>
            <w:vAlign w:val="center"/>
          </w:tcPr>
          <w:p w:rsidR="0073612A" w:rsidRDefault="00C40E19">
            <w:pPr>
              <w:jc w:val="center"/>
            </w:pPr>
            <w:r>
              <w:rPr>
                <w:color w:val="000000"/>
                <w:kern w:val="0"/>
                <w:sz w:val="24"/>
                <w:szCs w:val="24"/>
              </w:rPr>
              <w:t>福斯特</w:t>
            </w:r>
          </w:p>
        </w:tc>
        <w:tc>
          <w:tcPr>
            <w:tcW w:w="1701" w:type="dxa"/>
            <w:vAlign w:val="center"/>
          </w:tcPr>
          <w:p w:rsidR="0073612A" w:rsidRDefault="00C40E19">
            <w:pPr>
              <w:jc w:val="right"/>
            </w:pPr>
            <w:r>
              <w:rPr>
                <w:color w:val="000000"/>
                <w:kern w:val="0"/>
                <w:sz w:val="24"/>
                <w:szCs w:val="24"/>
              </w:rPr>
              <w:t>295,940</w:t>
            </w:r>
          </w:p>
        </w:tc>
        <w:tc>
          <w:tcPr>
            <w:tcW w:w="1984" w:type="dxa"/>
            <w:vAlign w:val="center"/>
          </w:tcPr>
          <w:p w:rsidR="0073612A" w:rsidRDefault="00C40E19">
            <w:pPr>
              <w:jc w:val="right"/>
            </w:pPr>
            <w:r>
              <w:rPr>
                <w:color w:val="000000"/>
                <w:kern w:val="0"/>
                <w:sz w:val="24"/>
                <w:szCs w:val="24"/>
              </w:rPr>
              <w:t>13,435,676.00</w:t>
            </w:r>
          </w:p>
        </w:tc>
        <w:tc>
          <w:tcPr>
            <w:tcW w:w="1559" w:type="dxa"/>
            <w:vAlign w:val="center"/>
          </w:tcPr>
          <w:p w:rsidR="0073612A" w:rsidRDefault="00C40E19">
            <w:pPr>
              <w:jc w:val="right"/>
            </w:pPr>
            <w:r>
              <w:rPr>
                <w:color w:val="000000"/>
                <w:kern w:val="0"/>
                <w:sz w:val="24"/>
                <w:szCs w:val="24"/>
              </w:rPr>
              <w:t>4.88</w:t>
            </w:r>
          </w:p>
        </w:tc>
      </w:tr>
      <w:tr w:rsidR="0073612A">
        <w:tc>
          <w:tcPr>
            <w:tcW w:w="851" w:type="dxa"/>
            <w:vAlign w:val="center"/>
          </w:tcPr>
          <w:p w:rsidR="0073612A" w:rsidRDefault="00C40E19">
            <w:pPr>
              <w:jc w:val="center"/>
            </w:pPr>
            <w:r>
              <w:rPr>
                <w:color w:val="000000"/>
                <w:kern w:val="0"/>
                <w:sz w:val="24"/>
                <w:szCs w:val="24"/>
              </w:rPr>
              <w:t>8</w:t>
            </w:r>
          </w:p>
        </w:tc>
        <w:tc>
          <w:tcPr>
            <w:tcW w:w="1276" w:type="dxa"/>
            <w:vAlign w:val="center"/>
          </w:tcPr>
          <w:p w:rsidR="0073612A" w:rsidRDefault="00C40E19">
            <w:pPr>
              <w:jc w:val="center"/>
            </w:pPr>
            <w:r>
              <w:rPr>
                <w:color w:val="000000"/>
                <w:kern w:val="0"/>
                <w:sz w:val="24"/>
                <w:szCs w:val="24"/>
              </w:rPr>
              <w:t>000860</w:t>
            </w:r>
          </w:p>
        </w:tc>
        <w:tc>
          <w:tcPr>
            <w:tcW w:w="1418" w:type="dxa"/>
            <w:vAlign w:val="center"/>
          </w:tcPr>
          <w:p w:rsidR="0073612A" w:rsidRDefault="00C40E19">
            <w:pPr>
              <w:jc w:val="center"/>
            </w:pPr>
            <w:r>
              <w:rPr>
                <w:color w:val="000000"/>
                <w:kern w:val="0"/>
                <w:sz w:val="24"/>
                <w:szCs w:val="24"/>
              </w:rPr>
              <w:t>顺鑫农业</w:t>
            </w:r>
          </w:p>
        </w:tc>
        <w:tc>
          <w:tcPr>
            <w:tcW w:w="1701" w:type="dxa"/>
            <w:vAlign w:val="center"/>
          </w:tcPr>
          <w:p w:rsidR="0073612A" w:rsidRDefault="00C40E19">
            <w:pPr>
              <w:jc w:val="right"/>
            </w:pPr>
            <w:r>
              <w:rPr>
                <w:color w:val="000000"/>
                <w:kern w:val="0"/>
                <w:sz w:val="24"/>
                <w:szCs w:val="24"/>
              </w:rPr>
              <w:t>256,840</w:t>
            </w:r>
          </w:p>
        </w:tc>
        <w:tc>
          <w:tcPr>
            <w:tcW w:w="1984" w:type="dxa"/>
            <w:vAlign w:val="center"/>
          </w:tcPr>
          <w:p w:rsidR="0073612A" w:rsidRDefault="00C40E19">
            <w:pPr>
              <w:jc w:val="right"/>
            </w:pPr>
            <w:r>
              <w:rPr>
                <w:color w:val="000000"/>
                <w:kern w:val="0"/>
                <w:sz w:val="24"/>
                <w:szCs w:val="24"/>
              </w:rPr>
              <w:t>13,396,774.40</w:t>
            </w:r>
          </w:p>
        </w:tc>
        <w:tc>
          <w:tcPr>
            <w:tcW w:w="1559" w:type="dxa"/>
            <w:vAlign w:val="center"/>
          </w:tcPr>
          <w:p w:rsidR="0073612A" w:rsidRDefault="00C40E19">
            <w:pPr>
              <w:jc w:val="right"/>
            </w:pPr>
            <w:r>
              <w:rPr>
                <w:color w:val="000000"/>
                <w:kern w:val="0"/>
                <w:sz w:val="24"/>
                <w:szCs w:val="24"/>
              </w:rPr>
              <w:t>4.86</w:t>
            </w:r>
          </w:p>
        </w:tc>
      </w:tr>
      <w:tr w:rsidR="0073612A">
        <w:tc>
          <w:tcPr>
            <w:tcW w:w="851" w:type="dxa"/>
            <w:vAlign w:val="center"/>
          </w:tcPr>
          <w:p w:rsidR="0073612A" w:rsidRDefault="00C40E19">
            <w:pPr>
              <w:jc w:val="center"/>
            </w:pPr>
            <w:r>
              <w:rPr>
                <w:color w:val="000000"/>
                <w:kern w:val="0"/>
                <w:sz w:val="24"/>
                <w:szCs w:val="24"/>
              </w:rPr>
              <w:t>9</w:t>
            </w:r>
          </w:p>
        </w:tc>
        <w:tc>
          <w:tcPr>
            <w:tcW w:w="1276" w:type="dxa"/>
            <w:vAlign w:val="center"/>
          </w:tcPr>
          <w:p w:rsidR="0073612A" w:rsidRDefault="00C40E19">
            <w:pPr>
              <w:jc w:val="center"/>
            </w:pPr>
            <w:r>
              <w:rPr>
                <w:color w:val="000000"/>
                <w:kern w:val="0"/>
                <w:sz w:val="24"/>
                <w:szCs w:val="24"/>
              </w:rPr>
              <w:t>601012</w:t>
            </w:r>
          </w:p>
        </w:tc>
        <w:tc>
          <w:tcPr>
            <w:tcW w:w="1418" w:type="dxa"/>
            <w:vAlign w:val="center"/>
          </w:tcPr>
          <w:p w:rsidR="0073612A" w:rsidRDefault="00C40E19">
            <w:pPr>
              <w:jc w:val="center"/>
            </w:pPr>
            <w:r>
              <w:rPr>
                <w:color w:val="000000"/>
                <w:kern w:val="0"/>
                <w:sz w:val="24"/>
                <w:szCs w:val="24"/>
              </w:rPr>
              <w:t>隆基股份</w:t>
            </w:r>
          </w:p>
        </w:tc>
        <w:tc>
          <w:tcPr>
            <w:tcW w:w="1701" w:type="dxa"/>
            <w:vAlign w:val="center"/>
          </w:tcPr>
          <w:p w:rsidR="0073612A" w:rsidRDefault="00C40E19">
            <w:pPr>
              <w:jc w:val="right"/>
            </w:pPr>
            <w:r>
              <w:rPr>
                <w:color w:val="000000"/>
                <w:kern w:val="0"/>
                <w:sz w:val="24"/>
                <w:szCs w:val="24"/>
              </w:rPr>
              <w:t>508,366</w:t>
            </w:r>
          </w:p>
        </w:tc>
        <w:tc>
          <w:tcPr>
            <w:tcW w:w="1984" w:type="dxa"/>
            <w:vAlign w:val="center"/>
          </w:tcPr>
          <w:p w:rsidR="0073612A" w:rsidRDefault="00C40E19">
            <w:pPr>
              <w:jc w:val="right"/>
            </w:pPr>
            <w:r>
              <w:rPr>
                <w:color w:val="000000"/>
                <w:kern w:val="0"/>
                <w:sz w:val="24"/>
                <w:szCs w:val="24"/>
              </w:rPr>
              <w:t>13,334,440.18</w:t>
            </w:r>
          </w:p>
        </w:tc>
        <w:tc>
          <w:tcPr>
            <w:tcW w:w="1559" w:type="dxa"/>
            <w:vAlign w:val="center"/>
          </w:tcPr>
          <w:p w:rsidR="0073612A" w:rsidRDefault="00C40E19">
            <w:pPr>
              <w:jc w:val="right"/>
            </w:pPr>
            <w:r>
              <w:rPr>
                <w:color w:val="000000"/>
                <w:kern w:val="0"/>
                <w:sz w:val="24"/>
                <w:szCs w:val="24"/>
              </w:rPr>
              <w:t>4.84</w:t>
            </w:r>
          </w:p>
        </w:tc>
      </w:tr>
      <w:tr w:rsidR="0073612A">
        <w:tc>
          <w:tcPr>
            <w:tcW w:w="851" w:type="dxa"/>
            <w:vAlign w:val="center"/>
          </w:tcPr>
          <w:p w:rsidR="0073612A" w:rsidRDefault="00C40E19">
            <w:pPr>
              <w:jc w:val="center"/>
            </w:pPr>
            <w:r>
              <w:rPr>
                <w:color w:val="000000"/>
                <w:kern w:val="0"/>
                <w:sz w:val="24"/>
                <w:szCs w:val="24"/>
              </w:rPr>
              <w:t>10</w:t>
            </w:r>
          </w:p>
        </w:tc>
        <w:tc>
          <w:tcPr>
            <w:tcW w:w="1276" w:type="dxa"/>
            <w:vAlign w:val="center"/>
          </w:tcPr>
          <w:p w:rsidR="0073612A" w:rsidRDefault="00C40E19">
            <w:pPr>
              <w:jc w:val="center"/>
            </w:pPr>
            <w:r>
              <w:rPr>
                <w:color w:val="000000"/>
                <w:kern w:val="0"/>
                <w:sz w:val="24"/>
                <w:szCs w:val="24"/>
              </w:rPr>
              <w:t>600486</w:t>
            </w:r>
          </w:p>
        </w:tc>
        <w:tc>
          <w:tcPr>
            <w:tcW w:w="1418" w:type="dxa"/>
            <w:vAlign w:val="center"/>
          </w:tcPr>
          <w:p w:rsidR="0073612A" w:rsidRDefault="00C40E19">
            <w:pPr>
              <w:jc w:val="center"/>
            </w:pPr>
            <w:r>
              <w:rPr>
                <w:color w:val="000000"/>
                <w:kern w:val="0"/>
                <w:sz w:val="24"/>
                <w:szCs w:val="24"/>
              </w:rPr>
              <w:t>扬农化工</w:t>
            </w:r>
          </w:p>
        </w:tc>
        <w:tc>
          <w:tcPr>
            <w:tcW w:w="1701" w:type="dxa"/>
            <w:vAlign w:val="center"/>
          </w:tcPr>
          <w:p w:rsidR="0073612A" w:rsidRDefault="00C40E19">
            <w:pPr>
              <w:jc w:val="right"/>
            </w:pPr>
            <w:r>
              <w:rPr>
                <w:color w:val="000000"/>
                <w:kern w:val="0"/>
                <w:sz w:val="24"/>
                <w:szCs w:val="24"/>
              </w:rPr>
              <w:t>266,000</w:t>
            </w:r>
          </w:p>
        </w:tc>
        <w:tc>
          <w:tcPr>
            <w:tcW w:w="1984" w:type="dxa"/>
            <w:vAlign w:val="center"/>
          </w:tcPr>
          <w:p w:rsidR="0073612A" w:rsidRDefault="00C40E19">
            <w:pPr>
              <w:jc w:val="right"/>
            </w:pPr>
            <w:r>
              <w:rPr>
                <w:color w:val="000000"/>
                <w:kern w:val="0"/>
                <w:sz w:val="24"/>
                <w:szCs w:val="24"/>
              </w:rPr>
              <w:t>13,246,800.00</w:t>
            </w:r>
          </w:p>
        </w:tc>
        <w:tc>
          <w:tcPr>
            <w:tcW w:w="1559" w:type="dxa"/>
            <w:vAlign w:val="center"/>
          </w:tcPr>
          <w:p w:rsidR="0073612A" w:rsidRDefault="00C40E19">
            <w:pPr>
              <w:jc w:val="right"/>
            </w:pPr>
            <w:r>
              <w:rPr>
                <w:color w:val="000000"/>
                <w:kern w:val="0"/>
                <w:sz w:val="24"/>
                <w:szCs w:val="24"/>
              </w:rPr>
              <w:t>4.81</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14,354,230.00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14,354,230.00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3,057,428.00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2,826,199.22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20,237,857.22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7.35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3612A">
        <w:tc>
          <w:tcPr>
            <w:tcW w:w="959" w:type="dxa"/>
            <w:vAlign w:val="center"/>
          </w:tcPr>
          <w:p w:rsidR="0073612A" w:rsidRDefault="00C40E19">
            <w:pPr>
              <w:jc w:val="center"/>
            </w:pPr>
            <w:r>
              <w:rPr>
                <w:color w:val="000000"/>
                <w:kern w:val="0"/>
                <w:sz w:val="24"/>
                <w:szCs w:val="24"/>
              </w:rPr>
              <w:t>1</w:t>
            </w:r>
          </w:p>
        </w:tc>
        <w:tc>
          <w:tcPr>
            <w:tcW w:w="1276" w:type="dxa"/>
            <w:vAlign w:val="center"/>
          </w:tcPr>
          <w:p w:rsidR="0073612A" w:rsidRDefault="00C40E19">
            <w:pPr>
              <w:jc w:val="center"/>
            </w:pPr>
            <w:r>
              <w:rPr>
                <w:color w:val="000000"/>
                <w:kern w:val="0"/>
                <w:sz w:val="24"/>
                <w:szCs w:val="24"/>
              </w:rPr>
              <w:t>018007</w:t>
            </w:r>
          </w:p>
        </w:tc>
        <w:tc>
          <w:tcPr>
            <w:tcW w:w="1275" w:type="dxa"/>
            <w:vAlign w:val="center"/>
          </w:tcPr>
          <w:p w:rsidR="0073612A" w:rsidRDefault="00C40E19">
            <w:pPr>
              <w:jc w:val="center"/>
            </w:pPr>
            <w:r>
              <w:rPr>
                <w:color w:val="000000"/>
                <w:kern w:val="0"/>
                <w:sz w:val="24"/>
                <w:szCs w:val="24"/>
              </w:rPr>
              <w:t>国开</w:t>
            </w:r>
            <w:r>
              <w:rPr>
                <w:color w:val="000000"/>
                <w:kern w:val="0"/>
                <w:sz w:val="24"/>
                <w:szCs w:val="24"/>
              </w:rPr>
              <w:t>1801</w:t>
            </w:r>
          </w:p>
        </w:tc>
        <w:tc>
          <w:tcPr>
            <w:tcW w:w="1560" w:type="dxa"/>
            <w:vAlign w:val="center"/>
          </w:tcPr>
          <w:p w:rsidR="0073612A" w:rsidRDefault="00C40E19">
            <w:pPr>
              <w:jc w:val="right"/>
            </w:pPr>
            <w:r>
              <w:rPr>
                <w:color w:val="000000"/>
                <w:kern w:val="0"/>
                <w:sz w:val="24"/>
                <w:szCs w:val="24"/>
              </w:rPr>
              <w:t>109,000</w:t>
            </w:r>
          </w:p>
        </w:tc>
        <w:tc>
          <w:tcPr>
            <w:tcW w:w="1984" w:type="dxa"/>
            <w:vAlign w:val="center"/>
          </w:tcPr>
          <w:p w:rsidR="0073612A" w:rsidRDefault="00C40E19">
            <w:pPr>
              <w:jc w:val="right"/>
            </w:pPr>
            <w:r>
              <w:rPr>
                <w:color w:val="000000"/>
                <w:kern w:val="0"/>
                <w:sz w:val="24"/>
                <w:szCs w:val="24"/>
              </w:rPr>
              <w:t>11,030,800.00</w:t>
            </w:r>
          </w:p>
        </w:tc>
        <w:tc>
          <w:tcPr>
            <w:tcW w:w="1474" w:type="dxa"/>
            <w:vAlign w:val="center"/>
          </w:tcPr>
          <w:p w:rsidR="0073612A" w:rsidRDefault="00C40E19">
            <w:pPr>
              <w:jc w:val="right"/>
            </w:pPr>
            <w:r>
              <w:rPr>
                <w:color w:val="000000"/>
                <w:kern w:val="0"/>
                <w:sz w:val="24"/>
                <w:szCs w:val="24"/>
              </w:rPr>
              <w:t>4.00</w:t>
            </w:r>
          </w:p>
        </w:tc>
      </w:tr>
      <w:tr w:rsidR="0073612A">
        <w:tc>
          <w:tcPr>
            <w:tcW w:w="959" w:type="dxa"/>
            <w:vAlign w:val="center"/>
          </w:tcPr>
          <w:p w:rsidR="0073612A" w:rsidRDefault="00C40E19">
            <w:pPr>
              <w:jc w:val="center"/>
            </w:pPr>
            <w:r>
              <w:rPr>
                <w:color w:val="000000"/>
                <w:kern w:val="0"/>
                <w:sz w:val="24"/>
                <w:szCs w:val="24"/>
              </w:rPr>
              <w:t>2</w:t>
            </w:r>
          </w:p>
        </w:tc>
        <w:tc>
          <w:tcPr>
            <w:tcW w:w="1276" w:type="dxa"/>
            <w:vAlign w:val="center"/>
          </w:tcPr>
          <w:p w:rsidR="0073612A" w:rsidRDefault="00C40E19">
            <w:pPr>
              <w:jc w:val="center"/>
            </w:pPr>
            <w:r>
              <w:rPr>
                <w:color w:val="000000"/>
                <w:kern w:val="0"/>
                <w:sz w:val="24"/>
                <w:szCs w:val="24"/>
              </w:rPr>
              <w:t>108602</w:t>
            </w:r>
          </w:p>
        </w:tc>
        <w:tc>
          <w:tcPr>
            <w:tcW w:w="1275" w:type="dxa"/>
            <w:vAlign w:val="center"/>
          </w:tcPr>
          <w:p w:rsidR="0073612A" w:rsidRDefault="00C40E19">
            <w:pPr>
              <w:jc w:val="center"/>
            </w:pPr>
            <w:r>
              <w:rPr>
                <w:color w:val="000000"/>
                <w:kern w:val="0"/>
                <w:sz w:val="24"/>
                <w:szCs w:val="24"/>
              </w:rPr>
              <w:t>国开</w:t>
            </w:r>
            <w:r>
              <w:rPr>
                <w:color w:val="000000"/>
                <w:kern w:val="0"/>
                <w:sz w:val="24"/>
                <w:szCs w:val="24"/>
              </w:rPr>
              <w:t>1704</w:t>
            </w:r>
          </w:p>
        </w:tc>
        <w:tc>
          <w:tcPr>
            <w:tcW w:w="1560" w:type="dxa"/>
            <w:vAlign w:val="center"/>
          </w:tcPr>
          <w:p w:rsidR="0073612A" w:rsidRDefault="00C40E19">
            <w:pPr>
              <w:jc w:val="right"/>
            </w:pPr>
            <w:r>
              <w:rPr>
                <w:color w:val="000000"/>
                <w:kern w:val="0"/>
                <w:sz w:val="24"/>
                <w:szCs w:val="24"/>
              </w:rPr>
              <w:t>33,000</w:t>
            </w:r>
          </w:p>
        </w:tc>
        <w:tc>
          <w:tcPr>
            <w:tcW w:w="1984" w:type="dxa"/>
            <w:vAlign w:val="center"/>
          </w:tcPr>
          <w:p w:rsidR="0073612A" w:rsidRDefault="00C40E19">
            <w:pPr>
              <w:jc w:val="right"/>
            </w:pPr>
            <w:r>
              <w:rPr>
                <w:color w:val="000000"/>
                <w:kern w:val="0"/>
                <w:sz w:val="24"/>
                <w:szCs w:val="24"/>
              </w:rPr>
              <w:t>3,323,430.00</w:t>
            </w:r>
          </w:p>
        </w:tc>
        <w:tc>
          <w:tcPr>
            <w:tcW w:w="1474" w:type="dxa"/>
            <w:vAlign w:val="center"/>
          </w:tcPr>
          <w:p w:rsidR="0073612A" w:rsidRDefault="00C40E19">
            <w:pPr>
              <w:jc w:val="right"/>
            </w:pPr>
            <w:r>
              <w:rPr>
                <w:color w:val="000000"/>
                <w:kern w:val="0"/>
                <w:sz w:val="24"/>
                <w:szCs w:val="24"/>
              </w:rPr>
              <w:t>1.21</w:t>
            </w:r>
          </w:p>
        </w:tc>
      </w:tr>
      <w:tr w:rsidR="0073612A">
        <w:tc>
          <w:tcPr>
            <w:tcW w:w="959" w:type="dxa"/>
            <w:vAlign w:val="center"/>
          </w:tcPr>
          <w:p w:rsidR="0073612A" w:rsidRDefault="00C40E19">
            <w:pPr>
              <w:jc w:val="center"/>
            </w:pPr>
            <w:r>
              <w:rPr>
                <w:color w:val="000000"/>
                <w:kern w:val="0"/>
                <w:sz w:val="24"/>
                <w:szCs w:val="24"/>
              </w:rPr>
              <w:t>3</w:t>
            </w:r>
          </w:p>
        </w:tc>
        <w:tc>
          <w:tcPr>
            <w:tcW w:w="1276" w:type="dxa"/>
            <w:vAlign w:val="center"/>
          </w:tcPr>
          <w:p w:rsidR="0073612A" w:rsidRDefault="00C40E19">
            <w:pPr>
              <w:jc w:val="center"/>
            </w:pPr>
            <w:r>
              <w:rPr>
                <w:color w:val="000000"/>
                <w:kern w:val="0"/>
                <w:sz w:val="24"/>
                <w:szCs w:val="24"/>
              </w:rPr>
              <w:t>136148</w:t>
            </w:r>
          </w:p>
        </w:tc>
        <w:tc>
          <w:tcPr>
            <w:tcW w:w="1275" w:type="dxa"/>
            <w:vAlign w:val="center"/>
          </w:tcPr>
          <w:p w:rsidR="0073612A" w:rsidRDefault="00C40E19">
            <w:pPr>
              <w:jc w:val="center"/>
            </w:pPr>
            <w:r>
              <w:rPr>
                <w:color w:val="000000"/>
                <w:kern w:val="0"/>
                <w:sz w:val="24"/>
                <w:szCs w:val="24"/>
              </w:rPr>
              <w:t>16</w:t>
            </w:r>
            <w:r>
              <w:rPr>
                <w:color w:val="000000"/>
                <w:kern w:val="0"/>
                <w:sz w:val="24"/>
                <w:szCs w:val="24"/>
              </w:rPr>
              <w:t>宏桥</w:t>
            </w:r>
            <w:r>
              <w:rPr>
                <w:color w:val="000000"/>
                <w:kern w:val="0"/>
                <w:sz w:val="24"/>
                <w:szCs w:val="24"/>
              </w:rPr>
              <w:t>01</w:t>
            </w:r>
          </w:p>
        </w:tc>
        <w:tc>
          <w:tcPr>
            <w:tcW w:w="1560" w:type="dxa"/>
            <w:vAlign w:val="center"/>
          </w:tcPr>
          <w:p w:rsidR="0073612A" w:rsidRDefault="00C40E19">
            <w:pPr>
              <w:jc w:val="right"/>
            </w:pPr>
            <w:r>
              <w:rPr>
                <w:color w:val="000000"/>
                <w:kern w:val="0"/>
                <w:sz w:val="24"/>
                <w:szCs w:val="24"/>
              </w:rPr>
              <w:t>30,000</w:t>
            </w:r>
          </w:p>
        </w:tc>
        <w:tc>
          <w:tcPr>
            <w:tcW w:w="1984" w:type="dxa"/>
            <w:vAlign w:val="center"/>
          </w:tcPr>
          <w:p w:rsidR="0073612A" w:rsidRDefault="00C40E19">
            <w:pPr>
              <w:jc w:val="right"/>
            </w:pPr>
            <w:r>
              <w:rPr>
                <w:color w:val="000000"/>
                <w:kern w:val="0"/>
                <w:sz w:val="24"/>
                <w:szCs w:val="24"/>
              </w:rPr>
              <w:t>3,049,800.00</w:t>
            </w:r>
          </w:p>
        </w:tc>
        <w:tc>
          <w:tcPr>
            <w:tcW w:w="1474" w:type="dxa"/>
            <w:vAlign w:val="center"/>
          </w:tcPr>
          <w:p w:rsidR="0073612A" w:rsidRDefault="00C40E19">
            <w:pPr>
              <w:jc w:val="right"/>
            </w:pPr>
            <w:r>
              <w:rPr>
                <w:color w:val="000000"/>
                <w:kern w:val="0"/>
                <w:sz w:val="24"/>
                <w:szCs w:val="24"/>
              </w:rPr>
              <w:t>1.11</w:t>
            </w:r>
          </w:p>
        </w:tc>
      </w:tr>
      <w:tr w:rsidR="0073612A">
        <w:tc>
          <w:tcPr>
            <w:tcW w:w="959" w:type="dxa"/>
            <w:vAlign w:val="center"/>
          </w:tcPr>
          <w:p w:rsidR="0073612A" w:rsidRDefault="00C40E19">
            <w:pPr>
              <w:jc w:val="center"/>
            </w:pPr>
            <w:r>
              <w:rPr>
                <w:color w:val="000000"/>
                <w:kern w:val="0"/>
                <w:sz w:val="24"/>
                <w:szCs w:val="24"/>
              </w:rPr>
              <w:t>4</w:t>
            </w:r>
          </w:p>
        </w:tc>
        <w:tc>
          <w:tcPr>
            <w:tcW w:w="1276" w:type="dxa"/>
            <w:vAlign w:val="center"/>
          </w:tcPr>
          <w:p w:rsidR="0073612A" w:rsidRDefault="00C40E19">
            <w:pPr>
              <w:jc w:val="center"/>
            </w:pPr>
            <w:r>
              <w:rPr>
                <w:color w:val="000000"/>
                <w:kern w:val="0"/>
                <w:sz w:val="24"/>
                <w:szCs w:val="24"/>
              </w:rPr>
              <w:t>132018</w:t>
            </w:r>
          </w:p>
        </w:tc>
        <w:tc>
          <w:tcPr>
            <w:tcW w:w="1275" w:type="dxa"/>
            <w:vAlign w:val="center"/>
          </w:tcPr>
          <w:p w:rsidR="0073612A" w:rsidRDefault="00C40E19">
            <w:pPr>
              <w:jc w:val="center"/>
            </w:pPr>
            <w:r>
              <w:rPr>
                <w:color w:val="000000"/>
                <w:kern w:val="0"/>
                <w:sz w:val="24"/>
                <w:szCs w:val="24"/>
              </w:rPr>
              <w:t>G</w:t>
            </w:r>
            <w:r>
              <w:rPr>
                <w:color w:val="000000"/>
                <w:kern w:val="0"/>
                <w:sz w:val="24"/>
                <w:szCs w:val="24"/>
              </w:rPr>
              <w:t>三峡</w:t>
            </w:r>
            <w:r>
              <w:rPr>
                <w:color w:val="000000"/>
                <w:kern w:val="0"/>
                <w:sz w:val="24"/>
                <w:szCs w:val="24"/>
              </w:rPr>
              <w:t>EB1</w:t>
            </w:r>
          </w:p>
        </w:tc>
        <w:tc>
          <w:tcPr>
            <w:tcW w:w="1560" w:type="dxa"/>
            <w:vAlign w:val="center"/>
          </w:tcPr>
          <w:p w:rsidR="0073612A" w:rsidRDefault="00C40E19">
            <w:pPr>
              <w:jc w:val="right"/>
            </w:pPr>
            <w:r>
              <w:rPr>
                <w:color w:val="000000"/>
                <w:kern w:val="0"/>
                <w:sz w:val="24"/>
                <w:szCs w:val="24"/>
              </w:rPr>
              <w:t>24,540</w:t>
            </w:r>
          </w:p>
        </w:tc>
        <w:tc>
          <w:tcPr>
            <w:tcW w:w="1984" w:type="dxa"/>
            <w:vAlign w:val="center"/>
          </w:tcPr>
          <w:p w:rsidR="0073612A" w:rsidRDefault="00C40E19">
            <w:pPr>
              <w:jc w:val="right"/>
            </w:pPr>
            <w:r>
              <w:rPr>
                <w:color w:val="000000"/>
                <w:kern w:val="0"/>
                <w:sz w:val="24"/>
                <w:szCs w:val="24"/>
              </w:rPr>
              <w:t>2,631,915.00</w:t>
            </w:r>
          </w:p>
        </w:tc>
        <w:tc>
          <w:tcPr>
            <w:tcW w:w="1474" w:type="dxa"/>
            <w:vAlign w:val="center"/>
          </w:tcPr>
          <w:p w:rsidR="0073612A" w:rsidRDefault="00C40E19">
            <w:pPr>
              <w:jc w:val="right"/>
            </w:pPr>
            <w:r>
              <w:rPr>
                <w:color w:val="000000"/>
                <w:kern w:val="0"/>
                <w:sz w:val="24"/>
                <w:szCs w:val="24"/>
              </w:rPr>
              <w:t>0.96</w:t>
            </w:r>
          </w:p>
        </w:tc>
      </w:tr>
      <w:tr w:rsidR="0073612A">
        <w:tc>
          <w:tcPr>
            <w:tcW w:w="959" w:type="dxa"/>
            <w:vAlign w:val="center"/>
          </w:tcPr>
          <w:p w:rsidR="0073612A" w:rsidRDefault="00C40E19">
            <w:pPr>
              <w:jc w:val="center"/>
            </w:pPr>
            <w:r>
              <w:rPr>
                <w:color w:val="000000"/>
                <w:kern w:val="0"/>
                <w:sz w:val="24"/>
                <w:szCs w:val="24"/>
              </w:rPr>
              <w:t>5</w:t>
            </w:r>
          </w:p>
        </w:tc>
        <w:tc>
          <w:tcPr>
            <w:tcW w:w="1276" w:type="dxa"/>
            <w:vAlign w:val="center"/>
          </w:tcPr>
          <w:p w:rsidR="0073612A" w:rsidRDefault="00C40E19">
            <w:pPr>
              <w:jc w:val="center"/>
            </w:pPr>
            <w:r>
              <w:rPr>
                <w:color w:val="000000"/>
                <w:kern w:val="0"/>
                <w:sz w:val="24"/>
                <w:szCs w:val="24"/>
              </w:rPr>
              <w:t>113540</w:t>
            </w:r>
          </w:p>
        </w:tc>
        <w:tc>
          <w:tcPr>
            <w:tcW w:w="1275" w:type="dxa"/>
            <w:vAlign w:val="center"/>
          </w:tcPr>
          <w:p w:rsidR="0073612A" w:rsidRDefault="00C40E19">
            <w:pPr>
              <w:jc w:val="center"/>
            </w:pPr>
            <w:r>
              <w:rPr>
                <w:color w:val="000000"/>
                <w:kern w:val="0"/>
                <w:sz w:val="24"/>
                <w:szCs w:val="24"/>
              </w:rPr>
              <w:t>南威转债</w:t>
            </w:r>
          </w:p>
        </w:tc>
        <w:tc>
          <w:tcPr>
            <w:tcW w:w="1560" w:type="dxa"/>
            <w:vAlign w:val="center"/>
          </w:tcPr>
          <w:p w:rsidR="0073612A" w:rsidRDefault="00C40E19">
            <w:pPr>
              <w:jc w:val="right"/>
            </w:pPr>
            <w:r>
              <w:rPr>
                <w:color w:val="000000"/>
                <w:kern w:val="0"/>
                <w:sz w:val="24"/>
                <w:szCs w:val="24"/>
              </w:rPr>
              <w:t>1,280</w:t>
            </w:r>
          </w:p>
        </w:tc>
        <w:tc>
          <w:tcPr>
            <w:tcW w:w="1984" w:type="dxa"/>
            <w:vAlign w:val="center"/>
          </w:tcPr>
          <w:p w:rsidR="0073612A" w:rsidRDefault="00C40E19">
            <w:pPr>
              <w:jc w:val="right"/>
            </w:pPr>
            <w:r>
              <w:rPr>
                <w:color w:val="000000"/>
                <w:kern w:val="0"/>
                <w:sz w:val="24"/>
                <w:szCs w:val="24"/>
              </w:rPr>
              <w:t>150,284.80</w:t>
            </w:r>
          </w:p>
        </w:tc>
        <w:tc>
          <w:tcPr>
            <w:tcW w:w="1474" w:type="dxa"/>
            <w:vAlign w:val="center"/>
          </w:tcPr>
          <w:p w:rsidR="0073612A" w:rsidRDefault="00C40E19">
            <w:pPr>
              <w:jc w:val="right"/>
            </w:pPr>
            <w:r>
              <w:rPr>
                <w:color w:val="000000"/>
                <w:kern w:val="0"/>
                <w:sz w:val="24"/>
                <w:szCs w:val="24"/>
              </w:rPr>
              <w:t>0.05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129,838.10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254,446.78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1,080,463.75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1,464,748.63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192,321,432.70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95,378,533.83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70,578,003.91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217,121,962.62</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73612A" w:rsidRDefault="00C40E19">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中国证监会准予易方达瑞和灵活配置混合型证券投资基金注册的文件；</w:t>
      </w:r>
    </w:p>
    <w:p w:rsidR="0073612A" w:rsidRDefault="00C40E19">
      <w:pPr>
        <w:spacing w:line="360" w:lineRule="auto"/>
        <w:ind w:firstLineChars="200" w:firstLine="480"/>
        <w:rPr>
          <w:color w:val="000000"/>
          <w:sz w:val="24"/>
          <w:szCs w:val="24"/>
        </w:rPr>
      </w:pPr>
      <w:r>
        <w:rPr>
          <w:color w:val="000000"/>
          <w:sz w:val="24"/>
          <w:szCs w:val="24"/>
        </w:rPr>
        <w:t>2.</w:t>
      </w:r>
      <w:r>
        <w:rPr>
          <w:color w:val="000000"/>
          <w:sz w:val="24"/>
          <w:szCs w:val="24"/>
        </w:rPr>
        <w:t>《易方达瑞和灵活配置混合型证券投资基金基金合同》；</w:t>
      </w:r>
    </w:p>
    <w:p w:rsidR="0073612A" w:rsidRDefault="00C40E19">
      <w:pPr>
        <w:spacing w:line="360" w:lineRule="auto"/>
        <w:ind w:firstLineChars="200" w:firstLine="480"/>
        <w:rPr>
          <w:color w:val="000000"/>
          <w:sz w:val="24"/>
          <w:szCs w:val="24"/>
        </w:rPr>
      </w:pPr>
      <w:r>
        <w:rPr>
          <w:color w:val="000000"/>
          <w:sz w:val="24"/>
          <w:szCs w:val="24"/>
        </w:rPr>
        <w:t>3.</w:t>
      </w:r>
      <w:r>
        <w:rPr>
          <w:color w:val="000000"/>
          <w:sz w:val="24"/>
          <w:szCs w:val="24"/>
        </w:rPr>
        <w:t>《易方达瑞和灵活配置混合型证券投资基金托管协议》；</w:t>
      </w:r>
    </w:p>
    <w:p w:rsidR="0073612A" w:rsidRDefault="00C40E19">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40E19">
      <w:rPr>
        <w:rStyle w:val="a7"/>
        <w:noProof/>
      </w:rPr>
      <w:t>1</w:t>
    </w:r>
    <w:r>
      <w:rPr>
        <w:rStyle w:val="a7"/>
      </w:rPr>
      <w:fldChar w:fldCharType="end"/>
    </w:r>
    <w:r>
      <w:rPr>
        <w:rStyle w:val="a7"/>
        <w:rFonts w:hint="eastAsia"/>
      </w:rPr>
      <w:t>页共</w:t>
    </w:r>
    <w:r w:rsidR="00C40E19">
      <w:fldChar w:fldCharType="begin"/>
    </w:r>
    <w:r w:rsidR="00C40E19">
      <w:instrText xml:space="preserve"> NUMPAGES  \* Arabic  \* MERGEFORMAT </w:instrText>
    </w:r>
    <w:r w:rsidR="00C40E19">
      <w:fldChar w:fldCharType="separate"/>
    </w:r>
    <w:r w:rsidR="00C40E19" w:rsidRPr="00C40E19">
      <w:rPr>
        <w:rStyle w:val="a7"/>
        <w:noProof/>
      </w:rPr>
      <w:t>3</w:t>
    </w:r>
    <w:r w:rsidR="00C40E19">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40E19">
      <w:rPr>
        <w:rStyle w:val="a7"/>
        <w:noProof/>
      </w:rPr>
      <w:t>12</w:t>
    </w:r>
    <w:r>
      <w:rPr>
        <w:rStyle w:val="a7"/>
      </w:rPr>
      <w:fldChar w:fldCharType="end"/>
    </w:r>
    <w:r>
      <w:rPr>
        <w:rStyle w:val="a7"/>
        <w:rFonts w:hint="eastAsia"/>
      </w:rPr>
      <w:t>页共</w:t>
    </w:r>
    <w:fldSimple w:instr=" NUMPAGES  \* Arabic  \* MERGEFORMAT ">
      <w:r w:rsidR="00C40E19" w:rsidRPr="00C40E19">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易方达瑞和灵活配置混合型证券投资基金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3612A"/>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0E19"/>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0ADE-FE8E-4089-8C24-3CC838A2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