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易方达中债3-5年期国债指数证券投资基金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浙商银行股份有限公司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AF31FB" w:rsidRDefault="00D24F40">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AF31FB" w:rsidRDefault="00D24F40">
      <w:pPr>
        <w:spacing w:line="360" w:lineRule="auto"/>
        <w:ind w:firstLineChars="200" w:firstLine="480"/>
        <w:rPr>
          <w:color w:val="000000"/>
          <w:sz w:val="24"/>
          <w:szCs w:val="24"/>
        </w:rPr>
      </w:pPr>
      <w:r>
        <w:rPr>
          <w:color w:val="000000"/>
          <w:sz w:val="24"/>
          <w:szCs w:val="24"/>
        </w:rPr>
        <w:t>基金托管人浙商银行股份有限公司根据本基金合同规定，于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AF31FB" w:rsidRDefault="00D24F40">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AF31FB" w:rsidRDefault="00D24F40">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AF31FB" w:rsidRDefault="00D24F40">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易方达中债</w:t>
            </w:r>
            <w:r w:rsidRPr="00232B03">
              <w:rPr>
                <w:color w:val="000000"/>
                <w:kern w:val="0"/>
                <w:sz w:val="24"/>
                <w:szCs w:val="24"/>
              </w:rPr>
              <w:t>3-5</w:t>
            </w:r>
            <w:r w:rsidRPr="00232B03">
              <w:rPr>
                <w:color w:val="000000"/>
                <w:kern w:val="0"/>
                <w:sz w:val="24"/>
                <w:szCs w:val="24"/>
              </w:rPr>
              <w:t>年期国债指数</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001512</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001512</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2015</w:t>
            </w:r>
            <w:r w:rsidRPr="00232B03">
              <w:rPr>
                <w:color w:val="000000"/>
                <w:kern w:val="0"/>
                <w:sz w:val="24"/>
                <w:szCs w:val="24"/>
              </w:rPr>
              <w:t>年</w:t>
            </w:r>
            <w:r w:rsidRPr="00232B03">
              <w:rPr>
                <w:color w:val="000000"/>
                <w:kern w:val="0"/>
                <w:sz w:val="24"/>
                <w:szCs w:val="24"/>
              </w:rPr>
              <w:t>7</w:t>
            </w:r>
            <w:r w:rsidRPr="00232B03">
              <w:rPr>
                <w:color w:val="000000"/>
                <w:kern w:val="0"/>
                <w:sz w:val="24"/>
                <w:szCs w:val="24"/>
              </w:rPr>
              <w:t>月</w:t>
            </w:r>
            <w:r w:rsidRPr="00232B03">
              <w:rPr>
                <w:color w:val="000000"/>
                <w:kern w:val="0"/>
                <w:sz w:val="24"/>
                <w:szCs w:val="24"/>
              </w:rPr>
              <w:t>8</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104,859,969.38</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本基金通过指数化投资，争取在扣除各项费用之前获得与标的指数相似的总回报，追求跟踪偏离度及跟踪误差的最小化。</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本基金为指数基金，主要采用抽样复制和动态最优化的方法，投资于标的指数中具有代表性和流动性的成份券和备选成份券，或选择非成份券作为替代，构造与标的指数风险收益特征相似的资产组</w:t>
            </w:r>
            <w:r w:rsidRPr="00232B03">
              <w:rPr>
                <w:color w:val="000000"/>
                <w:kern w:val="0"/>
                <w:sz w:val="24"/>
                <w:szCs w:val="24"/>
              </w:rPr>
              <w:lastRenderedPageBreak/>
              <w:t>合，以实现对标的指数的有效跟踪。基金管理人还将评估投资组合整体以及各层级债券与标的指数的偏离情况，定期对投资组合进行调整，以确保组合总体特征与标的指数相似，并缩小跟踪误差。</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本基金的业绩比较基准为标的指数</w:t>
            </w:r>
            <w:r w:rsidRPr="00232B03">
              <w:rPr>
                <w:color w:val="000000"/>
                <w:kern w:val="0"/>
                <w:sz w:val="24"/>
                <w:szCs w:val="24"/>
              </w:rPr>
              <w:t>“</w:t>
            </w:r>
            <w:r w:rsidRPr="00232B03">
              <w:rPr>
                <w:color w:val="000000"/>
                <w:kern w:val="0"/>
                <w:sz w:val="24"/>
                <w:szCs w:val="24"/>
              </w:rPr>
              <w:t>中债</w:t>
            </w:r>
            <w:r w:rsidRPr="00232B03">
              <w:rPr>
                <w:color w:val="000000"/>
                <w:kern w:val="0"/>
                <w:sz w:val="24"/>
                <w:szCs w:val="24"/>
              </w:rPr>
              <w:t>-3-5</w:t>
            </w:r>
            <w:r w:rsidRPr="00232B03">
              <w:rPr>
                <w:color w:val="000000"/>
                <w:kern w:val="0"/>
                <w:sz w:val="24"/>
                <w:szCs w:val="24"/>
              </w:rPr>
              <w:t>年期国债指数</w:t>
            </w:r>
            <w:r w:rsidRPr="00232B03">
              <w:rPr>
                <w:color w:val="000000"/>
                <w:kern w:val="0"/>
                <w:sz w:val="24"/>
                <w:szCs w:val="24"/>
              </w:rPr>
              <w:t>”</w:t>
            </w:r>
            <w:r w:rsidRPr="00232B03">
              <w:rPr>
                <w:color w:val="000000"/>
                <w:kern w:val="0"/>
                <w:sz w:val="24"/>
                <w:szCs w:val="24"/>
              </w:rPr>
              <w:t>收益率</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本基金为债券型指数基金，其预期风险和预期收益低于股票基金、混合基金，高于货币市场基金。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浙商银行股份有限公司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1,476,527.13</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1,208,114.01</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0.0115</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121,928,752.61</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1.163</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AF31FB" w:rsidRDefault="00D24F40">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AF31FB">
        <w:tc>
          <w:tcPr>
            <w:tcW w:w="1395" w:type="dxa"/>
            <w:vAlign w:val="center"/>
          </w:tcPr>
          <w:p w:rsidR="00AF31FB" w:rsidRDefault="00D24F40">
            <w:pPr>
              <w:jc w:val="left"/>
            </w:pPr>
            <w:r>
              <w:rPr>
                <w:color w:val="000000"/>
                <w:kern w:val="0"/>
                <w:sz w:val="24"/>
                <w:szCs w:val="24"/>
              </w:rPr>
              <w:t>过去三个月</w:t>
            </w:r>
          </w:p>
        </w:tc>
        <w:tc>
          <w:tcPr>
            <w:tcW w:w="1092" w:type="dxa"/>
            <w:vAlign w:val="center"/>
          </w:tcPr>
          <w:p w:rsidR="00AF31FB" w:rsidRDefault="00D24F40">
            <w:pPr>
              <w:jc w:val="center"/>
            </w:pPr>
            <w:r>
              <w:rPr>
                <w:color w:val="000000"/>
                <w:kern w:val="0"/>
                <w:sz w:val="24"/>
                <w:szCs w:val="24"/>
              </w:rPr>
              <w:t>1.04%</w:t>
            </w:r>
          </w:p>
        </w:tc>
        <w:tc>
          <w:tcPr>
            <w:tcW w:w="1161" w:type="dxa"/>
            <w:vAlign w:val="center"/>
          </w:tcPr>
          <w:p w:rsidR="00AF31FB" w:rsidRDefault="00D24F40">
            <w:pPr>
              <w:jc w:val="center"/>
            </w:pPr>
            <w:r>
              <w:rPr>
                <w:color w:val="000000"/>
                <w:kern w:val="0"/>
                <w:sz w:val="24"/>
                <w:szCs w:val="24"/>
              </w:rPr>
              <w:t>0.06%</w:t>
            </w:r>
          </w:p>
        </w:tc>
        <w:tc>
          <w:tcPr>
            <w:tcW w:w="1181" w:type="dxa"/>
            <w:vAlign w:val="center"/>
          </w:tcPr>
          <w:p w:rsidR="00AF31FB" w:rsidRDefault="00D24F40">
            <w:pPr>
              <w:jc w:val="center"/>
            </w:pPr>
            <w:r>
              <w:rPr>
                <w:color w:val="000000"/>
                <w:kern w:val="0"/>
                <w:sz w:val="24"/>
                <w:szCs w:val="24"/>
              </w:rPr>
              <w:t>1.25%</w:t>
            </w:r>
          </w:p>
        </w:tc>
        <w:tc>
          <w:tcPr>
            <w:tcW w:w="1188" w:type="dxa"/>
            <w:vAlign w:val="center"/>
          </w:tcPr>
          <w:p w:rsidR="00AF31FB" w:rsidRDefault="00D24F40">
            <w:pPr>
              <w:jc w:val="center"/>
            </w:pPr>
            <w:r>
              <w:rPr>
                <w:color w:val="000000"/>
                <w:kern w:val="0"/>
                <w:sz w:val="24"/>
                <w:szCs w:val="24"/>
              </w:rPr>
              <w:t>0.05%</w:t>
            </w:r>
          </w:p>
        </w:tc>
        <w:tc>
          <w:tcPr>
            <w:tcW w:w="1199" w:type="dxa"/>
            <w:vAlign w:val="center"/>
          </w:tcPr>
          <w:p w:rsidR="00AF31FB" w:rsidRDefault="00D24F40">
            <w:pPr>
              <w:jc w:val="center"/>
            </w:pPr>
            <w:r>
              <w:rPr>
                <w:color w:val="000000"/>
                <w:kern w:val="0"/>
                <w:sz w:val="24"/>
                <w:szCs w:val="24"/>
              </w:rPr>
              <w:t>-0.21%</w:t>
            </w:r>
          </w:p>
        </w:tc>
        <w:tc>
          <w:tcPr>
            <w:tcW w:w="1204" w:type="dxa"/>
            <w:vAlign w:val="center"/>
          </w:tcPr>
          <w:p w:rsidR="00AF31FB" w:rsidRDefault="00D24F40">
            <w:pPr>
              <w:jc w:val="center"/>
            </w:pPr>
            <w:r>
              <w:rPr>
                <w:color w:val="000000"/>
                <w:kern w:val="0"/>
                <w:sz w:val="24"/>
                <w:szCs w:val="24"/>
              </w:rPr>
              <w:t>0.01%</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易方达中债</w:t>
      </w:r>
      <w:r w:rsidRPr="0074694E">
        <w:rPr>
          <w:color w:val="000000"/>
          <w:sz w:val="24"/>
          <w:szCs w:val="24"/>
        </w:rPr>
        <w:t>3-5</w:t>
      </w:r>
      <w:r w:rsidRPr="0074694E">
        <w:rPr>
          <w:color w:val="000000"/>
          <w:sz w:val="24"/>
          <w:szCs w:val="24"/>
        </w:rPr>
        <w:t>年期国债指数证券投资基金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2015</w:t>
      </w:r>
      <w:r w:rsidRPr="0074694E">
        <w:rPr>
          <w:rFonts w:ascii="Times New Roman" w:hAnsi="Times New Roman"/>
          <w:sz w:val="24"/>
          <w:szCs w:val="24"/>
        </w:rPr>
        <w:t>年</w:t>
      </w:r>
      <w:r w:rsidRPr="0074694E">
        <w:rPr>
          <w:rFonts w:ascii="Times New Roman" w:hAnsi="Times New Roman"/>
          <w:sz w:val="24"/>
          <w:szCs w:val="24"/>
        </w:rPr>
        <w:t>7</w:t>
      </w:r>
      <w:r w:rsidRPr="0074694E">
        <w:rPr>
          <w:rFonts w:ascii="Times New Roman" w:hAnsi="Times New Roman"/>
          <w:sz w:val="24"/>
          <w:szCs w:val="24"/>
        </w:rPr>
        <w:t>月</w:t>
      </w:r>
      <w:r w:rsidRPr="0074694E">
        <w:rPr>
          <w:rFonts w:ascii="Times New Roman" w:hAnsi="Times New Roman"/>
          <w:sz w:val="24"/>
          <w:szCs w:val="24"/>
        </w:rPr>
        <w:t>8</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D24F40"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16.30%</w:t>
      </w:r>
      <w:r w:rsidRPr="006C56AA">
        <w:rPr>
          <w:color w:val="000000"/>
          <w:sz w:val="24"/>
          <w:szCs w:val="24"/>
        </w:rPr>
        <w:t>，同期业绩比较基准收益率为</w:t>
      </w:r>
      <w:r w:rsidRPr="006C56AA">
        <w:rPr>
          <w:color w:val="000000"/>
          <w:sz w:val="24"/>
          <w:szCs w:val="24"/>
        </w:rPr>
        <w:t>15.76%</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AF31FB">
        <w:tc>
          <w:tcPr>
            <w:tcW w:w="567" w:type="dxa"/>
            <w:vAlign w:val="center"/>
          </w:tcPr>
          <w:p w:rsidR="00AF31FB" w:rsidRDefault="00D24F40">
            <w:pPr>
              <w:jc w:val="center"/>
            </w:pPr>
            <w:r>
              <w:rPr>
                <w:color w:val="000000"/>
                <w:sz w:val="24"/>
              </w:rPr>
              <w:t>张雅君</w:t>
            </w:r>
          </w:p>
        </w:tc>
        <w:tc>
          <w:tcPr>
            <w:tcW w:w="2835" w:type="dxa"/>
            <w:vAlign w:val="center"/>
          </w:tcPr>
          <w:p w:rsidR="00AF31FB" w:rsidRDefault="00D24F40">
            <w:pPr>
              <w:jc w:val="center"/>
            </w:pPr>
            <w:r>
              <w:rPr>
                <w:color w:val="000000"/>
                <w:sz w:val="24"/>
              </w:rPr>
              <w:t>本基金的基金经理、易方达中债</w:t>
            </w:r>
            <w:r>
              <w:rPr>
                <w:color w:val="000000"/>
                <w:sz w:val="24"/>
              </w:rPr>
              <w:t>7-10</w:t>
            </w:r>
            <w:r>
              <w:rPr>
                <w:color w:val="000000"/>
                <w:sz w:val="24"/>
              </w:rPr>
              <w:t>年期国开行债券指数证券投资基金的基金经理、易方达增强回报债券型证券投资基金的基金经理、易方达裕丰回报债券型证券投资基金的基金经理、易方达恒益定期开放债券型发起式证券投资基金的基金经理（自</w:t>
            </w:r>
            <w:r>
              <w:rPr>
                <w:color w:val="000000"/>
                <w:sz w:val="24"/>
              </w:rPr>
              <w:t>2017</w:t>
            </w:r>
            <w:r>
              <w:rPr>
                <w:color w:val="000000"/>
                <w:sz w:val="24"/>
              </w:rPr>
              <w:t>年</w:t>
            </w:r>
            <w:r>
              <w:rPr>
                <w:color w:val="000000"/>
                <w:sz w:val="24"/>
              </w:rPr>
              <w:t>10</w:t>
            </w:r>
            <w:r>
              <w:rPr>
                <w:color w:val="000000"/>
                <w:sz w:val="24"/>
              </w:rPr>
              <w:t>月</w:t>
            </w:r>
            <w:r>
              <w:rPr>
                <w:color w:val="000000"/>
                <w:sz w:val="24"/>
              </w:rPr>
              <w:t>25</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11</w:t>
            </w:r>
            <w:r>
              <w:rPr>
                <w:color w:val="000000"/>
                <w:sz w:val="24"/>
              </w:rPr>
              <w:t>日）、易方达富惠纯债债券型证券投资基金的基金经理、易方达富财纯债债券型证券投资基金的基金经理、易方达纯债债券型证券投资基金的基金经理、易方达安盈回报混合型证券投资基金的基金经理助理、易方达丰华债券型证券投资基金的基金经理助理、易方达鑫转招利混合型</w:t>
            </w:r>
            <w:r>
              <w:rPr>
                <w:color w:val="000000"/>
                <w:sz w:val="24"/>
              </w:rPr>
              <w:t>证券投资基金的基金经理助理、易方达鑫转增利混合型证券投资基金的基金经理助理、易方达鑫转添利混合型证券投资基金的基金经理助理、易方达裕如灵活配置混合型证券投资基金的基金经理助理、易方达安心回馈混合型证券投资基金的基金经理助理、易方达安心回报债券型证券投资基金的基金经理助理、易方达裕惠回报定期开放式混合型发起式证券投资基金的基金经理助理、易方达恒久添利</w:t>
            </w:r>
            <w:r>
              <w:rPr>
                <w:color w:val="000000"/>
                <w:sz w:val="24"/>
              </w:rPr>
              <w:t>1</w:t>
            </w:r>
            <w:r>
              <w:rPr>
                <w:color w:val="000000"/>
                <w:sz w:val="24"/>
              </w:rPr>
              <w:t>年定期开放债券型证券投资基金的基金经理助理、易方达丰和债券型证券投资基金的基金经理助理、混合资产投资部总经理助理</w:t>
            </w:r>
          </w:p>
        </w:tc>
        <w:tc>
          <w:tcPr>
            <w:tcW w:w="851" w:type="dxa"/>
            <w:vAlign w:val="center"/>
          </w:tcPr>
          <w:p w:rsidR="00AF31FB" w:rsidRDefault="00D24F40">
            <w:pPr>
              <w:jc w:val="center"/>
            </w:pPr>
            <w:r>
              <w:rPr>
                <w:color w:val="000000"/>
                <w:sz w:val="24"/>
              </w:rPr>
              <w:t>2015-07-08</w:t>
            </w:r>
          </w:p>
        </w:tc>
        <w:tc>
          <w:tcPr>
            <w:tcW w:w="850" w:type="dxa"/>
            <w:vAlign w:val="center"/>
          </w:tcPr>
          <w:p w:rsidR="00AF31FB" w:rsidRDefault="00D24F40">
            <w:pPr>
              <w:jc w:val="center"/>
            </w:pPr>
            <w:r>
              <w:rPr>
                <w:color w:val="000000"/>
                <w:sz w:val="24"/>
              </w:rPr>
              <w:t>-</w:t>
            </w:r>
          </w:p>
        </w:tc>
        <w:tc>
          <w:tcPr>
            <w:tcW w:w="851" w:type="dxa"/>
            <w:vAlign w:val="center"/>
          </w:tcPr>
          <w:p w:rsidR="00AF31FB" w:rsidRDefault="00D24F40">
            <w:pPr>
              <w:jc w:val="center"/>
            </w:pPr>
            <w:r>
              <w:rPr>
                <w:color w:val="000000"/>
                <w:sz w:val="24"/>
              </w:rPr>
              <w:t>10</w:t>
            </w:r>
            <w:r>
              <w:rPr>
                <w:color w:val="000000"/>
                <w:sz w:val="24"/>
              </w:rPr>
              <w:t>年</w:t>
            </w:r>
          </w:p>
        </w:tc>
        <w:tc>
          <w:tcPr>
            <w:tcW w:w="2977" w:type="dxa"/>
            <w:vAlign w:val="center"/>
          </w:tcPr>
          <w:p w:rsidR="00AF31FB" w:rsidRDefault="00D24F40">
            <w:r>
              <w:rPr>
                <w:color w:val="000000"/>
                <w:sz w:val="24"/>
              </w:rPr>
              <w:t>硕士研究生，曾任海通证券股份有限公司项目经理，工银瑞信基金管理有限公司债券交易员，易方达基金管理有限公司债券交易员、固定收益研究员、固定收益基金投资部总经理助理、易方达裕祥回报债券型证券投资基金基金经理助理、易方达裕丰回报债券型证券投资基金基金经理助理、易方达裕祥回报债券型证券投资基金基金经理、易方达投资级信用债债券型证券投资基金基金经理助理、易方达新收益灵活配置混合型证券投资基金基金经理助理、易方达保本一号混合型证券投资基金基金经理助理。</w:t>
            </w:r>
          </w:p>
        </w:tc>
      </w:tr>
      <w:tr w:rsidR="00AF31FB">
        <w:tc>
          <w:tcPr>
            <w:tcW w:w="567" w:type="dxa"/>
            <w:vAlign w:val="center"/>
          </w:tcPr>
          <w:p w:rsidR="00AF31FB" w:rsidRDefault="00D24F40">
            <w:pPr>
              <w:jc w:val="center"/>
            </w:pPr>
            <w:r>
              <w:rPr>
                <w:color w:val="000000"/>
                <w:sz w:val="24"/>
              </w:rPr>
              <w:t>王晓晨</w:t>
            </w:r>
          </w:p>
        </w:tc>
        <w:tc>
          <w:tcPr>
            <w:tcW w:w="2835" w:type="dxa"/>
            <w:vAlign w:val="center"/>
          </w:tcPr>
          <w:p w:rsidR="00AF31FB" w:rsidRDefault="00D24F40">
            <w:pPr>
              <w:jc w:val="center"/>
            </w:pPr>
            <w:r>
              <w:rPr>
                <w:color w:val="000000"/>
                <w:sz w:val="24"/>
              </w:rPr>
              <w:t>本基金的基金经理、易方达中债新综合债券指数发起式证券投资</w:t>
            </w:r>
            <w:r>
              <w:rPr>
                <w:color w:val="000000"/>
                <w:sz w:val="24"/>
              </w:rPr>
              <w:t>基金</w:t>
            </w:r>
            <w:r>
              <w:rPr>
                <w:color w:val="000000"/>
                <w:sz w:val="24"/>
              </w:rPr>
              <w:t>(LOF)</w:t>
            </w:r>
            <w:r>
              <w:rPr>
                <w:color w:val="000000"/>
                <w:sz w:val="24"/>
              </w:rPr>
              <w:t>的基金经理、易方达中债</w:t>
            </w:r>
            <w:r>
              <w:rPr>
                <w:color w:val="000000"/>
                <w:sz w:val="24"/>
              </w:rPr>
              <w:t>7-10</w:t>
            </w:r>
            <w:r>
              <w:rPr>
                <w:color w:val="000000"/>
                <w:sz w:val="24"/>
              </w:rPr>
              <w:t>年期国开行债券指数证券投资基金的基金经理、易方达中债</w:t>
            </w:r>
            <w:r>
              <w:rPr>
                <w:color w:val="000000"/>
                <w:sz w:val="24"/>
              </w:rPr>
              <w:t>3-5</w:t>
            </w:r>
            <w:r>
              <w:rPr>
                <w:color w:val="000000"/>
                <w:sz w:val="24"/>
              </w:rPr>
              <w:t>年国开行债券指数证券投资基金的基金经理、易方达中债</w:t>
            </w:r>
            <w:r>
              <w:rPr>
                <w:color w:val="000000"/>
                <w:sz w:val="24"/>
              </w:rPr>
              <w:t>1-3</w:t>
            </w:r>
            <w:r>
              <w:rPr>
                <w:color w:val="000000"/>
                <w:sz w:val="24"/>
              </w:rPr>
              <w:t>年国开行债券指数证券投资基金的基金经理、易方达增强回报债券型证券投资基金的基金经理、易方达新鑫灵活配置混合型证券投资基金的基金经理（自</w:t>
            </w:r>
            <w:r>
              <w:rPr>
                <w:color w:val="000000"/>
                <w:sz w:val="24"/>
              </w:rPr>
              <w:t>2018</w:t>
            </w:r>
            <w:r>
              <w:rPr>
                <w:color w:val="000000"/>
                <w:sz w:val="24"/>
              </w:rPr>
              <w:t>年</w:t>
            </w:r>
            <w:r>
              <w:rPr>
                <w:color w:val="000000"/>
                <w:sz w:val="24"/>
              </w:rPr>
              <w:t>01</w:t>
            </w:r>
            <w:r>
              <w:rPr>
                <w:color w:val="000000"/>
                <w:sz w:val="24"/>
              </w:rPr>
              <w:t>月</w:t>
            </w:r>
            <w:r>
              <w:rPr>
                <w:color w:val="000000"/>
                <w:sz w:val="24"/>
              </w:rPr>
              <w:t>31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日）、易方达投资级信用债债券型证券投资基金的基金经理、易方达双债增强债券型证券投资基金的基金经理、易方达恒益定期开放债券型发起式证券投资基金的基金经理（自</w:t>
            </w:r>
            <w:r>
              <w:rPr>
                <w:color w:val="000000"/>
                <w:sz w:val="24"/>
              </w:rPr>
              <w:t>2017</w:t>
            </w:r>
            <w:r>
              <w:rPr>
                <w:color w:val="000000"/>
                <w:sz w:val="24"/>
              </w:rPr>
              <w:t>年</w:t>
            </w:r>
            <w:r>
              <w:rPr>
                <w:color w:val="000000"/>
                <w:sz w:val="24"/>
              </w:rPr>
              <w:t>10</w:t>
            </w:r>
            <w:r>
              <w:rPr>
                <w:color w:val="000000"/>
                <w:sz w:val="24"/>
              </w:rPr>
              <w:t>月</w:t>
            </w:r>
            <w:r>
              <w:rPr>
                <w:color w:val="000000"/>
                <w:sz w:val="24"/>
              </w:rPr>
              <w:t>25</w:t>
            </w:r>
            <w:r>
              <w:rPr>
                <w:color w:val="000000"/>
                <w:sz w:val="24"/>
              </w:rPr>
              <w:t>日</w:t>
            </w:r>
            <w:r>
              <w:rPr>
                <w:color w:val="000000"/>
                <w:sz w:val="24"/>
              </w:rPr>
              <w:t>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日）、易方达恒安定期开放债券型发起式证券投资基金的基金经理、易方达富财纯债债券型证券投资基金的基金经理、易方达纯债债券型证券投资基金的基金经理（自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日）、易方达安瑞短债债券型证券投资基金的基金经理、固定收益投资部副总经理、易方达资产管理（香港）有限公司基金经理、就证券提供意见负责人员（</w:t>
            </w:r>
            <w:r>
              <w:rPr>
                <w:color w:val="000000"/>
                <w:sz w:val="24"/>
              </w:rPr>
              <w:t>RO</w:t>
            </w:r>
            <w:r>
              <w:rPr>
                <w:color w:val="000000"/>
                <w:sz w:val="24"/>
              </w:rPr>
              <w:t>）、提供资产管理负责人员（</w:t>
            </w:r>
            <w:r>
              <w:rPr>
                <w:color w:val="000000"/>
                <w:sz w:val="24"/>
              </w:rPr>
              <w:t>RO</w:t>
            </w:r>
            <w:r>
              <w:rPr>
                <w:color w:val="000000"/>
                <w:sz w:val="24"/>
              </w:rPr>
              <w:t>）、易方达资产管理（香港）有限公司固定收益投资决策委员会委员</w:t>
            </w:r>
          </w:p>
        </w:tc>
        <w:tc>
          <w:tcPr>
            <w:tcW w:w="851" w:type="dxa"/>
            <w:vAlign w:val="center"/>
          </w:tcPr>
          <w:p w:rsidR="00AF31FB" w:rsidRDefault="00D24F40">
            <w:pPr>
              <w:jc w:val="center"/>
            </w:pPr>
            <w:r>
              <w:rPr>
                <w:color w:val="000000"/>
                <w:sz w:val="24"/>
              </w:rPr>
              <w:t>2017-02-15</w:t>
            </w:r>
          </w:p>
        </w:tc>
        <w:tc>
          <w:tcPr>
            <w:tcW w:w="850" w:type="dxa"/>
            <w:vAlign w:val="center"/>
          </w:tcPr>
          <w:p w:rsidR="00AF31FB" w:rsidRDefault="00D24F40">
            <w:pPr>
              <w:jc w:val="center"/>
            </w:pPr>
            <w:r>
              <w:rPr>
                <w:color w:val="000000"/>
                <w:sz w:val="24"/>
              </w:rPr>
              <w:t>2019-09-28</w:t>
            </w:r>
          </w:p>
        </w:tc>
        <w:tc>
          <w:tcPr>
            <w:tcW w:w="851" w:type="dxa"/>
            <w:vAlign w:val="center"/>
          </w:tcPr>
          <w:p w:rsidR="00AF31FB" w:rsidRDefault="00D24F40">
            <w:pPr>
              <w:jc w:val="center"/>
            </w:pPr>
            <w:r>
              <w:rPr>
                <w:color w:val="000000"/>
                <w:sz w:val="24"/>
              </w:rPr>
              <w:t>16</w:t>
            </w:r>
            <w:r>
              <w:rPr>
                <w:color w:val="000000"/>
                <w:sz w:val="24"/>
              </w:rPr>
              <w:t>年</w:t>
            </w:r>
          </w:p>
        </w:tc>
        <w:tc>
          <w:tcPr>
            <w:tcW w:w="2977" w:type="dxa"/>
            <w:vAlign w:val="center"/>
          </w:tcPr>
          <w:p w:rsidR="00AF31FB" w:rsidRDefault="00D24F40">
            <w:r>
              <w:rPr>
                <w:color w:val="000000"/>
                <w:sz w:val="24"/>
              </w:rPr>
              <w:t>硕士研究生，曾</w:t>
            </w:r>
            <w:r>
              <w:rPr>
                <w:color w:val="000000"/>
                <w:sz w:val="24"/>
              </w:rPr>
              <w:t>任易方达基金管理有限公司集中交易室债券交易员、债券交易主管、固定收益总部总经理助理、固定收益基金投资部副总经理、易方达货币市场基金基金经理、易方达保证金收益货币市场基金基金经理、易方达保本一号混合型证券投资基金基金经理。</w:t>
            </w:r>
          </w:p>
        </w:tc>
      </w:tr>
    </w:tbl>
    <w:p w:rsidR="00AF31FB" w:rsidRDefault="00D24F40">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AF31FB" w:rsidRDefault="00D24F40">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w:t>
      </w:r>
      <w:r>
        <w:rPr>
          <w:color w:val="000000"/>
          <w:sz w:val="24"/>
          <w:szCs w:val="24"/>
        </w:rPr>
        <w:t>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AF31FB" w:rsidRDefault="00D24F40">
      <w:pPr>
        <w:spacing w:line="360" w:lineRule="auto"/>
        <w:ind w:firstLineChars="200" w:firstLine="480"/>
        <w:rPr>
          <w:color w:val="000000"/>
          <w:sz w:val="24"/>
          <w:szCs w:val="24"/>
        </w:rPr>
      </w:pPr>
      <w:r>
        <w:rPr>
          <w:color w:val="000000"/>
          <w:sz w:val="24"/>
          <w:szCs w:val="24"/>
        </w:rPr>
        <w:t>三季度，债券市场收益率整体先下后上，全季来看收益率整体有所下行。三季度资金面从二季度末的极度宽松状态回归正常，不过这种不松不紧的状态整体并未超出市场预期，市场走势主要由基本面预期驱动。</w:t>
      </w:r>
      <w:r>
        <w:rPr>
          <w:color w:val="000000"/>
          <w:sz w:val="24"/>
          <w:szCs w:val="24"/>
        </w:rPr>
        <w:t>7</w:t>
      </w:r>
      <w:r>
        <w:rPr>
          <w:color w:val="000000"/>
          <w:sz w:val="24"/>
          <w:szCs w:val="24"/>
        </w:rPr>
        <w:t>月份收益率以整体小幅下行为主。</w:t>
      </w:r>
      <w:r>
        <w:rPr>
          <w:color w:val="000000"/>
          <w:sz w:val="24"/>
          <w:szCs w:val="24"/>
        </w:rPr>
        <w:t>8</w:t>
      </w:r>
      <w:r>
        <w:rPr>
          <w:color w:val="000000"/>
          <w:sz w:val="24"/>
          <w:szCs w:val="24"/>
        </w:rPr>
        <w:t>月份开始，受全球央行</w:t>
      </w:r>
      <w:r>
        <w:rPr>
          <w:color w:val="000000"/>
          <w:sz w:val="24"/>
          <w:szCs w:val="24"/>
        </w:rPr>
        <w:t>“</w:t>
      </w:r>
      <w:r>
        <w:rPr>
          <w:color w:val="000000"/>
          <w:sz w:val="24"/>
          <w:szCs w:val="24"/>
        </w:rPr>
        <w:t>鸽派</w:t>
      </w:r>
      <w:r>
        <w:rPr>
          <w:color w:val="000000"/>
          <w:sz w:val="24"/>
          <w:szCs w:val="24"/>
        </w:rPr>
        <w:t>”</w:t>
      </w:r>
      <w:r>
        <w:rPr>
          <w:color w:val="000000"/>
          <w:sz w:val="24"/>
          <w:szCs w:val="24"/>
        </w:rPr>
        <w:t>宽松，风险资产波动加大，基本面不及预期及政府对房地产调控不断加强的影响，债券收益率快速下行，期限利差和信用利差均大幅压缩，长端利率债收益率创今年新低，中低等级城投债利差也大幅收窄。</w:t>
      </w:r>
      <w:r>
        <w:rPr>
          <w:color w:val="000000"/>
          <w:sz w:val="24"/>
          <w:szCs w:val="24"/>
        </w:rPr>
        <w:t>8</w:t>
      </w:r>
      <w:r>
        <w:rPr>
          <w:color w:val="000000"/>
          <w:sz w:val="24"/>
          <w:szCs w:val="24"/>
        </w:rPr>
        <w:t>月中下旬开始，受专项债扩容担忧、通胀预期升温、货币政策宽松预期转弱、海外债券收益率反</w:t>
      </w:r>
      <w:r>
        <w:rPr>
          <w:color w:val="000000"/>
          <w:sz w:val="24"/>
          <w:szCs w:val="24"/>
        </w:rPr>
        <w:t>弹等因素影响，债券市场出现回调。即使</w:t>
      </w:r>
      <w:r>
        <w:rPr>
          <w:color w:val="000000"/>
          <w:sz w:val="24"/>
          <w:szCs w:val="24"/>
        </w:rPr>
        <w:t>9</w:t>
      </w:r>
      <w:r>
        <w:rPr>
          <w:color w:val="000000"/>
          <w:sz w:val="24"/>
          <w:szCs w:val="24"/>
        </w:rPr>
        <w:t>月降准也未能扭转债券市场弱势调整的态势。</w:t>
      </w:r>
      <w:r>
        <w:rPr>
          <w:color w:val="000000"/>
          <w:sz w:val="24"/>
          <w:szCs w:val="24"/>
        </w:rPr>
        <w:t xml:space="preserve"> </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报告期内，本基金为更好地跟踪指数久期适当调整了持仓结构，以抽样复制的方式跟踪指数为主。组合跑输业绩基准主要是由于成分券流动性较弱、抽样复制产生的偏差，以及部分费率因素。</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1.163</w:t>
      </w:r>
      <w:r w:rsidRPr="006C56AA">
        <w:rPr>
          <w:color w:val="000000"/>
          <w:sz w:val="24"/>
          <w:szCs w:val="24"/>
        </w:rPr>
        <w:t>元，本报告期份额净值增长率为</w:t>
      </w:r>
      <w:r w:rsidRPr="006C56AA">
        <w:rPr>
          <w:color w:val="000000"/>
          <w:sz w:val="24"/>
          <w:szCs w:val="24"/>
        </w:rPr>
        <w:t>1.04%</w:t>
      </w:r>
      <w:r w:rsidRPr="006C56AA">
        <w:rPr>
          <w:color w:val="000000"/>
          <w:sz w:val="24"/>
          <w:szCs w:val="24"/>
        </w:rPr>
        <w:t>，同期业绩比较基准收益率为</w:t>
      </w:r>
      <w:r w:rsidRPr="006C56AA">
        <w:rPr>
          <w:color w:val="000000"/>
          <w:sz w:val="24"/>
          <w:szCs w:val="24"/>
        </w:rPr>
        <w:t>1.25%</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117,394,200.00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95.99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117,394,200.00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95.99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2,919,289.34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2.39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1,987,019.06</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1.62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122,300,508.40</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p w:rsidR="008C2A4F" w:rsidRPr="00403A06" w:rsidRDefault="008C2A4F" w:rsidP="00403A06">
      <w:pPr>
        <w:spacing w:line="360" w:lineRule="auto"/>
        <w:ind w:firstLineChars="200" w:firstLine="480"/>
        <w:rPr>
          <w:color w:val="000000"/>
          <w:sz w:val="24"/>
          <w:szCs w:val="24"/>
        </w:rPr>
      </w:pPr>
      <w:r w:rsidRPr="00403A06">
        <w:rPr>
          <w:color w:val="000000"/>
          <w:sz w:val="24"/>
          <w:szCs w:val="24"/>
        </w:rPr>
        <w:t>本基金本报告期末未持有境内股票。</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111,396,000.00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91.36</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5,998,200.00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4.92</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5,998,200.00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4.92</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117,394,200.00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96.28</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AF31FB">
        <w:tc>
          <w:tcPr>
            <w:tcW w:w="959" w:type="dxa"/>
            <w:vAlign w:val="center"/>
          </w:tcPr>
          <w:p w:rsidR="00AF31FB" w:rsidRDefault="00D24F40">
            <w:pPr>
              <w:jc w:val="center"/>
            </w:pPr>
            <w:r>
              <w:rPr>
                <w:color w:val="000000"/>
                <w:kern w:val="0"/>
                <w:sz w:val="24"/>
                <w:szCs w:val="24"/>
              </w:rPr>
              <w:t>1</w:t>
            </w:r>
          </w:p>
        </w:tc>
        <w:tc>
          <w:tcPr>
            <w:tcW w:w="1276" w:type="dxa"/>
            <w:vAlign w:val="center"/>
          </w:tcPr>
          <w:p w:rsidR="00AF31FB" w:rsidRDefault="00D24F40">
            <w:pPr>
              <w:jc w:val="center"/>
            </w:pPr>
            <w:r>
              <w:rPr>
                <w:color w:val="000000"/>
                <w:kern w:val="0"/>
                <w:sz w:val="24"/>
                <w:szCs w:val="24"/>
              </w:rPr>
              <w:t>190004</w:t>
            </w:r>
          </w:p>
        </w:tc>
        <w:tc>
          <w:tcPr>
            <w:tcW w:w="1275" w:type="dxa"/>
            <w:vAlign w:val="center"/>
          </w:tcPr>
          <w:p w:rsidR="00AF31FB" w:rsidRDefault="00D24F40">
            <w:pPr>
              <w:jc w:val="center"/>
            </w:pPr>
            <w:r>
              <w:rPr>
                <w:color w:val="000000"/>
                <w:kern w:val="0"/>
                <w:sz w:val="24"/>
                <w:szCs w:val="24"/>
              </w:rPr>
              <w:t>19</w:t>
            </w:r>
            <w:r>
              <w:rPr>
                <w:color w:val="000000"/>
                <w:kern w:val="0"/>
                <w:sz w:val="24"/>
                <w:szCs w:val="24"/>
              </w:rPr>
              <w:t>附息国债</w:t>
            </w:r>
            <w:r>
              <w:rPr>
                <w:color w:val="000000"/>
                <w:kern w:val="0"/>
                <w:sz w:val="24"/>
                <w:szCs w:val="24"/>
              </w:rPr>
              <w:t>04</w:t>
            </w:r>
          </w:p>
        </w:tc>
        <w:tc>
          <w:tcPr>
            <w:tcW w:w="1560" w:type="dxa"/>
            <w:vAlign w:val="center"/>
          </w:tcPr>
          <w:p w:rsidR="00AF31FB" w:rsidRDefault="00D24F40">
            <w:pPr>
              <w:jc w:val="right"/>
            </w:pPr>
            <w:r>
              <w:rPr>
                <w:color w:val="000000"/>
                <w:kern w:val="0"/>
                <w:sz w:val="24"/>
                <w:szCs w:val="24"/>
              </w:rPr>
              <w:t>600,000</w:t>
            </w:r>
          </w:p>
        </w:tc>
        <w:tc>
          <w:tcPr>
            <w:tcW w:w="1984" w:type="dxa"/>
            <w:vAlign w:val="center"/>
          </w:tcPr>
          <w:p w:rsidR="00AF31FB" w:rsidRDefault="00D24F40">
            <w:pPr>
              <w:jc w:val="right"/>
            </w:pPr>
            <w:r>
              <w:rPr>
                <w:color w:val="000000"/>
                <w:kern w:val="0"/>
                <w:sz w:val="24"/>
                <w:szCs w:val="24"/>
              </w:rPr>
              <w:t>60,582,000.00</w:t>
            </w:r>
          </w:p>
        </w:tc>
        <w:tc>
          <w:tcPr>
            <w:tcW w:w="1474" w:type="dxa"/>
            <w:vAlign w:val="center"/>
          </w:tcPr>
          <w:p w:rsidR="00AF31FB" w:rsidRDefault="00D24F40">
            <w:pPr>
              <w:jc w:val="right"/>
            </w:pPr>
            <w:r>
              <w:rPr>
                <w:color w:val="000000"/>
                <w:kern w:val="0"/>
                <w:sz w:val="24"/>
                <w:szCs w:val="24"/>
              </w:rPr>
              <w:t>49.69</w:t>
            </w:r>
          </w:p>
        </w:tc>
      </w:tr>
      <w:tr w:rsidR="00AF31FB">
        <w:tc>
          <w:tcPr>
            <w:tcW w:w="959" w:type="dxa"/>
            <w:vAlign w:val="center"/>
          </w:tcPr>
          <w:p w:rsidR="00AF31FB" w:rsidRDefault="00D24F40">
            <w:pPr>
              <w:jc w:val="center"/>
            </w:pPr>
            <w:r>
              <w:rPr>
                <w:color w:val="000000"/>
                <w:kern w:val="0"/>
                <w:sz w:val="24"/>
                <w:szCs w:val="24"/>
              </w:rPr>
              <w:t>2</w:t>
            </w:r>
          </w:p>
        </w:tc>
        <w:tc>
          <w:tcPr>
            <w:tcW w:w="1276" w:type="dxa"/>
            <w:vAlign w:val="center"/>
          </w:tcPr>
          <w:p w:rsidR="00AF31FB" w:rsidRDefault="00D24F40">
            <w:pPr>
              <w:jc w:val="center"/>
            </w:pPr>
            <w:r>
              <w:rPr>
                <w:color w:val="000000"/>
                <w:kern w:val="0"/>
                <w:sz w:val="24"/>
                <w:szCs w:val="24"/>
              </w:rPr>
              <w:t>010303</w:t>
            </w:r>
          </w:p>
        </w:tc>
        <w:tc>
          <w:tcPr>
            <w:tcW w:w="1275" w:type="dxa"/>
            <w:vAlign w:val="center"/>
          </w:tcPr>
          <w:p w:rsidR="00AF31FB" w:rsidRDefault="00D24F40">
            <w:pPr>
              <w:jc w:val="center"/>
            </w:pPr>
            <w:r>
              <w:rPr>
                <w:color w:val="000000"/>
                <w:kern w:val="0"/>
                <w:sz w:val="24"/>
                <w:szCs w:val="24"/>
              </w:rPr>
              <w:t>03</w:t>
            </w:r>
            <w:r>
              <w:rPr>
                <w:color w:val="000000"/>
                <w:kern w:val="0"/>
                <w:sz w:val="24"/>
                <w:szCs w:val="24"/>
              </w:rPr>
              <w:t>国债</w:t>
            </w:r>
            <w:r>
              <w:rPr>
                <w:color w:val="000000"/>
                <w:kern w:val="0"/>
                <w:sz w:val="24"/>
                <w:szCs w:val="24"/>
              </w:rPr>
              <w:t>(3)</w:t>
            </w:r>
          </w:p>
        </w:tc>
        <w:tc>
          <w:tcPr>
            <w:tcW w:w="1560" w:type="dxa"/>
            <w:vAlign w:val="center"/>
          </w:tcPr>
          <w:p w:rsidR="00AF31FB" w:rsidRDefault="00D24F40">
            <w:pPr>
              <w:jc w:val="right"/>
            </w:pPr>
            <w:r>
              <w:rPr>
                <w:color w:val="000000"/>
                <w:kern w:val="0"/>
                <w:sz w:val="24"/>
                <w:szCs w:val="24"/>
              </w:rPr>
              <w:t>200,000</w:t>
            </w:r>
          </w:p>
        </w:tc>
        <w:tc>
          <w:tcPr>
            <w:tcW w:w="1984" w:type="dxa"/>
            <w:vAlign w:val="center"/>
          </w:tcPr>
          <w:p w:rsidR="00AF31FB" w:rsidRDefault="00D24F40">
            <w:pPr>
              <w:jc w:val="right"/>
            </w:pPr>
            <w:r>
              <w:rPr>
                <w:color w:val="000000"/>
                <w:kern w:val="0"/>
                <w:sz w:val="24"/>
                <w:szCs w:val="24"/>
              </w:rPr>
              <w:t>20,368,000.00</w:t>
            </w:r>
          </w:p>
        </w:tc>
        <w:tc>
          <w:tcPr>
            <w:tcW w:w="1474" w:type="dxa"/>
            <w:vAlign w:val="center"/>
          </w:tcPr>
          <w:p w:rsidR="00AF31FB" w:rsidRDefault="00D24F40">
            <w:pPr>
              <w:jc w:val="right"/>
            </w:pPr>
            <w:r>
              <w:rPr>
                <w:color w:val="000000"/>
                <w:kern w:val="0"/>
                <w:sz w:val="24"/>
                <w:szCs w:val="24"/>
              </w:rPr>
              <w:t>16.70</w:t>
            </w:r>
          </w:p>
        </w:tc>
      </w:tr>
      <w:tr w:rsidR="00AF31FB">
        <w:tc>
          <w:tcPr>
            <w:tcW w:w="959" w:type="dxa"/>
            <w:vAlign w:val="center"/>
          </w:tcPr>
          <w:p w:rsidR="00AF31FB" w:rsidRDefault="00D24F40">
            <w:pPr>
              <w:jc w:val="center"/>
            </w:pPr>
            <w:r>
              <w:rPr>
                <w:color w:val="000000"/>
                <w:kern w:val="0"/>
                <w:sz w:val="24"/>
                <w:szCs w:val="24"/>
              </w:rPr>
              <w:t>3</w:t>
            </w:r>
          </w:p>
        </w:tc>
        <w:tc>
          <w:tcPr>
            <w:tcW w:w="1276" w:type="dxa"/>
            <w:vAlign w:val="center"/>
          </w:tcPr>
          <w:p w:rsidR="00AF31FB" w:rsidRDefault="00D24F40">
            <w:pPr>
              <w:jc w:val="center"/>
            </w:pPr>
            <w:r>
              <w:rPr>
                <w:color w:val="000000"/>
                <w:kern w:val="0"/>
                <w:sz w:val="24"/>
                <w:szCs w:val="24"/>
              </w:rPr>
              <w:t>180023</w:t>
            </w:r>
          </w:p>
        </w:tc>
        <w:tc>
          <w:tcPr>
            <w:tcW w:w="1275" w:type="dxa"/>
            <w:vAlign w:val="center"/>
          </w:tcPr>
          <w:p w:rsidR="00AF31FB" w:rsidRDefault="00D24F40">
            <w:pPr>
              <w:jc w:val="center"/>
            </w:pPr>
            <w:r>
              <w:rPr>
                <w:color w:val="000000"/>
                <w:kern w:val="0"/>
                <w:sz w:val="24"/>
                <w:szCs w:val="24"/>
              </w:rPr>
              <w:t>18</w:t>
            </w:r>
            <w:r>
              <w:rPr>
                <w:color w:val="000000"/>
                <w:kern w:val="0"/>
                <w:sz w:val="24"/>
                <w:szCs w:val="24"/>
              </w:rPr>
              <w:t>附息国债</w:t>
            </w:r>
            <w:r>
              <w:rPr>
                <w:color w:val="000000"/>
                <w:kern w:val="0"/>
                <w:sz w:val="24"/>
                <w:szCs w:val="24"/>
              </w:rPr>
              <w:t>23</w:t>
            </w:r>
          </w:p>
        </w:tc>
        <w:tc>
          <w:tcPr>
            <w:tcW w:w="1560" w:type="dxa"/>
            <w:vAlign w:val="center"/>
          </w:tcPr>
          <w:p w:rsidR="00AF31FB" w:rsidRDefault="00D24F40">
            <w:pPr>
              <w:jc w:val="right"/>
            </w:pPr>
            <w:r>
              <w:rPr>
                <w:color w:val="000000"/>
                <w:kern w:val="0"/>
                <w:sz w:val="24"/>
                <w:szCs w:val="24"/>
              </w:rPr>
              <w:t>200,000</w:t>
            </w:r>
          </w:p>
        </w:tc>
        <w:tc>
          <w:tcPr>
            <w:tcW w:w="1984" w:type="dxa"/>
            <w:vAlign w:val="center"/>
          </w:tcPr>
          <w:p w:rsidR="00AF31FB" w:rsidRDefault="00D24F40">
            <w:pPr>
              <w:jc w:val="right"/>
            </w:pPr>
            <w:r>
              <w:rPr>
                <w:color w:val="000000"/>
                <w:kern w:val="0"/>
                <w:sz w:val="24"/>
                <w:szCs w:val="24"/>
              </w:rPr>
              <w:t>20,294,000.00</w:t>
            </w:r>
          </w:p>
        </w:tc>
        <w:tc>
          <w:tcPr>
            <w:tcW w:w="1474" w:type="dxa"/>
            <w:vAlign w:val="center"/>
          </w:tcPr>
          <w:p w:rsidR="00AF31FB" w:rsidRDefault="00D24F40">
            <w:pPr>
              <w:jc w:val="right"/>
            </w:pPr>
            <w:r>
              <w:rPr>
                <w:color w:val="000000"/>
                <w:kern w:val="0"/>
                <w:sz w:val="24"/>
                <w:szCs w:val="24"/>
              </w:rPr>
              <w:t>16.64</w:t>
            </w:r>
          </w:p>
        </w:tc>
      </w:tr>
      <w:tr w:rsidR="00AF31FB">
        <w:tc>
          <w:tcPr>
            <w:tcW w:w="959" w:type="dxa"/>
            <w:vAlign w:val="center"/>
          </w:tcPr>
          <w:p w:rsidR="00AF31FB" w:rsidRDefault="00D24F40">
            <w:pPr>
              <w:jc w:val="center"/>
            </w:pPr>
            <w:r>
              <w:rPr>
                <w:color w:val="000000"/>
                <w:kern w:val="0"/>
                <w:sz w:val="24"/>
                <w:szCs w:val="24"/>
              </w:rPr>
              <w:t>4</w:t>
            </w:r>
          </w:p>
        </w:tc>
        <w:tc>
          <w:tcPr>
            <w:tcW w:w="1276" w:type="dxa"/>
            <w:vAlign w:val="center"/>
          </w:tcPr>
          <w:p w:rsidR="00AF31FB" w:rsidRDefault="00D24F40">
            <w:pPr>
              <w:jc w:val="center"/>
            </w:pPr>
            <w:r>
              <w:rPr>
                <w:color w:val="000000"/>
                <w:kern w:val="0"/>
                <w:sz w:val="24"/>
                <w:szCs w:val="24"/>
              </w:rPr>
              <w:t>180016</w:t>
            </w:r>
          </w:p>
        </w:tc>
        <w:tc>
          <w:tcPr>
            <w:tcW w:w="1275" w:type="dxa"/>
            <w:vAlign w:val="center"/>
          </w:tcPr>
          <w:p w:rsidR="00AF31FB" w:rsidRDefault="00D24F40">
            <w:pPr>
              <w:jc w:val="center"/>
            </w:pPr>
            <w:r>
              <w:rPr>
                <w:color w:val="000000"/>
                <w:kern w:val="0"/>
                <w:sz w:val="24"/>
                <w:szCs w:val="24"/>
              </w:rPr>
              <w:t>18</w:t>
            </w:r>
            <w:r>
              <w:rPr>
                <w:color w:val="000000"/>
                <w:kern w:val="0"/>
                <w:sz w:val="24"/>
                <w:szCs w:val="24"/>
              </w:rPr>
              <w:t>附息国债</w:t>
            </w:r>
            <w:r>
              <w:rPr>
                <w:color w:val="000000"/>
                <w:kern w:val="0"/>
                <w:sz w:val="24"/>
                <w:szCs w:val="24"/>
              </w:rPr>
              <w:t>16</w:t>
            </w:r>
          </w:p>
        </w:tc>
        <w:tc>
          <w:tcPr>
            <w:tcW w:w="1560" w:type="dxa"/>
            <w:vAlign w:val="center"/>
          </w:tcPr>
          <w:p w:rsidR="00AF31FB" w:rsidRDefault="00D24F40">
            <w:pPr>
              <w:jc w:val="right"/>
            </w:pPr>
            <w:r>
              <w:rPr>
                <w:color w:val="000000"/>
                <w:kern w:val="0"/>
                <w:sz w:val="24"/>
                <w:szCs w:val="24"/>
              </w:rPr>
              <w:t>100,000</w:t>
            </w:r>
          </w:p>
        </w:tc>
        <w:tc>
          <w:tcPr>
            <w:tcW w:w="1984" w:type="dxa"/>
            <w:vAlign w:val="center"/>
          </w:tcPr>
          <w:p w:rsidR="00AF31FB" w:rsidRDefault="00D24F40">
            <w:pPr>
              <w:jc w:val="right"/>
            </w:pPr>
            <w:r>
              <w:rPr>
                <w:color w:val="000000"/>
                <w:kern w:val="0"/>
                <w:sz w:val="24"/>
                <w:szCs w:val="24"/>
              </w:rPr>
              <w:t>10,152,000.00</w:t>
            </w:r>
          </w:p>
        </w:tc>
        <w:tc>
          <w:tcPr>
            <w:tcW w:w="1474" w:type="dxa"/>
            <w:vAlign w:val="center"/>
          </w:tcPr>
          <w:p w:rsidR="00AF31FB" w:rsidRDefault="00D24F40">
            <w:pPr>
              <w:jc w:val="right"/>
            </w:pPr>
            <w:r>
              <w:rPr>
                <w:color w:val="000000"/>
                <w:kern w:val="0"/>
                <w:sz w:val="24"/>
                <w:szCs w:val="24"/>
              </w:rPr>
              <w:t>8.33</w:t>
            </w:r>
          </w:p>
        </w:tc>
      </w:tr>
      <w:tr w:rsidR="00AF31FB">
        <w:tc>
          <w:tcPr>
            <w:tcW w:w="959" w:type="dxa"/>
            <w:vAlign w:val="center"/>
          </w:tcPr>
          <w:p w:rsidR="00AF31FB" w:rsidRDefault="00D24F40">
            <w:pPr>
              <w:jc w:val="center"/>
            </w:pPr>
            <w:r>
              <w:rPr>
                <w:color w:val="000000"/>
                <w:kern w:val="0"/>
                <w:sz w:val="24"/>
                <w:szCs w:val="24"/>
              </w:rPr>
              <w:t>5</w:t>
            </w:r>
          </w:p>
        </w:tc>
        <w:tc>
          <w:tcPr>
            <w:tcW w:w="1276" w:type="dxa"/>
            <w:vAlign w:val="center"/>
          </w:tcPr>
          <w:p w:rsidR="00AF31FB" w:rsidRDefault="00D24F40">
            <w:pPr>
              <w:jc w:val="center"/>
            </w:pPr>
            <w:r>
              <w:rPr>
                <w:color w:val="000000"/>
                <w:kern w:val="0"/>
                <w:sz w:val="24"/>
                <w:szCs w:val="24"/>
              </w:rPr>
              <w:t>190206</w:t>
            </w:r>
          </w:p>
        </w:tc>
        <w:tc>
          <w:tcPr>
            <w:tcW w:w="1275" w:type="dxa"/>
            <w:vAlign w:val="center"/>
          </w:tcPr>
          <w:p w:rsidR="00AF31FB" w:rsidRDefault="00D24F40">
            <w:pPr>
              <w:jc w:val="center"/>
            </w:pPr>
            <w:r>
              <w:rPr>
                <w:color w:val="000000"/>
                <w:kern w:val="0"/>
                <w:sz w:val="24"/>
                <w:szCs w:val="24"/>
              </w:rPr>
              <w:t>19</w:t>
            </w:r>
            <w:r>
              <w:rPr>
                <w:color w:val="000000"/>
                <w:kern w:val="0"/>
                <w:sz w:val="24"/>
                <w:szCs w:val="24"/>
              </w:rPr>
              <w:t>国开</w:t>
            </w:r>
            <w:r>
              <w:rPr>
                <w:color w:val="000000"/>
                <w:kern w:val="0"/>
                <w:sz w:val="24"/>
                <w:szCs w:val="24"/>
              </w:rPr>
              <w:t>06</w:t>
            </w:r>
          </w:p>
        </w:tc>
        <w:tc>
          <w:tcPr>
            <w:tcW w:w="1560" w:type="dxa"/>
            <w:vAlign w:val="center"/>
          </w:tcPr>
          <w:p w:rsidR="00AF31FB" w:rsidRDefault="00D24F40">
            <w:pPr>
              <w:jc w:val="right"/>
            </w:pPr>
            <w:r>
              <w:rPr>
                <w:color w:val="000000"/>
                <w:kern w:val="0"/>
                <w:sz w:val="24"/>
                <w:szCs w:val="24"/>
              </w:rPr>
              <w:t>60,000</w:t>
            </w:r>
          </w:p>
        </w:tc>
        <w:tc>
          <w:tcPr>
            <w:tcW w:w="1984" w:type="dxa"/>
            <w:vAlign w:val="center"/>
          </w:tcPr>
          <w:p w:rsidR="00AF31FB" w:rsidRDefault="00D24F40">
            <w:pPr>
              <w:jc w:val="right"/>
            </w:pPr>
            <w:r>
              <w:rPr>
                <w:color w:val="000000"/>
                <w:kern w:val="0"/>
                <w:sz w:val="24"/>
                <w:szCs w:val="24"/>
              </w:rPr>
              <w:t>5,998,200.00</w:t>
            </w:r>
          </w:p>
        </w:tc>
        <w:tc>
          <w:tcPr>
            <w:tcW w:w="1474" w:type="dxa"/>
            <w:vAlign w:val="center"/>
          </w:tcPr>
          <w:p w:rsidR="00AF31FB" w:rsidRDefault="00D24F40">
            <w:pPr>
              <w:jc w:val="right"/>
            </w:pPr>
            <w:r>
              <w:rPr>
                <w:color w:val="000000"/>
                <w:kern w:val="0"/>
                <w:sz w:val="24"/>
                <w:szCs w:val="24"/>
              </w:rPr>
              <w:t>4.92</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5.11.2本基金本报告期没有投资股票，因此不存在投资的前十名股票超出基金合同规定的备选股票库情况。</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29.58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1,986,889.48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100.00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1,987,019.06</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104,686,617.14</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764,265.19</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590,912.95</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104,859,969.38</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AC11B0" w:rsidRPr="005A564A" w:rsidRDefault="00AC11B0" w:rsidP="00AC11B0">
      <w:pPr>
        <w:autoSpaceDE w:val="0"/>
        <w:autoSpaceDN w:val="0"/>
        <w:adjustRightInd w:val="0"/>
        <w:spacing w:before="29" w:line="360" w:lineRule="auto"/>
        <w:ind w:left="15"/>
        <w:jc w:val="right"/>
        <w:rPr>
          <w:sz w:val="24"/>
        </w:rPr>
      </w:pPr>
      <w:r w:rsidRPr="005A564A">
        <w:rPr>
          <w:sz w:val="24"/>
        </w:rPr>
        <w:t>单位：份</w:t>
      </w:r>
    </w:p>
    <w:tbl>
      <w:tblPr>
        <w:tblW w:w="8415" w:type="dxa"/>
        <w:tblInd w:w="108" w:type="dxa"/>
        <w:tblLayout w:type="fixed"/>
        <w:tblLook w:val="04A0" w:firstRow="1" w:lastRow="0" w:firstColumn="1" w:lastColumn="0" w:noHBand="0" w:noVBand="1"/>
      </w:tblPr>
      <w:tblGrid>
        <w:gridCol w:w="5037"/>
        <w:gridCol w:w="3378"/>
      </w:tblGrid>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pStyle w:val="ad"/>
              <w:adjustRightInd w:val="0"/>
              <w:snapToGrid w:val="0"/>
              <w:spacing w:line="360" w:lineRule="exact"/>
              <w:rPr>
                <w:rFonts w:eastAsiaTheme="minorEastAsia"/>
                <w:color w:val="000000" w:themeColor="text1"/>
              </w:rPr>
            </w:pPr>
            <w:r w:rsidRPr="003B42FF">
              <w:rPr>
                <w:rFonts w:eastAsiaTheme="minorEastAsia"/>
                <w:color w:val="000000" w:themeColor="text1"/>
              </w:rPr>
              <w:t>报告期期初管理人持有的本基金份额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56,337,089.20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买入</w:t>
            </w:r>
            <w:r w:rsidRPr="003B42FF">
              <w:rPr>
                <w:rFonts w:eastAsiaTheme="minorEastAsia"/>
                <w:color w:val="000000" w:themeColor="text1"/>
                <w:sz w:val="24"/>
                <w:szCs w:val="24"/>
              </w:rPr>
              <w:t>/</w:t>
            </w:r>
            <w:r w:rsidRPr="003B42FF">
              <w:rPr>
                <w:rFonts w:eastAsiaTheme="minorEastAsia"/>
                <w:color w:val="000000" w:themeColor="text1"/>
                <w:sz w:val="24"/>
                <w:szCs w:val="24"/>
              </w:rPr>
              <w:t>申购总份额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卖出</w:t>
            </w:r>
            <w:r w:rsidRPr="003B42FF">
              <w:rPr>
                <w:rFonts w:eastAsiaTheme="minorEastAsia"/>
                <w:color w:val="000000" w:themeColor="text1"/>
                <w:sz w:val="24"/>
                <w:szCs w:val="24"/>
              </w:rPr>
              <w:t>/</w:t>
            </w:r>
            <w:r w:rsidRPr="003B42FF">
              <w:rPr>
                <w:rFonts w:eastAsiaTheme="minorEastAsia"/>
                <w:color w:val="000000" w:themeColor="text1"/>
                <w:sz w:val="24"/>
                <w:szCs w:val="24"/>
              </w:rPr>
              <w:t>赎回总份额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56,337,089.20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报告期期末持有的本基金份额占基金总份额比例（</w:t>
            </w:r>
            <w:r w:rsidRPr="003B42FF">
              <w:rPr>
                <w:rFonts w:eastAsiaTheme="minorEastAsia"/>
                <w:color w:val="000000" w:themeColor="text1"/>
                <w:sz w:val="24"/>
                <w:szCs w:val="24"/>
              </w:rPr>
              <w:t>%</w:t>
            </w:r>
            <w:r w:rsidRPr="003B42FF">
              <w:rPr>
                <w:rFonts w:eastAsiaTheme="minorEastAsia"/>
                <w:color w:val="000000" w:themeColor="text1"/>
                <w:sz w:val="24"/>
                <w:szCs w:val="24"/>
              </w:rPr>
              <w:t>）</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53.73</w:t>
            </w:r>
          </w:p>
        </w:tc>
      </w:tr>
    </w:tbl>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8</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8.1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AF31FB">
        <w:trPr>
          <w:jc w:val="center"/>
        </w:trPr>
        <w:tc>
          <w:tcPr>
            <w:tcW w:w="1798" w:type="dxa"/>
            <w:vMerge w:val="restart"/>
            <w:vAlign w:val="center"/>
          </w:tcPr>
          <w:p w:rsidR="00AF31FB" w:rsidRDefault="00D24F40">
            <w:r>
              <w:rPr>
                <w:rFonts w:eastAsiaTheme="minorEastAsia"/>
                <w:bCs/>
                <w:color w:val="000000" w:themeColor="text1"/>
                <w:sz w:val="24"/>
                <w:szCs w:val="24"/>
              </w:rPr>
              <w:t>机构</w:t>
            </w:r>
          </w:p>
        </w:tc>
        <w:tc>
          <w:tcPr>
            <w:tcW w:w="709" w:type="dxa"/>
            <w:vAlign w:val="center"/>
          </w:tcPr>
          <w:p w:rsidR="00AF31FB" w:rsidRDefault="00D24F40">
            <w:pPr>
              <w:jc w:val="center"/>
            </w:pPr>
            <w:r>
              <w:rPr>
                <w:sz w:val="24"/>
                <w:szCs w:val="24"/>
              </w:rPr>
              <w:t>1</w:t>
            </w:r>
          </w:p>
        </w:tc>
        <w:tc>
          <w:tcPr>
            <w:tcW w:w="1985" w:type="dxa"/>
            <w:vAlign w:val="center"/>
          </w:tcPr>
          <w:p w:rsidR="00AF31FB" w:rsidRDefault="00D24F40">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AF31FB" w:rsidRDefault="00D24F40">
            <w:pPr>
              <w:jc w:val="center"/>
            </w:pPr>
            <w:r>
              <w:rPr>
                <w:sz w:val="24"/>
                <w:szCs w:val="24"/>
              </w:rPr>
              <w:t>56,337,089.20</w:t>
            </w:r>
          </w:p>
        </w:tc>
        <w:tc>
          <w:tcPr>
            <w:tcW w:w="992" w:type="dxa"/>
            <w:vAlign w:val="center"/>
          </w:tcPr>
          <w:p w:rsidR="00AF31FB" w:rsidRDefault="00D24F40">
            <w:pPr>
              <w:jc w:val="center"/>
            </w:pPr>
            <w:r>
              <w:rPr>
                <w:sz w:val="24"/>
                <w:szCs w:val="24"/>
              </w:rPr>
              <w:t>-</w:t>
            </w:r>
          </w:p>
        </w:tc>
        <w:tc>
          <w:tcPr>
            <w:tcW w:w="1134" w:type="dxa"/>
            <w:vAlign w:val="center"/>
          </w:tcPr>
          <w:p w:rsidR="00AF31FB" w:rsidRDefault="00D24F40">
            <w:pPr>
              <w:jc w:val="center"/>
            </w:pPr>
            <w:r>
              <w:rPr>
                <w:sz w:val="24"/>
                <w:szCs w:val="24"/>
              </w:rPr>
              <w:t>-</w:t>
            </w:r>
          </w:p>
        </w:tc>
        <w:tc>
          <w:tcPr>
            <w:tcW w:w="1037" w:type="dxa"/>
            <w:vAlign w:val="center"/>
          </w:tcPr>
          <w:p w:rsidR="00AF31FB" w:rsidRDefault="00D24F40">
            <w:pPr>
              <w:jc w:val="center"/>
            </w:pPr>
            <w:r>
              <w:rPr>
                <w:sz w:val="24"/>
                <w:szCs w:val="24"/>
              </w:rPr>
              <w:t>56,337,089.20</w:t>
            </w:r>
          </w:p>
        </w:tc>
        <w:tc>
          <w:tcPr>
            <w:tcW w:w="851" w:type="dxa"/>
            <w:vAlign w:val="center"/>
          </w:tcPr>
          <w:p w:rsidR="00AF31FB" w:rsidRDefault="00D24F40">
            <w:pPr>
              <w:jc w:val="center"/>
            </w:pPr>
            <w:r>
              <w:rPr>
                <w:sz w:val="24"/>
                <w:szCs w:val="24"/>
              </w:rPr>
              <w:t>53.73%</w:t>
            </w:r>
          </w:p>
        </w:tc>
      </w:tr>
      <w:tr w:rsidR="00AF31FB">
        <w:trPr>
          <w:jc w:val="center"/>
        </w:trPr>
        <w:tc>
          <w:tcPr>
            <w:tcW w:w="1798" w:type="dxa"/>
            <w:vMerge/>
          </w:tcPr>
          <w:p w:rsidR="00AF31FB" w:rsidRDefault="00AF31FB"/>
        </w:tc>
        <w:tc>
          <w:tcPr>
            <w:tcW w:w="709" w:type="dxa"/>
            <w:vAlign w:val="center"/>
          </w:tcPr>
          <w:p w:rsidR="00AF31FB" w:rsidRDefault="00D24F40">
            <w:pPr>
              <w:jc w:val="center"/>
            </w:pPr>
            <w:r>
              <w:rPr>
                <w:sz w:val="24"/>
                <w:szCs w:val="24"/>
              </w:rPr>
              <w:t>2</w:t>
            </w:r>
          </w:p>
        </w:tc>
        <w:tc>
          <w:tcPr>
            <w:tcW w:w="1985" w:type="dxa"/>
            <w:vAlign w:val="center"/>
          </w:tcPr>
          <w:p w:rsidR="00AF31FB" w:rsidRDefault="00D24F40">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AF31FB" w:rsidRDefault="00D24F40">
            <w:pPr>
              <w:jc w:val="center"/>
            </w:pPr>
            <w:r>
              <w:rPr>
                <w:sz w:val="24"/>
                <w:szCs w:val="24"/>
              </w:rPr>
              <w:t>46,947,417.84</w:t>
            </w:r>
          </w:p>
        </w:tc>
        <w:tc>
          <w:tcPr>
            <w:tcW w:w="992" w:type="dxa"/>
            <w:vAlign w:val="center"/>
          </w:tcPr>
          <w:p w:rsidR="00AF31FB" w:rsidRDefault="00D24F40">
            <w:pPr>
              <w:jc w:val="center"/>
            </w:pPr>
            <w:r>
              <w:rPr>
                <w:sz w:val="24"/>
                <w:szCs w:val="24"/>
              </w:rPr>
              <w:t>-</w:t>
            </w:r>
          </w:p>
        </w:tc>
        <w:tc>
          <w:tcPr>
            <w:tcW w:w="1134" w:type="dxa"/>
            <w:vAlign w:val="center"/>
          </w:tcPr>
          <w:p w:rsidR="00AF31FB" w:rsidRDefault="00D24F40">
            <w:pPr>
              <w:jc w:val="center"/>
            </w:pPr>
            <w:r>
              <w:rPr>
                <w:sz w:val="24"/>
                <w:szCs w:val="24"/>
              </w:rPr>
              <w:t>-</w:t>
            </w:r>
          </w:p>
        </w:tc>
        <w:tc>
          <w:tcPr>
            <w:tcW w:w="1037" w:type="dxa"/>
            <w:vAlign w:val="center"/>
          </w:tcPr>
          <w:p w:rsidR="00AF31FB" w:rsidRDefault="00D24F40">
            <w:pPr>
              <w:jc w:val="center"/>
            </w:pPr>
            <w:r>
              <w:rPr>
                <w:sz w:val="24"/>
                <w:szCs w:val="24"/>
              </w:rPr>
              <w:t>46,947,417.84</w:t>
            </w:r>
          </w:p>
        </w:tc>
        <w:tc>
          <w:tcPr>
            <w:tcW w:w="851" w:type="dxa"/>
            <w:vAlign w:val="center"/>
          </w:tcPr>
          <w:p w:rsidR="00AF31FB" w:rsidRDefault="00D24F40">
            <w:pPr>
              <w:jc w:val="center"/>
            </w:pPr>
            <w:r>
              <w:rPr>
                <w:sz w:val="24"/>
                <w:szCs w:val="24"/>
              </w:rPr>
              <w:t>44.77%</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9.1 </w:t>
      </w:r>
      <w:r w:rsidRPr="00264E55">
        <w:rPr>
          <w:rFonts w:ascii="宋体" w:hAnsi="宋体" w:hint="eastAsia"/>
          <w:b/>
          <w:bCs/>
          <w:color w:val="000000"/>
          <w:kern w:val="0"/>
          <w:sz w:val="24"/>
          <w:szCs w:val="24"/>
        </w:rPr>
        <w:t>备查文件目录</w:t>
      </w:r>
    </w:p>
    <w:p w:rsidR="00AF31FB" w:rsidRDefault="00D24F40">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中国证监会准予易方达中债</w:t>
      </w:r>
      <w:r>
        <w:rPr>
          <w:color w:val="000000"/>
          <w:sz w:val="24"/>
          <w:szCs w:val="24"/>
        </w:rPr>
        <w:t>3-5</w:t>
      </w:r>
      <w:r>
        <w:rPr>
          <w:color w:val="000000"/>
          <w:sz w:val="24"/>
          <w:szCs w:val="24"/>
        </w:rPr>
        <w:t>年期国债指数证券投资基金注册的文件；</w:t>
      </w:r>
    </w:p>
    <w:p w:rsidR="00AF31FB" w:rsidRDefault="00D24F40">
      <w:pPr>
        <w:spacing w:line="360" w:lineRule="auto"/>
        <w:ind w:firstLineChars="200" w:firstLine="480"/>
        <w:rPr>
          <w:color w:val="000000"/>
          <w:sz w:val="24"/>
          <w:szCs w:val="24"/>
        </w:rPr>
      </w:pPr>
      <w:r>
        <w:rPr>
          <w:color w:val="000000"/>
          <w:sz w:val="24"/>
          <w:szCs w:val="24"/>
        </w:rPr>
        <w:t>2.</w:t>
      </w:r>
      <w:r>
        <w:rPr>
          <w:color w:val="000000"/>
          <w:sz w:val="24"/>
          <w:szCs w:val="24"/>
        </w:rPr>
        <w:t>《易方达中债</w:t>
      </w:r>
      <w:r>
        <w:rPr>
          <w:color w:val="000000"/>
          <w:sz w:val="24"/>
          <w:szCs w:val="24"/>
        </w:rPr>
        <w:t>3-5</w:t>
      </w:r>
      <w:r>
        <w:rPr>
          <w:color w:val="000000"/>
          <w:sz w:val="24"/>
          <w:szCs w:val="24"/>
        </w:rPr>
        <w:t>年期国债指数证券投资基金基金合同》；</w:t>
      </w:r>
    </w:p>
    <w:p w:rsidR="00AF31FB" w:rsidRDefault="00D24F40">
      <w:pPr>
        <w:spacing w:line="360" w:lineRule="auto"/>
        <w:ind w:firstLineChars="200" w:firstLine="480"/>
        <w:rPr>
          <w:color w:val="000000"/>
          <w:sz w:val="24"/>
          <w:szCs w:val="24"/>
        </w:rPr>
      </w:pPr>
      <w:r>
        <w:rPr>
          <w:color w:val="000000"/>
          <w:sz w:val="24"/>
          <w:szCs w:val="24"/>
        </w:rPr>
        <w:t>3.</w:t>
      </w:r>
      <w:r>
        <w:rPr>
          <w:color w:val="000000"/>
          <w:sz w:val="24"/>
          <w:szCs w:val="24"/>
        </w:rPr>
        <w:t>《易方达中债</w:t>
      </w:r>
      <w:r>
        <w:rPr>
          <w:color w:val="000000"/>
          <w:sz w:val="24"/>
          <w:szCs w:val="24"/>
        </w:rPr>
        <w:t>3-5</w:t>
      </w:r>
      <w:r>
        <w:rPr>
          <w:color w:val="000000"/>
          <w:sz w:val="24"/>
          <w:szCs w:val="24"/>
        </w:rPr>
        <w:t>年期国债指数证券投资基金托管协议》；</w:t>
      </w:r>
    </w:p>
    <w:p w:rsidR="00AF31FB" w:rsidRDefault="00D24F40">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D24F40">
      <w:rPr>
        <w:rStyle w:val="a7"/>
        <w:noProof/>
      </w:rPr>
      <w:t>1</w:t>
    </w:r>
    <w:r>
      <w:rPr>
        <w:rStyle w:val="a7"/>
      </w:rPr>
      <w:fldChar w:fldCharType="end"/>
    </w:r>
    <w:r>
      <w:rPr>
        <w:rStyle w:val="a7"/>
        <w:rFonts w:hint="eastAsia"/>
      </w:rPr>
      <w:t>页共</w:t>
    </w:r>
    <w:r w:rsidR="00D24F40">
      <w:fldChar w:fldCharType="begin"/>
    </w:r>
    <w:r w:rsidR="00D24F40">
      <w:instrText xml:space="preserve"> NUMPAGES  \* Arabic  \* MERGEFORMAT </w:instrText>
    </w:r>
    <w:r w:rsidR="00D24F40">
      <w:fldChar w:fldCharType="separate"/>
    </w:r>
    <w:r w:rsidR="00D24F40" w:rsidRPr="00D24F40">
      <w:rPr>
        <w:rStyle w:val="a7"/>
        <w:noProof/>
      </w:rPr>
      <w:t>3</w:t>
    </w:r>
    <w:r w:rsidR="00D24F40">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D24F40">
      <w:rPr>
        <w:rStyle w:val="a7"/>
        <w:noProof/>
      </w:rPr>
      <w:t>13</w:t>
    </w:r>
    <w:r>
      <w:rPr>
        <w:rStyle w:val="a7"/>
      </w:rPr>
      <w:fldChar w:fldCharType="end"/>
    </w:r>
    <w:r>
      <w:rPr>
        <w:rStyle w:val="a7"/>
        <w:rFonts w:hint="eastAsia"/>
      </w:rPr>
      <w:t>页共</w:t>
    </w:r>
    <w:fldSimple w:instr=" NUMPAGES  \* Arabic  \* MERGEFORMAT ">
      <w:r w:rsidR="00D24F40" w:rsidRPr="00D24F40">
        <w:rPr>
          <w:rStyle w:val="a7"/>
          <w:noProof/>
        </w:rPr>
        <w:t>13</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易方达中债</w:t>
    </w:r>
    <w:r w:rsidRPr="00093704">
      <w:t>3-5</w:t>
    </w:r>
    <w:r w:rsidRPr="00093704">
      <w:t>年期国债指数证券投资基金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31FB"/>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4F40"/>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D4494-0E6B-495E-8164-6BFB68662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1057</Words>
  <Characters>6028</Characters>
  <Application>Microsoft Office Word</Application>
  <DocSecurity>0</DocSecurity>
  <Lines>50</Lines>
  <Paragraphs>14</Paragraphs>
  <ScaleCrop>false</ScaleCrop>
  <Company/>
  <LinksUpToDate>false</LinksUpToDate>
  <CharactersWithSpaces>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2019-10-16T13:54:00Z</cp:lastPrinted>
  <dcterms:created xsi:type="dcterms:W3CDTF">2012-10-16T06:07:00Z</dcterms:created>
  <dcterms:modified xsi:type="dcterms:W3CDTF">2019-10-16T13:54:00Z</dcterms:modified>
</cp:coreProperties>
</file>