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易方达瑞信灵活配置混合型证券投资基金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中信银行股份有限公司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8474CD" w:rsidRDefault="0098202E">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8474CD" w:rsidRDefault="0098202E">
      <w:pPr>
        <w:spacing w:line="360" w:lineRule="auto"/>
        <w:ind w:firstLineChars="200" w:firstLine="480"/>
        <w:rPr>
          <w:color w:val="000000"/>
          <w:sz w:val="24"/>
        </w:rPr>
      </w:pPr>
      <w:r>
        <w:rPr>
          <w:color w:val="000000"/>
          <w:sz w:val="24"/>
        </w:rPr>
        <w:t>基金托管人中信银行股份有限公司根据本基金合同规定，于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8474CD" w:rsidRDefault="0098202E">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8474CD" w:rsidRDefault="0098202E">
      <w:pPr>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8474CD" w:rsidRDefault="0098202E">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易方达瑞信混合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001441</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2018</w:t>
            </w:r>
            <w:r w:rsidRPr="00C30CFF">
              <w:rPr>
                <w:color w:val="000000"/>
                <w:kern w:val="0"/>
                <w:sz w:val="24"/>
              </w:rPr>
              <w:t>年</w:t>
            </w:r>
            <w:r w:rsidRPr="00C30CFF">
              <w:rPr>
                <w:color w:val="000000"/>
                <w:kern w:val="0"/>
                <w:sz w:val="24"/>
              </w:rPr>
              <w:t>1</w:t>
            </w:r>
            <w:r w:rsidRPr="00C30CFF">
              <w:rPr>
                <w:color w:val="000000"/>
                <w:kern w:val="0"/>
                <w:sz w:val="24"/>
              </w:rPr>
              <w:t>月</w:t>
            </w:r>
            <w:r w:rsidRPr="00C30CFF">
              <w:rPr>
                <w:color w:val="000000"/>
                <w:kern w:val="0"/>
                <w:sz w:val="24"/>
              </w:rPr>
              <w:t>30</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221,144,160.97</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基于定量与定性相结合的宏观及市场因素、估值及流动性因素、政策因素等分析，确定组合中股票、债券、货币市场工具等资产类别的配置比例。本基金在行业分析、公司基本面分析及估值水平分析的基础上，进行股票组合的构建。当行业、公司的基本面、股票的估值水平出现较大变化时，本基</w:t>
            </w:r>
            <w:r w:rsidRPr="00C30CFF">
              <w:rPr>
                <w:color w:val="000000"/>
                <w:kern w:val="0"/>
                <w:sz w:val="24"/>
              </w:rPr>
              <w:lastRenderedPageBreak/>
              <w:t>金将对股票组合适时进行动态调整。在债券投资方面，本基金将主要通过类属配置与券种选择两个层次进行投资管理。</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一年期人民币定期存款利率（税后）</w:t>
            </w:r>
            <w:r w:rsidRPr="00C30CFF">
              <w:rPr>
                <w:color w:val="000000"/>
                <w:kern w:val="0"/>
                <w:sz w:val="24"/>
              </w:rPr>
              <w:t>+2%</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中信银行股份有限公司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易方达瑞信混合</w:t>
            </w:r>
            <w:r w:rsidRPr="00C30CFF">
              <w:rPr>
                <w:sz w:val="24"/>
              </w:rPr>
              <w:t>I</w:t>
            </w:r>
          </w:p>
        </w:tc>
        <w:tc>
          <w:tcPr>
            <w:tcW w:w="2790" w:type="dxa"/>
            <w:vAlign w:val="center"/>
          </w:tcPr>
          <w:p w:rsidR="00F016DD" w:rsidRPr="00C30CFF" w:rsidRDefault="00F016DD" w:rsidP="00950413">
            <w:pPr>
              <w:jc w:val="left"/>
              <w:rPr>
                <w:sz w:val="24"/>
              </w:rPr>
            </w:pPr>
            <w:r w:rsidRPr="00C30CFF">
              <w:rPr>
                <w:sz w:val="24"/>
              </w:rPr>
              <w:t>易方达瑞信混合</w:t>
            </w:r>
            <w:r w:rsidRPr="00C30CFF">
              <w:rPr>
                <w:sz w:val="24"/>
              </w:rPr>
              <w:t>E</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001441</w:t>
            </w:r>
          </w:p>
        </w:tc>
        <w:tc>
          <w:tcPr>
            <w:tcW w:w="2790" w:type="dxa"/>
            <w:vAlign w:val="center"/>
          </w:tcPr>
          <w:p w:rsidR="00F016DD" w:rsidRPr="00C30CFF" w:rsidRDefault="00F016DD" w:rsidP="00950413">
            <w:pPr>
              <w:jc w:val="left"/>
              <w:rPr>
                <w:color w:val="000000"/>
                <w:sz w:val="24"/>
              </w:rPr>
            </w:pPr>
            <w:r w:rsidRPr="00C30CFF">
              <w:rPr>
                <w:color w:val="000000"/>
                <w:sz w:val="24"/>
              </w:rPr>
              <w:t>001442</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113,269,749.76</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107,874,411.21</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易方达瑞信混合</w:t>
            </w:r>
            <w:r w:rsidRPr="00FA472B">
              <w:rPr>
                <w:sz w:val="24"/>
              </w:rPr>
              <w:t>I</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易方达瑞信混合</w:t>
            </w:r>
            <w:r w:rsidRPr="00FA472B">
              <w:rPr>
                <w:sz w:val="24"/>
              </w:rPr>
              <w:t>E</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12,428,063.90</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1,544,793.13</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21,159,070.30</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4,972,886.93</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0.1374</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0.0932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123,903,773.65</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117,566,551.73</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1.094</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1.090</w:t>
            </w:r>
          </w:p>
        </w:tc>
      </w:tr>
    </w:tbl>
    <w:p w:rsidR="008474CD" w:rsidRDefault="0098202E">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w:t>
      </w:r>
      <w:r>
        <w:rPr>
          <w:color w:val="000000"/>
          <w:sz w:val="24"/>
        </w:rPr>
        <w:lastRenderedPageBreak/>
        <w:t>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易方达瑞信混合I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8474CD">
        <w:tc>
          <w:tcPr>
            <w:tcW w:w="1290" w:type="dxa"/>
            <w:vAlign w:val="center"/>
          </w:tcPr>
          <w:p w:rsidR="008474CD" w:rsidRDefault="0098202E">
            <w:pPr>
              <w:jc w:val="left"/>
            </w:pPr>
            <w:r>
              <w:rPr>
                <w:color w:val="000000"/>
                <w:sz w:val="24"/>
              </w:rPr>
              <w:t>过去三个月</w:t>
            </w:r>
          </w:p>
        </w:tc>
        <w:tc>
          <w:tcPr>
            <w:tcW w:w="1291" w:type="dxa"/>
            <w:vAlign w:val="center"/>
          </w:tcPr>
          <w:p w:rsidR="008474CD" w:rsidRDefault="0098202E">
            <w:pPr>
              <w:jc w:val="center"/>
            </w:pPr>
            <w:r>
              <w:rPr>
                <w:color w:val="000000"/>
                <w:sz w:val="24"/>
              </w:rPr>
              <w:t>13.02%</w:t>
            </w:r>
          </w:p>
        </w:tc>
        <w:tc>
          <w:tcPr>
            <w:tcW w:w="1291" w:type="dxa"/>
            <w:vAlign w:val="center"/>
          </w:tcPr>
          <w:p w:rsidR="008474CD" w:rsidRDefault="0098202E">
            <w:pPr>
              <w:jc w:val="center"/>
            </w:pPr>
            <w:r>
              <w:rPr>
                <w:color w:val="000000"/>
                <w:sz w:val="24"/>
              </w:rPr>
              <w:t>1.14%</w:t>
            </w:r>
          </w:p>
        </w:tc>
        <w:tc>
          <w:tcPr>
            <w:tcW w:w="1291" w:type="dxa"/>
            <w:vAlign w:val="center"/>
          </w:tcPr>
          <w:p w:rsidR="008474CD" w:rsidRDefault="0098202E">
            <w:pPr>
              <w:jc w:val="center"/>
            </w:pPr>
            <w:r>
              <w:rPr>
                <w:color w:val="000000"/>
                <w:sz w:val="24"/>
              </w:rPr>
              <w:t>0.89%</w:t>
            </w:r>
          </w:p>
        </w:tc>
        <w:tc>
          <w:tcPr>
            <w:tcW w:w="1291" w:type="dxa"/>
            <w:vAlign w:val="center"/>
          </w:tcPr>
          <w:p w:rsidR="008474CD" w:rsidRDefault="0098202E">
            <w:pPr>
              <w:jc w:val="center"/>
            </w:pPr>
            <w:r>
              <w:rPr>
                <w:color w:val="000000"/>
                <w:sz w:val="24"/>
              </w:rPr>
              <w:t>0.01%</w:t>
            </w:r>
          </w:p>
        </w:tc>
        <w:tc>
          <w:tcPr>
            <w:tcW w:w="1291" w:type="dxa"/>
            <w:vAlign w:val="center"/>
          </w:tcPr>
          <w:p w:rsidR="008474CD" w:rsidRDefault="0098202E">
            <w:pPr>
              <w:jc w:val="center"/>
            </w:pPr>
            <w:r>
              <w:rPr>
                <w:color w:val="000000"/>
                <w:sz w:val="24"/>
              </w:rPr>
              <w:t>12.13%</w:t>
            </w:r>
          </w:p>
        </w:tc>
        <w:tc>
          <w:tcPr>
            <w:tcW w:w="1291" w:type="dxa"/>
            <w:vAlign w:val="center"/>
          </w:tcPr>
          <w:p w:rsidR="008474CD" w:rsidRDefault="0098202E">
            <w:pPr>
              <w:jc w:val="center"/>
            </w:pPr>
            <w:r>
              <w:rPr>
                <w:color w:val="000000"/>
                <w:sz w:val="24"/>
              </w:rPr>
              <w:t>1.13%</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易方达瑞信混合E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8474CD">
        <w:tc>
          <w:tcPr>
            <w:tcW w:w="1290" w:type="dxa"/>
            <w:vAlign w:val="center"/>
          </w:tcPr>
          <w:p w:rsidR="008474CD" w:rsidRDefault="0098202E">
            <w:pPr>
              <w:jc w:val="left"/>
            </w:pPr>
            <w:r>
              <w:rPr>
                <w:color w:val="000000"/>
                <w:sz w:val="24"/>
              </w:rPr>
              <w:t>过去三个月</w:t>
            </w:r>
          </w:p>
        </w:tc>
        <w:tc>
          <w:tcPr>
            <w:tcW w:w="1291" w:type="dxa"/>
            <w:vAlign w:val="center"/>
          </w:tcPr>
          <w:p w:rsidR="008474CD" w:rsidRDefault="0098202E">
            <w:pPr>
              <w:jc w:val="center"/>
            </w:pPr>
            <w:r>
              <w:rPr>
                <w:color w:val="000000"/>
                <w:sz w:val="24"/>
              </w:rPr>
              <w:t>12.95%</w:t>
            </w:r>
          </w:p>
        </w:tc>
        <w:tc>
          <w:tcPr>
            <w:tcW w:w="1291" w:type="dxa"/>
            <w:vAlign w:val="center"/>
          </w:tcPr>
          <w:p w:rsidR="008474CD" w:rsidRDefault="0098202E">
            <w:pPr>
              <w:jc w:val="center"/>
            </w:pPr>
            <w:r>
              <w:rPr>
                <w:color w:val="000000"/>
                <w:sz w:val="24"/>
              </w:rPr>
              <w:t>1.13%</w:t>
            </w:r>
          </w:p>
        </w:tc>
        <w:tc>
          <w:tcPr>
            <w:tcW w:w="1291" w:type="dxa"/>
            <w:vAlign w:val="center"/>
          </w:tcPr>
          <w:p w:rsidR="008474CD" w:rsidRDefault="0098202E">
            <w:pPr>
              <w:jc w:val="center"/>
            </w:pPr>
            <w:r>
              <w:rPr>
                <w:color w:val="000000"/>
                <w:sz w:val="24"/>
              </w:rPr>
              <w:t>0.89%</w:t>
            </w:r>
          </w:p>
        </w:tc>
        <w:tc>
          <w:tcPr>
            <w:tcW w:w="1291" w:type="dxa"/>
            <w:vAlign w:val="center"/>
          </w:tcPr>
          <w:p w:rsidR="008474CD" w:rsidRDefault="0098202E">
            <w:pPr>
              <w:jc w:val="center"/>
            </w:pPr>
            <w:r>
              <w:rPr>
                <w:color w:val="000000"/>
                <w:sz w:val="24"/>
              </w:rPr>
              <w:t>0.01%</w:t>
            </w:r>
          </w:p>
        </w:tc>
        <w:tc>
          <w:tcPr>
            <w:tcW w:w="1291" w:type="dxa"/>
            <w:vAlign w:val="center"/>
          </w:tcPr>
          <w:p w:rsidR="008474CD" w:rsidRDefault="0098202E">
            <w:pPr>
              <w:jc w:val="center"/>
            </w:pPr>
            <w:r>
              <w:rPr>
                <w:color w:val="000000"/>
                <w:sz w:val="24"/>
              </w:rPr>
              <w:t>12.06%</w:t>
            </w:r>
          </w:p>
        </w:tc>
        <w:tc>
          <w:tcPr>
            <w:tcW w:w="1291" w:type="dxa"/>
            <w:vAlign w:val="center"/>
          </w:tcPr>
          <w:p w:rsidR="008474CD" w:rsidRDefault="0098202E">
            <w:pPr>
              <w:jc w:val="center"/>
            </w:pPr>
            <w:r>
              <w:rPr>
                <w:color w:val="000000"/>
                <w:sz w:val="24"/>
              </w:rPr>
              <w:t>1.12%</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易方达瑞信灵活配置混合型证券投资基金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(2018</w:t>
      </w:r>
      <w:r w:rsidRPr="00FA472B">
        <w:rPr>
          <w:rFonts w:ascii="Times New Roman" w:hAnsi="Times New Roman"/>
          <w:sz w:val="24"/>
          <w:szCs w:val="24"/>
        </w:rPr>
        <w:t>年</w:t>
      </w:r>
      <w:r w:rsidRPr="00FA472B">
        <w:rPr>
          <w:rFonts w:ascii="Times New Roman" w:hAnsi="Times New Roman"/>
          <w:sz w:val="24"/>
          <w:szCs w:val="24"/>
        </w:rPr>
        <w:t>1</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易方达瑞信混合</w:t>
      </w:r>
      <w:r w:rsidRPr="00611CB2">
        <w:rPr>
          <w:color w:val="000000"/>
          <w:sz w:val="24"/>
        </w:rPr>
        <w:t>I</w:t>
      </w:r>
    </w:p>
    <w:p w:rsidR="00F016DD" w:rsidRPr="0078105B" w:rsidRDefault="0098202E"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易方达瑞信混合</w:t>
      </w:r>
      <w:r w:rsidRPr="00611CB2">
        <w:rPr>
          <w:color w:val="000000"/>
          <w:sz w:val="24"/>
        </w:rPr>
        <w:t>E</w:t>
      </w:r>
    </w:p>
    <w:p w:rsidR="00F016DD" w:rsidRPr="0078105B" w:rsidRDefault="0098202E"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I</w:t>
      </w:r>
      <w:r w:rsidRPr="00DF18FE">
        <w:rPr>
          <w:color w:val="000000"/>
          <w:sz w:val="24"/>
        </w:rPr>
        <w:t>类基金份额净值增长率为</w:t>
      </w:r>
      <w:r w:rsidRPr="00DF18FE">
        <w:rPr>
          <w:color w:val="000000"/>
          <w:sz w:val="24"/>
        </w:rPr>
        <w:t>9.40%</w:t>
      </w:r>
      <w:r w:rsidRPr="00DF18FE">
        <w:rPr>
          <w:color w:val="000000"/>
          <w:sz w:val="24"/>
        </w:rPr>
        <w:t>，</w:t>
      </w:r>
      <w:r w:rsidRPr="00DF18FE">
        <w:rPr>
          <w:color w:val="000000"/>
          <w:sz w:val="24"/>
        </w:rPr>
        <w:t>E</w:t>
      </w:r>
      <w:r w:rsidRPr="00DF18FE">
        <w:rPr>
          <w:color w:val="000000"/>
          <w:sz w:val="24"/>
        </w:rPr>
        <w:t>类基金份额净值增长率为</w:t>
      </w:r>
      <w:r w:rsidRPr="00DF18FE">
        <w:rPr>
          <w:color w:val="000000"/>
          <w:sz w:val="24"/>
        </w:rPr>
        <w:t>9.00%</w:t>
      </w:r>
      <w:r w:rsidRPr="00DF18FE">
        <w:rPr>
          <w:color w:val="000000"/>
          <w:sz w:val="24"/>
        </w:rPr>
        <w:t>，同期业绩比较基准收益率为</w:t>
      </w:r>
      <w:r w:rsidRPr="00DF18FE">
        <w:rPr>
          <w:color w:val="000000"/>
          <w:sz w:val="24"/>
        </w:rPr>
        <w:t>5.92%</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8474CD">
        <w:tc>
          <w:tcPr>
            <w:tcW w:w="567" w:type="dxa"/>
            <w:vAlign w:val="center"/>
          </w:tcPr>
          <w:p w:rsidR="008474CD" w:rsidRDefault="0098202E">
            <w:pPr>
              <w:jc w:val="center"/>
            </w:pPr>
            <w:r>
              <w:rPr>
                <w:color w:val="000000"/>
                <w:sz w:val="24"/>
              </w:rPr>
              <w:t>张清华</w:t>
            </w:r>
          </w:p>
        </w:tc>
        <w:tc>
          <w:tcPr>
            <w:tcW w:w="2835" w:type="dxa"/>
            <w:vAlign w:val="center"/>
          </w:tcPr>
          <w:p w:rsidR="008474CD" w:rsidRDefault="0098202E">
            <w:pPr>
              <w:jc w:val="center"/>
            </w:pPr>
            <w:r>
              <w:rPr>
                <w:color w:val="000000"/>
                <w:sz w:val="24"/>
              </w:rPr>
              <w:t>本基金的基金经理、易方达鑫转招利混合型证券投资基金的基金经理、易方达鑫转增利混合型证券投资基金的基金经理、易方达鑫转添利混合型证券投资基金的基金经理、易方达裕鑫债券型证券投资基金的基金经理（自</w:t>
            </w:r>
            <w:r>
              <w:rPr>
                <w:color w:val="000000"/>
                <w:sz w:val="24"/>
              </w:rPr>
              <w:t>2016</w:t>
            </w:r>
            <w:r>
              <w:rPr>
                <w:color w:val="000000"/>
                <w:sz w:val="24"/>
              </w:rPr>
              <w:t>年</w:t>
            </w:r>
            <w:r>
              <w:rPr>
                <w:color w:val="000000"/>
                <w:sz w:val="24"/>
              </w:rPr>
              <w:t>09</w:t>
            </w:r>
            <w:r>
              <w:rPr>
                <w:color w:val="000000"/>
                <w:sz w:val="24"/>
              </w:rPr>
              <w:t>月</w:t>
            </w:r>
            <w:r>
              <w:rPr>
                <w:color w:val="000000"/>
                <w:sz w:val="24"/>
              </w:rPr>
              <w:t>05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裕祥回报债券型证券投资基金的基金经理、易方达裕丰回报债券型证券投资基金的基金经理、易方达新收益灵活配置混合型证券投资基金的基金经理、易方达瑞和灵活配置混合型证券投资基金的基金经理、易方达丰华债券型证券投资基金的基金经理、易方达丰和债券型证券投资基金的基金经理、易方</w:t>
            </w:r>
            <w:r>
              <w:rPr>
                <w:color w:val="000000"/>
                <w:sz w:val="24"/>
              </w:rPr>
              <w:t>达安盈回报混合型证券投资基金的基金经理、易方达安心回馈混合型证券投资基金的基金经理、易方达安心回报债券型证券投资基金的基金经理、混合资产投资部总经理</w:t>
            </w:r>
          </w:p>
        </w:tc>
        <w:tc>
          <w:tcPr>
            <w:tcW w:w="851" w:type="dxa"/>
            <w:vAlign w:val="center"/>
          </w:tcPr>
          <w:p w:rsidR="008474CD" w:rsidRDefault="0098202E">
            <w:pPr>
              <w:jc w:val="center"/>
            </w:pPr>
            <w:r>
              <w:rPr>
                <w:color w:val="000000"/>
                <w:sz w:val="24"/>
              </w:rPr>
              <w:t>2018-01-30</w:t>
            </w:r>
          </w:p>
        </w:tc>
        <w:tc>
          <w:tcPr>
            <w:tcW w:w="850" w:type="dxa"/>
            <w:vAlign w:val="center"/>
          </w:tcPr>
          <w:p w:rsidR="008474CD" w:rsidRDefault="0098202E">
            <w:pPr>
              <w:jc w:val="center"/>
            </w:pPr>
            <w:r>
              <w:rPr>
                <w:color w:val="000000"/>
                <w:sz w:val="24"/>
              </w:rPr>
              <w:t>-</w:t>
            </w:r>
          </w:p>
        </w:tc>
        <w:tc>
          <w:tcPr>
            <w:tcW w:w="851" w:type="dxa"/>
            <w:vAlign w:val="center"/>
          </w:tcPr>
          <w:p w:rsidR="008474CD" w:rsidRDefault="0098202E">
            <w:pPr>
              <w:jc w:val="center"/>
            </w:pPr>
            <w:r>
              <w:rPr>
                <w:color w:val="000000"/>
                <w:sz w:val="24"/>
              </w:rPr>
              <w:t>12</w:t>
            </w:r>
            <w:r>
              <w:rPr>
                <w:color w:val="000000"/>
                <w:sz w:val="24"/>
              </w:rPr>
              <w:t>年</w:t>
            </w:r>
          </w:p>
        </w:tc>
        <w:tc>
          <w:tcPr>
            <w:tcW w:w="2977" w:type="dxa"/>
            <w:vAlign w:val="center"/>
          </w:tcPr>
          <w:p w:rsidR="008474CD" w:rsidRDefault="0098202E">
            <w:r>
              <w:rPr>
                <w:color w:val="000000"/>
                <w:sz w:val="24"/>
              </w:rPr>
              <w:t>硕士研究生，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理、易方</w:t>
            </w:r>
            <w:r>
              <w:rPr>
                <w:color w:val="000000"/>
                <w:sz w:val="24"/>
              </w:rPr>
              <w:t>达新享灵活配置混合型证券投资基金基金经理、易方达瑞景灵活配置混合型证券投资基金基金经理、易方达瑞选灵活配置混合型证券投资基金基金经理、易方达瑞通灵活配置混合型证券投资基金基金经理、易方达瑞弘灵活配置混合型证券投资基金基金经理、易方达瑞程灵活配置混合型证券投资基金基金经理。</w:t>
            </w:r>
          </w:p>
        </w:tc>
      </w:tr>
    </w:tbl>
    <w:p w:rsidR="008474CD" w:rsidRDefault="0098202E">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8474CD" w:rsidRDefault="0098202E">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8474CD" w:rsidRDefault="0098202E">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型走势，经济、通胀和政策预期变化等是核心驱动因素。</w:t>
      </w:r>
      <w:r>
        <w:rPr>
          <w:color w:val="000000"/>
          <w:sz w:val="24"/>
        </w:rPr>
        <w:t>7</w:t>
      </w:r>
      <w:r>
        <w:rPr>
          <w:color w:val="000000"/>
          <w:sz w:val="24"/>
        </w:rPr>
        <w:t>月以来，在制造业</w:t>
      </w:r>
      <w:r>
        <w:rPr>
          <w:color w:val="000000"/>
          <w:sz w:val="24"/>
        </w:rPr>
        <w:t>PMI</w:t>
      </w:r>
      <w:r>
        <w:rPr>
          <w:color w:val="000000"/>
          <w:sz w:val="24"/>
        </w:rPr>
        <w:t>持续低迷、降准降息预期等影响下，长端收益率震荡下行。随后，政治局会议对经济、政策的表态，及中美贸易摩擦升级、人民币汇率</w:t>
      </w:r>
      <w:r>
        <w:rPr>
          <w:color w:val="000000"/>
          <w:sz w:val="24"/>
        </w:rPr>
        <w:t>快速贬值等，推动长端收益率突破年内低点；</w:t>
      </w:r>
      <w:r>
        <w:rPr>
          <w:color w:val="000000"/>
          <w:sz w:val="24"/>
        </w:rPr>
        <w:t>8</w:t>
      </w:r>
      <w:r>
        <w:rPr>
          <w:color w:val="000000"/>
          <w:sz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，收益率整体仍是以下行为主。信用债则主要跟随利率债走势，收益率总体来看也是下行，中票收益率下行幅度大于城投债，信用利差多数呈收窄趋势。</w:t>
      </w:r>
    </w:p>
    <w:p w:rsidR="008474CD" w:rsidRDefault="0098202E">
      <w:pPr>
        <w:spacing w:line="360" w:lineRule="auto"/>
        <w:ind w:firstLineChars="200" w:firstLine="480"/>
        <w:rPr>
          <w:color w:val="000000"/>
          <w:sz w:val="24"/>
        </w:rPr>
      </w:pPr>
      <w:r>
        <w:rPr>
          <w:color w:val="000000"/>
          <w:sz w:val="24"/>
        </w:rPr>
        <w:lastRenderedPageBreak/>
        <w:t>权益市场方面，受到中报相对景气、政策变化和贸易摩擦等方面的影响，三季度权益市场出现一定程度的风格</w:t>
      </w:r>
      <w:r>
        <w:rPr>
          <w:color w:val="000000"/>
          <w:sz w:val="24"/>
        </w:rPr>
        <w:t>切换。上证综指经历了</w:t>
      </w:r>
      <w:r>
        <w:rPr>
          <w:color w:val="000000"/>
          <w:sz w:val="24"/>
        </w:rPr>
        <w:t>“V”</w:t>
      </w:r>
      <w:r>
        <w:rPr>
          <w:color w:val="000000"/>
          <w:sz w:val="24"/>
        </w:rPr>
        <w:t>型行情，而创业板则几乎是一路上涨。在华为半导体供应链国产化、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月市场受到科创板开板和中美贸易谈判的催化，科技板块开启显著较好的表现，而大消费类中报业绩较好的白酒、医药等板块也继续表现领先。与此同时，政治局会议表态经济增长低于预期、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w:t>
      </w:r>
      <w:r>
        <w:rPr>
          <w:color w:val="000000"/>
          <w:sz w:val="24"/>
        </w:rPr>
        <w:t>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肉价格上行提升了市场对于滞胀的担忧，对基本面及流动性的预期也受到压制，情绪和风险偏好有所趋弱，市场出现调整。虽然这一阶段低估值且业绩稳健的大金融板块表现出一定的抗跌性，但节前上证指数仍逐渐下跌退回到</w:t>
      </w:r>
      <w:r>
        <w:rPr>
          <w:color w:val="000000"/>
          <w:sz w:val="24"/>
        </w:rPr>
        <w:t>2900</w:t>
      </w:r>
      <w:r>
        <w:rPr>
          <w:color w:val="000000"/>
          <w:sz w:val="24"/>
        </w:rPr>
        <w:t>的位置。</w:t>
      </w:r>
    </w:p>
    <w:p w:rsidR="00F016DD" w:rsidRPr="00DF18FE" w:rsidRDefault="00F016DD" w:rsidP="00DF18FE">
      <w:pPr>
        <w:spacing w:line="360" w:lineRule="auto"/>
        <w:ind w:firstLineChars="200" w:firstLine="480"/>
        <w:rPr>
          <w:color w:val="000000"/>
          <w:sz w:val="24"/>
        </w:rPr>
      </w:pPr>
      <w:r w:rsidRPr="00DF18FE">
        <w:rPr>
          <w:color w:val="000000"/>
          <w:sz w:val="24"/>
        </w:rPr>
        <w:t>操作上，三季度组合整体主要增加权益敞口、提升组合弹性。权益方面，股票仓位水平进一步提升，持仓仍以白马蓝筹为主，增配行业以电子、电气设备为主，同时积极参与科创版打新；权益部分整体为组合带来较好正贡献。债券方面，组合降低仓位水平，以保持流动性为主。</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I</w:t>
      </w:r>
      <w:r w:rsidRPr="00DF18FE">
        <w:rPr>
          <w:color w:val="000000"/>
          <w:sz w:val="24"/>
        </w:rPr>
        <w:t>类基金份额净值为</w:t>
      </w:r>
      <w:r w:rsidRPr="00DF18FE">
        <w:rPr>
          <w:color w:val="000000"/>
          <w:sz w:val="24"/>
        </w:rPr>
        <w:t>1.094</w:t>
      </w:r>
      <w:r w:rsidRPr="00DF18FE">
        <w:rPr>
          <w:color w:val="000000"/>
          <w:sz w:val="24"/>
        </w:rPr>
        <w:t>元，本报告期份额净值增长率为</w:t>
      </w:r>
      <w:r w:rsidRPr="00DF18FE">
        <w:rPr>
          <w:color w:val="000000"/>
          <w:sz w:val="24"/>
        </w:rPr>
        <w:t>13.02%</w:t>
      </w:r>
      <w:r w:rsidRPr="00DF18FE">
        <w:rPr>
          <w:color w:val="000000"/>
          <w:sz w:val="24"/>
        </w:rPr>
        <w:t>；</w:t>
      </w:r>
      <w:r w:rsidRPr="00DF18FE">
        <w:rPr>
          <w:color w:val="000000"/>
          <w:sz w:val="24"/>
        </w:rPr>
        <w:t>E</w:t>
      </w:r>
      <w:r w:rsidRPr="00DF18FE">
        <w:rPr>
          <w:color w:val="000000"/>
          <w:sz w:val="24"/>
        </w:rPr>
        <w:t>类基金份额净值为</w:t>
      </w:r>
      <w:r w:rsidRPr="00DF18FE">
        <w:rPr>
          <w:color w:val="000000"/>
          <w:sz w:val="24"/>
        </w:rPr>
        <w:t>1.090</w:t>
      </w:r>
      <w:r w:rsidRPr="00DF18FE">
        <w:rPr>
          <w:color w:val="000000"/>
          <w:sz w:val="24"/>
        </w:rPr>
        <w:t>元，本报告期份额净值增长率为</w:t>
      </w:r>
      <w:r w:rsidRPr="00DF18FE">
        <w:rPr>
          <w:color w:val="000000"/>
          <w:sz w:val="24"/>
        </w:rPr>
        <w:t>12.95%</w:t>
      </w:r>
      <w:r w:rsidRPr="00DF18FE">
        <w:rPr>
          <w:color w:val="000000"/>
          <w:sz w:val="24"/>
        </w:rPr>
        <w:t>；同期业绩比较基准收益率为</w:t>
      </w:r>
      <w:r w:rsidRPr="00DF18FE">
        <w:rPr>
          <w:color w:val="000000"/>
          <w:sz w:val="24"/>
        </w:rPr>
        <w:t>0.89%</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209,454,450.19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85.48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209,454,450.19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85.48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lastRenderedPageBreak/>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21,254,269.25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8.67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21,254,269.25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8.67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7,000,000.00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2.86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6,666,836.09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2.72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648,719.63</w:t>
            </w:r>
          </w:p>
        </w:tc>
        <w:tc>
          <w:tcPr>
            <w:tcW w:w="1843" w:type="dxa"/>
            <w:vAlign w:val="center"/>
          </w:tcPr>
          <w:p w:rsidR="00F016DD" w:rsidRPr="00FA472B" w:rsidRDefault="00F016DD" w:rsidP="00F4518C">
            <w:pPr>
              <w:jc w:val="right"/>
              <w:rPr>
                <w:color w:val="000000"/>
                <w:sz w:val="24"/>
              </w:rPr>
            </w:pPr>
            <w:r w:rsidRPr="00FA472B">
              <w:rPr>
                <w:color w:val="000000"/>
                <w:sz w:val="24"/>
              </w:rPr>
              <w:t>0.26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245,024,275.16</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167,863,596.51</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69.52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2,139,240.40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0.89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18,112,246.00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7.50</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1,132,539.08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0.47</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9,020,794.20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3.74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11,186,034.00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4.63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209,454,450.19</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86.74</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8474CD">
        <w:tc>
          <w:tcPr>
            <w:tcW w:w="817" w:type="dxa"/>
            <w:vAlign w:val="center"/>
          </w:tcPr>
          <w:p w:rsidR="008474CD" w:rsidRDefault="0098202E">
            <w:pPr>
              <w:jc w:val="center"/>
            </w:pPr>
            <w:r>
              <w:rPr>
                <w:color w:val="000000"/>
                <w:sz w:val="24"/>
              </w:rPr>
              <w:t>1</w:t>
            </w:r>
          </w:p>
        </w:tc>
        <w:tc>
          <w:tcPr>
            <w:tcW w:w="1276" w:type="dxa"/>
            <w:vAlign w:val="center"/>
          </w:tcPr>
          <w:p w:rsidR="008474CD" w:rsidRDefault="0098202E">
            <w:pPr>
              <w:jc w:val="center"/>
            </w:pPr>
            <w:r>
              <w:rPr>
                <w:color w:val="000000"/>
                <w:sz w:val="24"/>
              </w:rPr>
              <w:t>000333</w:t>
            </w:r>
          </w:p>
        </w:tc>
        <w:tc>
          <w:tcPr>
            <w:tcW w:w="1417" w:type="dxa"/>
            <w:vAlign w:val="center"/>
          </w:tcPr>
          <w:p w:rsidR="008474CD" w:rsidRDefault="0098202E">
            <w:pPr>
              <w:jc w:val="center"/>
            </w:pPr>
            <w:r>
              <w:rPr>
                <w:color w:val="000000"/>
                <w:sz w:val="24"/>
              </w:rPr>
              <w:t>美的集团</w:t>
            </w:r>
          </w:p>
        </w:tc>
        <w:tc>
          <w:tcPr>
            <w:tcW w:w="1560" w:type="dxa"/>
            <w:vAlign w:val="center"/>
          </w:tcPr>
          <w:p w:rsidR="008474CD" w:rsidRDefault="0098202E">
            <w:pPr>
              <w:jc w:val="right"/>
            </w:pPr>
            <w:r>
              <w:rPr>
                <w:color w:val="000000"/>
                <w:sz w:val="24"/>
              </w:rPr>
              <w:t>347,500</w:t>
            </w:r>
          </w:p>
        </w:tc>
        <w:tc>
          <w:tcPr>
            <w:tcW w:w="2268" w:type="dxa"/>
            <w:vAlign w:val="center"/>
          </w:tcPr>
          <w:p w:rsidR="008474CD" w:rsidRDefault="0098202E">
            <w:pPr>
              <w:jc w:val="right"/>
            </w:pPr>
            <w:r>
              <w:rPr>
                <w:color w:val="000000"/>
                <w:sz w:val="24"/>
              </w:rPr>
              <w:t>17,757,250.00</w:t>
            </w:r>
          </w:p>
        </w:tc>
        <w:tc>
          <w:tcPr>
            <w:tcW w:w="1559" w:type="dxa"/>
            <w:vAlign w:val="center"/>
          </w:tcPr>
          <w:p w:rsidR="008474CD" w:rsidRDefault="0098202E">
            <w:pPr>
              <w:jc w:val="right"/>
            </w:pPr>
            <w:r>
              <w:rPr>
                <w:color w:val="000000"/>
                <w:sz w:val="24"/>
              </w:rPr>
              <w:t>7.35</w:t>
            </w:r>
          </w:p>
        </w:tc>
      </w:tr>
      <w:tr w:rsidR="008474CD">
        <w:tc>
          <w:tcPr>
            <w:tcW w:w="817" w:type="dxa"/>
            <w:vAlign w:val="center"/>
          </w:tcPr>
          <w:p w:rsidR="008474CD" w:rsidRDefault="0098202E">
            <w:pPr>
              <w:jc w:val="center"/>
            </w:pPr>
            <w:r>
              <w:rPr>
                <w:color w:val="000000"/>
                <w:sz w:val="24"/>
              </w:rPr>
              <w:t>2</w:t>
            </w:r>
          </w:p>
        </w:tc>
        <w:tc>
          <w:tcPr>
            <w:tcW w:w="1276" w:type="dxa"/>
            <w:vAlign w:val="center"/>
          </w:tcPr>
          <w:p w:rsidR="008474CD" w:rsidRDefault="0098202E">
            <w:pPr>
              <w:jc w:val="center"/>
            </w:pPr>
            <w:r>
              <w:rPr>
                <w:color w:val="000000"/>
                <w:sz w:val="24"/>
              </w:rPr>
              <w:t>000651</w:t>
            </w:r>
          </w:p>
        </w:tc>
        <w:tc>
          <w:tcPr>
            <w:tcW w:w="1417" w:type="dxa"/>
            <w:vAlign w:val="center"/>
          </w:tcPr>
          <w:p w:rsidR="008474CD" w:rsidRDefault="0098202E">
            <w:pPr>
              <w:jc w:val="center"/>
            </w:pPr>
            <w:r>
              <w:rPr>
                <w:color w:val="000000"/>
                <w:sz w:val="24"/>
              </w:rPr>
              <w:t>格力电器</w:t>
            </w:r>
          </w:p>
        </w:tc>
        <w:tc>
          <w:tcPr>
            <w:tcW w:w="1560" w:type="dxa"/>
            <w:vAlign w:val="center"/>
          </w:tcPr>
          <w:p w:rsidR="008474CD" w:rsidRDefault="0098202E">
            <w:pPr>
              <w:jc w:val="right"/>
            </w:pPr>
            <w:r>
              <w:rPr>
                <w:color w:val="000000"/>
                <w:sz w:val="24"/>
              </w:rPr>
              <w:t>299,844</w:t>
            </w:r>
          </w:p>
        </w:tc>
        <w:tc>
          <w:tcPr>
            <w:tcW w:w="2268" w:type="dxa"/>
            <w:vAlign w:val="center"/>
          </w:tcPr>
          <w:p w:rsidR="008474CD" w:rsidRDefault="0098202E">
            <w:pPr>
              <w:jc w:val="right"/>
            </w:pPr>
            <w:r>
              <w:rPr>
                <w:color w:val="000000"/>
                <w:sz w:val="24"/>
              </w:rPr>
              <w:t>17,181,061.20</w:t>
            </w:r>
          </w:p>
        </w:tc>
        <w:tc>
          <w:tcPr>
            <w:tcW w:w="1559" w:type="dxa"/>
            <w:vAlign w:val="center"/>
          </w:tcPr>
          <w:p w:rsidR="008474CD" w:rsidRDefault="0098202E">
            <w:pPr>
              <w:jc w:val="right"/>
            </w:pPr>
            <w:r>
              <w:rPr>
                <w:color w:val="000000"/>
                <w:sz w:val="24"/>
              </w:rPr>
              <w:t>7.12</w:t>
            </w:r>
          </w:p>
        </w:tc>
      </w:tr>
      <w:tr w:rsidR="008474CD">
        <w:tc>
          <w:tcPr>
            <w:tcW w:w="817" w:type="dxa"/>
            <w:vAlign w:val="center"/>
          </w:tcPr>
          <w:p w:rsidR="008474CD" w:rsidRDefault="0098202E">
            <w:pPr>
              <w:jc w:val="center"/>
            </w:pPr>
            <w:r>
              <w:rPr>
                <w:color w:val="000000"/>
                <w:sz w:val="24"/>
              </w:rPr>
              <w:t>3</w:t>
            </w:r>
          </w:p>
        </w:tc>
        <w:tc>
          <w:tcPr>
            <w:tcW w:w="1276" w:type="dxa"/>
            <w:vAlign w:val="center"/>
          </w:tcPr>
          <w:p w:rsidR="008474CD" w:rsidRDefault="0098202E">
            <w:pPr>
              <w:jc w:val="center"/>
            </w:pPr>
            <w:r>
              <w:rPr>
                <w:color w:val="000000"/>
                <w:sz w:val="24"/>
              </w:rPr>
              <w:t>601012</w:t>
            </w:r>
          </w:p>
        </w:tc>
        <w:tc>
          <w:tcPr>
            <w:tcW w:w="1417" w:type="dxa"/>
            <w:vAlign w:val="center"/>
          </w:tcPr>
          <w:p w:rsidR="008474CD" w:rsidRDefault="0098202E">
            <w:pPr>
              <w:jc w:val="center"/>
            </w:pPr>
            <w:r>
              <w:rPr>
                <w:color w:val="000000"/>
                <w:sz w:val="24"/>
              </w:rPr>
              <w:t>隆基股份</w:t>
            </w:r>
          </w:p>
        </w:tc>
        <w:tc>
          <w:tcPr>
            <w:tcW w:w="1560" w:type="dxa"/>
            <w:vAlign w:val="center"/>
          </w:tcPr>
          <w:p w:rsidR="008474CD" w:rsidRDefault="0098202E">
            <w:pPr>
              <w:jc w:val="right"/>
            </w:pPr>
            <w:r>
              <w:rPr>
                <w:color w:val="000000"/>
                <w:sz w:val="24"/>
              </w:rPr>
              <w:t>495,284</w:t>
            </w:r>
          </w:p>
        </w:tc>
        <w:tc>
          <w:tcPr>
            <w:tcW w:w="2268" w:type="dxa"/>
            <w:vAlign w:val="center"/>
          </w:tcPr>
          <w:p w:rsidR="008474CD" w:rsidRDefault="0098202E">
            <w:pPr>
              <w:jc w:val="right"/>
            </w:pPr>
            <w:r>
              <w:rPr>
                <w:color w:val="000000"/>
                <w:sz w:val="24"/>
              </w:rPr>
              <w:t>12,991,299.32</w:t>
            </w:r>
          </w:p>
        </w:tc>
        <w:tc>
          <w:tcPr>
            <w:tcW w:w="1559" w:type="dxa"/>
            <w:vAlign w:val="center"/>
          </w:tcPr>
          <w:p w:rsidR="008474CD" w:rsidRDefault="0098202E">
            <w:pPr>
              <w:jc w:val="right"/>
            </w:pPr>
            <w:r>
              <w:rPr>
                <w:color w:val="000000"/>
                <w:sz w:val="24"/>
              </w:rPr>
              <w:t>5.38</w:t>
            </w:r>
          </w:p>
        </w:tc>
      </w:tr>
      <w:tr w:rsidR="008474CD">
        <w:tc>
          <w:tcPr>
            <w:tcW w:w="817" w:type="dxa"/>
            <w:vAlign w:val="center"/>
          </w:tcPr>
          <w:p w:rsidR="008474CD" w:rsidRDefault="0098202E">
            <w:pPr>
              <w:jc w:val="center"/>
            </w:pPr>
            <w:r>
              <w:rPr>
                <w:color w:val="000000"/>
                <w:sz w:val="24"/>
              </w:rPr>
              <w:t>4</w:t>
            </w:r>
          </w:p>
        </w:tc>
        <w:tc>
          <w:tcPr>
            <w:tcW w:w="1276" w:type="dxa"/>
            <w:vAlign w:val="center"/>
          </w:tcPr>
          <w:p w:rsidR="008474CD" w:rsidRDefault="0098202E">
            <w:pPr>
              <w:jc w:val="center"/>
            </w:pPr>
            <w:r>
              <w:rPr>
                <w:color w:val="000000"/>
                <w:sz w:val="24"/>
              </w:rPr>
              <w:t>600004</w:t>
            </w:r>
          </w:p>
        </w:tc>
        <w:tc>
          <w:tcPr>
            <w:tcW w:w="1417" w:type="dxa"/>
            <w:vAlign w:val="center"/>
          </w:tcPr>
          <w:p w:rsidR="008474CD" w:rsidRDefault="0098202E">
            <w:pPr>
              <w:jc w:val="center"/>
            </w:pPr>
            <w:r>
              <w:rPr>
                <w:color w:val="000000"/>
                <w:sz w:val="24"/>
              </w:rPr>
              <w:t>白云机场</w:t>
            </w:r>
          </w:p>
        </w:tc>
        <w:tc>
          <w:tcPr>
            <w:tcW w:w="1560" w:type="dxa"/>
            <w:vAlign w:val="center"/>
          </w:tcPr>
          <w:p w:rsidR="008474CD" w:rsidRDefault="0098202E">
            <w:pPr>
              <w:jc w:val="right"/>
            </w:pPr>
            <w:r>
              <w:rPr>
                <w:color w:val="000000"/>
                <w:sz w:val="24"/>
              </w:rPr>
              <w:t>520,000</w:t>
            </w:r>
          </w:p>
        </w:tc>
        <w:tc>
          <w:tcPr>
            <w:tcW w:w="2268" w:type="dxa"/>
            <w:vAlign w:val="center"/>
          </w:tcPr>
          <w:p w:rsidR="008474CD" w:rsidRDefault="0098202E">
            <w:pPr>
              <w:jc w:val="right"/>
            </w:pPr>
            <w:r>
              <w:rPr>
                <w:color w:val="000000"/>
                <w:sz w:val="24"/>
              </w:rPr>
              <w:t>11,674,000.00</w:t>
            </w:r>
          </w:p>
        </w:tc>
        <w:tc>
          <w:tcPr>
            <w:tcW w:w="1559" w:type="dxa"/>
            <w:vAlign w:val="center"/>
          </w:tcPr>
          <w:p w:rsidR="008474CD" w:rsidRDefault="0098202E">
            <w:pPr>
              <w:jc w:val="right"/>
            </w:pPr>
            <w:r>
              <w:rPr>
                <w:color w:val="000000"/>
                <w:sz w:val="24"/>
              </w:rPr>
              <w:t>4.83</w:t>
            </w:r>
          </w:p>
        </w:tc>
      </w:tr>
      <w:tr w:rsidR="008474CD">
        <w:tc>
          <w:tcPr>
            <w:tcW w:w="817" w:type="dxa"/>
            <w:vAlign w:val="center"/>
          </w:tcPr>
          <w:p w:rsidR="008474CD" w:rsidRDefault="0098202E">
            <w:pPr>
              <w:jc w:val="center"/>
            </w:pPr>
            <w:r>
              <w:rPr>
                <w:color w:val="000000"/>
                <w:sz w:val="24"/>
              </w:rPr>
              <w:t>5</w:t>
            </w:r>
          </w:p>
        </w:tc>
        <w:tc>
          <w:tcPr>
            <w:tcW w:w="1276" w:type="dxa"/>
            <w:vAlign w:val="center"/>
          </w:tcPr>
          <w:p w:rsidR="008474CD" w:rsidRDefault="0098202E">
            <w:pPr>
              <w:jc w:val="center"/>
            </w:pPr>
            <w:r>
              <w:rPr>
                <w:color w:val="000000"/>
                <w:sz w:val="24"/>
              </w:rPr>
              <w:t>300628</w:t>
            </w:r>
          </w:p>
        </w:tc>
        <w:tc>
          <w:tcPr>
            <w:tcW w:w="1417" w:type="dxa"/>
            <w:vAlign w:val="center"/>
          </w:tcPr>
          <w:p w:rsidR="008474CD" w:rsidRDefault="0098202E">
            <w:pPr>
              <w:jc w:val="center"/>
            </w:pPr>
            <w:r>
              <w:rPr>
                <w:color w:val="000000"/>
                <w:sz w:val="24"/>
              </w:rPr>
              <w:t>亿联网络</w:t>
            </w:r>
          </w:p>
        </w:tc>
        <w:tc>
          <w:tcPr>
            <w:tcW w:w="1560" w:type="dxa"/>
            <w:vAlign w:val="center"/>
          </w:tcPr>
          <w:p w:rsidR="008474CD" w:rsidRDefault="0098202E">
            <w:pPr>
              <w:jc w:val="right"/>
            </w:pPr>
            <w:r>
              <w:rPr>
                <w:color w:val="000000"/>
                <w:sz w:val="24"/>
              </w:rPr>
              <w:t>192,244</w:t>
            </w:r>
          </w:p>
        </w:tc>
        <w:tc>
          <w:tcPr>
            <w:tcW w:w="2268" w:type="dxa"/>
            <w:vAlign w:val="center"/>
          </w:tcPr>
          <w:p w:rsidR="008474CD" w:rsidRDefault="0098202E">
            <w:pPr>
              <w:jc w:val="right"/>
            </w:pPr>
            <w:r>
              <w:rPr>
                <w:color w:val="000000"/>
                <w:sz w:val="24"/>
              </w:rPr>
              <w:t>11,667,288.36</w:t>
            </w:r>
          </w:p>
        </w:tc>
        <w:tc>
          <w:tcPr>
            <w:tcW w:w="1559" w:type="dxa"/>
            <w:vAlign w:val="center"/>
          </w:tcPr>
          <w:p w:rsidR="008474CD" w:rsidRDefault="0098202E">
            <w:pPr>
              <w:jc w:val="right"/>
            </w:pPr>
            <w:r>
              <w:rPr>
                <w:color w:val="000000"/>
                <w:sz w:val="24"/>
              </w:rPr>
              <w:t>4.83</w:t>
            </w:r>
          </w:p>
        </w:tc>
      </w:tr>
      <w:tr w:rsidR="008474CD">
        <w:tc>
          <w:tcPr>
            <w:tcW w:w="817" w:type="dxa"/>
            <w:vAlign w:val="center"/>
          </w:tcPr>
          <w:p w:rsidR="008474CD" w:rsidRDefault="0098202E">
            <w:pPr>
              <w:jc w:val="center"/>
            </w:pPr>
            <w:r>
              <w:rPr>
                <w:color w:val="000000"/>
                <w:sz w:val="24"/>
              </w:rPr>
              <w:t>6</w:t>
            </w:r>
          </w:p>
        </w:tc>
        <w:tc>
          <w:tcPr>
            <w:tcW w:w="1276" w:type="dxa"/>
            <w:vAlign w:val="center"/>
          </w:tcPr>
          <w:p w:rsidR="008474CD" w:rsidRDefault="0098202E">
            <w:pPr>
              <w:jc w:val="center"/>
            </w:pPr>
            <w:r>
              <w:rPr>
                <w:color w:val="000000"/>
                <w:sz w:val="24"/>
              </w:rPr>
              <w:t>603806</w:t>
            </w:r>
          </w:p>
        </w:tc>
        <w:tc>
          <w:tcPr>
            <w:tcW w:w="1417" w:type="dxa"/>
            <w:vAlign w:val="center"/>
          </w:tcPr>
          <w:p w:rsidR="008474CD" w:rsidRDefault="0098202E">
            <w:pPr>
              <w:jc w:val="center"/>
            </w:pPr>
            <w:r>
              <w:rPr>
                <w:color w:val="000000"/>
                <w:sz w:val="24"/>
              </w:rPr>
              <w:t>福斯特</w:t>
            </w:r>
          </w:p>
        </w:tc>
        <w:tc>
          <w:tcPr>
            <w:tcW w:w="1560" w:type="dxa"/>
            <w:vAlign w:val="center"/>
          </w:tcPr>
          <w:p w:rsidR="008474CD" w:rsidRDefault="0098202E">
            <w:pPr>
              <w:jc w:val="right"/>
            </w:pPr>
            <w:r>
              <w:rPr>
                <w:color w:val="000000"/>
                <w:sz w:val="24"/>
              </w:rPr>
              <w:t>256,440</w:t>
            </w:r>
          </w:p>
        </w:tc>
        <w:tc>
          <w:tcPr>
            <w:tcW w:w="2268" w:type="dxa"/>
            <w:vAlign w:val="center"/>
          </w:tcPr>
          <w:p w:rsidR="008474CD" w:rsidRDefault="0098202E">
            <w:pPr>
              <w:jc w:val="right"/>
            </w:pPr>
            <w:r>
              <w:rPr>
                <w:color w:val="000000"/>
                <w:sz w:val="24"/>
              </w:rPr>
              <w:t>11,642,376.00</w:t>
            </w:r>
          </w:p>
        </w:tc>
        <w:tc>
          <w:tcPr>
            <w:tcW w:w="1559" w:type="dxa"/>
            <w:vAlign w:val="center"/>
          </w:tcPr>
          <w:p w:rsidR="008474CD" w:rsidRDefault="0098202E">
            <w:pPr>
              <w:jc w:val="right"/>
            </w:pPr>
            <w:r>
              <w:rPr>
                <w:color w:val="000000"/>
                <w:sz w:val="24"/>
              </w:rPr>
              <w:t>4.82</w:t>
            </w:r>
          </w:p>
        </w:tc>
      </w:tr>
      <w:tr w:rsidR="008474CD">
        <w:tc>
          <w:tcPr>
            <w:tcW w:w="817" w:type="dxa"/>
            <w:vAlign w:val="center"/>
          </w:tcPr>
          <w:p w:rsidR="008474CD" w:rsidRDefault="0098202E">
            <w:pPr>
              <w:jc w:val="center"/>
            </w:pPr>
            <w:r>
              <w:rPr>
                <w:color w:val="000000"/>
                <w:sz w:val="24"/>
              </w:rPr>
              <w:t>7</w:t>
            </w:r>
          </w:p>
        </w:tc>
        <w:tc>
          <w:tcPr>
            <w:tcW w:w="1276" w:type="dxa"/>
            <w:vAlign w:val="center"/>
          </w:tcPr>
          <w:p w:rsidR="008474CD" w:rsidRDefault="0098202E">
            <w:pPr>
              <w:jc w:val="center"/>
            </w:pPr>
            <w:r>
              <w:rPr>
                <w:color w:val="000000"/>
                <w:sz w:val="24"/>
              </w:rPr>
              <w:t>000860</w:t>
            </w:r>
          </w:p>
        </w:tc>
        <w:tc>
          <w:tcPr>
            <w:tcW w:w="1417" w:type="dxa"/>
            <w:vAlign w:val="center"/>
          </w:tcPr>
          <w:p w:rsidR="008474CD" w:rsidRDefault="0098202E">
            <w:pPr>
              <w:jc w:val="center"/>
            </w:pPr>
            <w:r>
              <w:rPr>
                <w:color w:val="000000"/>
                <w:sz w:val="24"/>
              </w:rPr>
              <w:t>顺鑫农业</w:t>
            </w:r>
          </w:p>
        </w:tc>
        <w:tc>
          <w:tcPr>
            <w:tcW w:w="1560" w:type="dxa"/>
            <w:vAlign w:val="center"/>
          </w:tcPr>
          <w:p w:rsidR="008474CD" w:rsidRDefault="0098202E">
            <w:pPr>
              <w:jc w:val="right"/>
            </w:pPr>
            <w:r>
              <w:rPr>
                <w:color w:val="000000"/>
                <w:sz w:val="24"/>
              </w:rPr>
              <w:t>222,290</w:t>
            </w:r>
          </w:p>
        </w:tc>
        <w:tc>
          <w:tcPr>
            <w:tcW w:w="2268" w:type="dxa"/>
            <w:vAlign w:val="center"/>
          </w:tcPr>
          <w:p w:rsidR="008474CD" w:rsidRDefault="0098202E">
            <w:pPr>
              <w:jc w:val="right"/>
            </w:pPr>
            <w:r>
              <w:rPr>
                <w:color w:val="000000"/>
                <w:sz w:val="24"/>
              </w:rPr>
              <w:t>11,594,646.40</w:t>
            </w:r>
          </w:p>
        </w:tc>
        <w:tc>
          <w:tcPr>
            <w:tcW w:w="1559" w:type="dxa"/>
            <w:vAlign w:val="center"/>
          </w:tcPr>
          <w:p w:rsidR="008474CD" w:rsidRDefault="0098202E">
            <w:pPr>
              <w:jc w:val="right"/>
            </w:pPr>
            <w:r>
              <w:rPr>
                <w:color w:val="000000"/>
                <w:sz w:val="24"/>
              </w:rPr>
              <w:t>4.80</w:t>
            </w:r>
          </w:p>
        </w:tc>
      </w:tr>
      <w:tr w:rsidR="008474CD">
        <w:tc>
          <w:tcPr>
            <w:tcW w:w="817" w:type="dxa"/>
            <w:vAlign w:val="center"/>
          </w:tcPr>
          <w:p w:rsidR="008474CD" w:rsidRDefault="0098202E">
            <w:pPr>
              <w:jc w:val="center"/>
            </w:pPr>
            <w:r>
              <w:rPr>
                <w:color w:val="000000"/>
                <w:sz w:val="24"/>
              </w:rPr>
              <w:t>8</w:t>
            </w:r>
          </w:p>
        </w:tc>
        <w:tc>
          <w:tcPr>
            <w:tcW w:w="1276" w:type="dxa"/>
            <w:vAlign w:val="center"/>
          </w:tcPr>
          <w:p w:rsidR="008474CD" w:rsidRDefault="0098202E">
            <w:pPr>
              <w:jc w:val="center"/>
            </w:pPr>
            <w:r>
              <w:rPr>
                <w:color w:val="000000"/>
                <w:sz w:val="24"/>
              </w:rPr>
              <w:t>603259</w:t>
            </w:r>
          </w:p>
        </w:tc>
        <w:tc>
          <w:tcPr>
            <w:tcW w:w="1417" w:type="dxa"/>
            <w:vAlign w:val="center"/>
          </w:tcPr>
          <w:p w:rsidR="008474CD" w:rsidRDefault="0098202E">
            <w:pPr>
              <w:jc w:val="center"/>
            </w:pPr>
            <w:r>
              <w:rPr>
                <w:color w:val="000000"/>
                <w:sz w:val="24"/>
              </w:rPr>
              <w:t>药明康德</w:t>
            </w:r>
          </w:p>
        </w:tc>
        <w:tc>
          <w:tcPr>
            <w:tcW w:w="1560" w:type="dxa"/>
            <w:vAlign w:val="center"/>
          </w:tcPr>
          <w:p w:rsidR="008474CD" w:rsidRDefault="0098202E">
            <w:pPr>
              <w:jc w:val="right"/>
            </w:pPr>
            <w:r>
              <w:rPr>
                <w:color w:val="000000"/>
                <w:sz w:val="24"/>
              </w:rPr>
              <w:t>129,020</w:t>
            </w:r>
          </w:p>
        </w:tc>
        <w:tc>
          <w:tcPr>
            <w:tcW w:w="2268" w:type="dxa"/>
            <w:vAlign w:val="center"/>
          </w:tcPr>
          <w:p w:rsidR="008474CD" w:rsidRDefault="0098202E">
            <w:pPr>
              <w:jc w:val="right"/>
            </w:pPr>
            <w:r>
              <w:rPr>
                <w:color w:val="000000"/>
                <w:sz w:val="24"/>
              </w:rPr>
              <w:t>11,186,034.00</w:t>
            </w:r>
          </w:p>
        </w:tc>
        <w:tc>
          <w:tcPr>
            <w:tcW w:w="1559" w:type="dxa"/>
            <w:vAlign w:val="center"/>
          </w:tcPr>
          <w:p w:rsidR="008474CD" w:rsidRDefault="0098202E">
            <w:pPr>
              <w:jc w:val="right"/>
            </w:pPr>
            <w:r>
              <w:rPr>
                <w:color w:val="000000"/>
                <w:sz w:val="24"/>
              </w:rPr>
              <w:t>4.63</w:t>
            </w:r>
          </w:p>
        </w:tc>
      </w:tr>
      <w:tr w:rsidR="008474CD">
        <w:tc>
          <w:tcPr>
            <w:tcW w:w="817" w:type="dxa"/>
            <w:vAlign w:val="center"/>
          </w:tcPr>
          <w:p w:rsidR="008474CD" w:rsidRDefault="0098202E">
            <w:pPr>
              <w:jc w:val="center"/>
            </w:pPr>
            <w:r>
              <w:rPr>
                <w:color w:val="000000"/>
                <w:sz w:val="24"/>
              </w:rPr>
              <w:t>9</w:t>
            </w:r>
          </w:p>
        </w:tc>
        <w:tc>
          <w:tcPr>
            <w:tcW w:w="1276" w:type="dxa"/>
            <w:vAlign w:val="center"/>
          </w:tcPr>
          <w:p w:rsidR="008474CD" w:rsidRDefault="0098202E">
            <w:pPr>
              <w:jc w:val="center"/>
            </w:pPr>
            <w:r>
              <w:rPr>
                <w:color w:val="000000"/>
                <w:sz w:val="24"/>
              </w:rPr>
              <w:t>002415</w:t>
            </w:r>
          </w:p>
        </w:tc>
        <w:tc>
          <w:tcPr>
            <w:tcW w:w="1417" w:type="dxa"/>
            <w:vAlign w:val="center"/>
          </w:tcPr>
          <w:p w:rsidR="008474CD" w:rsidRDefault="0098202E">
            <w:pPr>
              <w:jc w:val="center"/>
            </w:pPr>
            <w:r>
              <w:rPr>
                <w:color w:val="000000"/>
                <w:sz w:val="24"/>
              </w:rPr>
              <w:t>海康威视</w:t>
            </w:r>
          </w:p>
        </w:tc>
        <w:tc>
          <w:tcPr>
            <w:tcW w:w="1560" w:type="dxa"/>
            <w:vAlign w:val="center"/>
          </w:tcPr>
          <w:p w:rsidR="008474CD" w:rsidRDefault="0098202E">
            <w:pPr>
              <w:jc w:val="right"/>
            </w:pPr>
            <w:r>
              <w:rPr>
                <w:color w:val="000000"/>
                <w:sz w:val="24"/>
              </w:rPr>
              <w:t>333,200</w:t>
            </w:r>
          </w:p>
        </w:tc>
        <w:tc>
          <w:tcPr>
            <w:tcW w:w="2268" w:type="dxa"/>
            <w:vAlign w:val="center"/>
          </w:tcPr>
          <w:p w:rsidR="008474CD" w:rsidRDefault="0098202E">
            <w:pPr>
              <w:jc w:val="right"/>
            </w:pPr>
            <w:r>
              <w:rPr>
                <w:color w:val="000000"/>
                <w:sz w:val="24"/>
              </w:rPr>
              <w:t>10,762,360.00</w:t>
            </w:r>
          </w:p>
        </w:tc>
        <w:tc>
          <w:tcPr>
            <w:tcW w:w="1559" w:type="dxa"/>
            <w:vAlign w:val="center"/>
          </w:tcPr>
          <w:p w:rsidR="008474CD" w:rsidRDefault="0098202E">
            <w:pPr>
              <w:jc w:val="right"/>
            </w:pPr>
            <w:r>
              <w:rPr>
                <w:color w:val="000000"/>
                <w:sz w:val="24"/>
              </w:rPr>
              <w:t>4.46</w:t>
            </w:r>
          </w:p>
        </w:tc>
      </w:tr>
      <w:tr w:rsidR="008474CD">
        <w:tc>
          <w:tcPr>
            <w:tcW w:w="817" w:type="dxa"/>
            <w:vAlign w:val="center"/>
          </w:tcPr>
          <w:p w:rsidR="008474CD" w:rsidRDefault="0098202E">
            <w:pPr>
              <w:jc w:val="center"/>
            </w:pPr>
            <w:r>
              <w:rPr>
                <w:color w:val="000000"/>
                <w:sz w:val="24"/>
              </w:rPr>
              <w:t>10</w:t>
            </w:r>
          </w:p>
        </w:tc>
        <w:tc>
          <w:tcPr>
            <w:tcW w:w="1276" w:type="dxa"/>
            <w:vAlign w:val="center"/>
          </w:tcPr>
          <w:p w:rsidR="008474CD" w:rsidRDefault="0098202E">
            <w:pPr>
              <w:jc w:val="center"/>
            </w:pPr>
            <w:r>
              <w:rPr>
                <w:color w:val="000000"/>
                <w:sz w:val="24"/>
              </w:rPr>
              <w:t>600486</w:t>
            </w:r>
          </w:p>
        </w:tc>
        <w:tc>
          <w:tcPr>
            <w:tcW w:w="1417" w:type="dxa"/>
            <w:vAlign w:val="center"/>
          </w:tcPr>
          <w:p w:rsidR="008474CD" w:rsidRDefault="0098202E">
            <w:pPr>
              <w:jc w:val="center"/>
            </w:pPr>
            <w:r>
              <w:rPr>
                <w:color w:val="000000"/>
                <w:sz w:val="24"/>
              </w:rPr>
              <w:t>扬农化工</w:t>
            </w:r>
          </w:p>
        </w:tc>
        <w:tc>
          <w:tcPr>
            <w:tcW w:w="1560" w:type="dxa"/>
            <w:vAlign w:val="center"/>
          </w:tcPr>
          <w:p w:rsidR="008474CD" w:rsidRDefault="0098202E">
            <w:pPr>
              <w:jc w:val="right"/>
            </w:pPr>
            <w:r>
              <w:rPr>
                <w:color w:val="000000"/>
                <w:sz w:val="24"/>
              </w:rPr>
              <w:t>212,400</w:t>
            </w:r>
          </w:p>
        </w:tc>
        <w:tc>
          <w:tcPr>
            <w:tcW w:w="2268" w:type="dxa"/>
            <w:vAlign w:val="center"/>
          </w:tcPr>
          <w:p w:rsidR="008474CD" w:rsidRDefault="0098202E">
            <w:pPr>
              <w:jc w:val="right"/>
            </w:pPr>
            <w:r>
              <w:rPr>
                <w:color w:val="000000"/>
                <w:sz w:val="24"/>
              </w:rPr>
              <w:t>10,577,520.00</w:t>
            </w:r>
          </w:p>
        </w:tc>
        <w:tc>
          <w:tcPr>
            <w:tcW w:w="1559" w:type="dxa"/>
            <w:vAlign w:val="center"/>
          </w:tcPr>
          <w:p w:rsidR="008474CD" w:rsidRDefault="0098202E">
            <w:pPr>
              <w:jc w:val="right"/>
            </w:pPr>
            <w:r>
              <w:rPr>
                <w:color w:val="000000"/>
                <w:sz w:val="24"/>
              </w:rPr>
              <w:t>4.38</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12,844,560.00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5.32</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12,844,560.00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5.32</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3,038,520.00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5,371,189.25</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2.22</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21,254,269.25</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8.80</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8474CD">
        <w:tc>
          <w:tcPr>
            <w:tcW w:w="802" w:type="dxa"/>
            <w:vAlign w:val="center"/>
          </w:tcPr>
          <w:p w:rsidR="008474CD" w:rsidRDefault="0098202E">
            <w:pPr>
              <w:jc w:val="center"/>
            </w:pPr>
            <w:r>
              <w:rPr>
                <w:color w:val="000000"/>
                <w:sz w:val="24"/>
              </w:rPr>
              <w:t>1</w:t>
            </w:r>
          </w:p>
        </w:tc>
        <w:tc>
          <w:tcPr>
            <w:tcW w:w="1559" w:type="dxa"/>
            <w:vAlign w:val="center"/>
          </w:tcPr>
          <w:p w:rsidR="008474CD" w:rsidRDefault="0098202E">
            <w:pPr>
              <w:jc w:val="center"/>
            </w:pPr>
            <w:r>
              <w:rPr>
                <w:color w:val="000000"/>
                <w:sz w:val="24"/>
              </w:rPr>
              <w:t>018007</w:t>
            </w:r>
          </w:p>
        </w:tc>
        <w:tc>
          <w:tcPr>
            <w:tcW w:w="1985" w:type="dxa"/>
            <w:vAlign w:val="center"/>
          </w:tcPr>
          <w:p w:rsidR="008474CD" w:rsidRDefault="0098202E">
            <w:pPr>
              <w:jc w:val="center"/>
            </w:pPr>
            <w:r>
              <w:rPr>
                <w:color w:val="000000"/>
                <w:sz w:val="24"/>
              </w:rPr>
              <w:t>国开</w:t>
            </w:r>
            <w:r>
              <w:rPr>
                <w:color w:val="000000"/>
                <w:sz w:val="24"/>
              </w:rPr>
              <w:t>1801</w:t>
            </w:r>
          </w:p>
        </w:tc>
        <w:tc>
          <w:tcPr>
            <w:tcW w:w="1559" w:type="dxa"/>
            <w:vAlign w:val="center"/>
          </w:tcPr>
          <w:p w:rsidR="008474CD" w:rsidRDefault="0098202E">
            <w:pPr>
              <w:jc w:val="right"/>
            </w:pPr>
            <w:r>
              <w:rPr>
                <w:color w:val="000000"/>
                <w:sz w:val="24"/>
              </w:rPr>
              <w:t>111,000</w:t>
            </w:r>
          </w:p>
        </w:tc>
        <w:tc>
          <w:tcPr>
            <w:tcW w:w="2126" w:type="dxa"/>
            <w:vAlign w:val="center"/>
          </w:tcPr>
          <w:p w:rsidR="008474CD" w:rsidRDefault="0098202E">
            <w:pPr>
              <w:jc w:val="right"/>
            </w:pPr>
            <w:r>
              <w:rPr>
                <w:color w:val="000000"/>
                <w:sz w:val="24"/>
              </w:rPr>
              <w:t>11,233,200.00</w:t>
            </w:r>
          </w:p>
        </w:tc>
        <w:tc>
          <w:tcPr>
            <w:tcW w:w="990" w:type="dxa"/>
            <w:vAlign w:val="center"/>
          </w:tcPr>
          <w:p w:rsidR="008474CD" w:rsidRDefault="0098202E">
            <w:pPr>
              <w:jc w:val="right"/>
            </w:pPr>
            <w:r>
              <w:rPr>
                <w:color w:val="000000"/>
                <w:sz w:val="24"/>
              </w:rPr>
              <w:t>4.65</w:t>
            </w:r>
          </w:p>
        </w:tc>
      </w:tr>
      <w:tr w:rsidR="008474CD">
        <w:tc>
          <w:tcPr>
            <w:tcW w:w="802" w:type="dxa"/>
            <w:vAlign w:val="center"/>
          </w:tcPr>
          <w:p w:rsidR="008474CD" w:rsidRDefault="0098202E">
            <w:pPr>
              <w:jc w:val="center"/>
            </w:pPr>
            <w:r>
              <w:rPr>
                <w:color w:val="000000"/>
                <w:sz w:val="24"/>
              </w:rPr>
              <w:t>2</w:t>
            </w:r>
          </w:p>
        </w:tc>
        <w:tc>
          <w:tcPr>
            <w:tcW w:w="1559" w:type="dxa"/>
            <w:vAlign w:val="center"/>
          </w:tcPr>
          <w:p w:rsidR="008474CD" w:rsidRDefault="0098202E">
            <w:pPr>
              <w:jc w:val="center"/>
            </w:pPr>
            <w:r>
              <w:rPr>
                <w:color w:val="000000"/>
                <w:sz w:val="24"/>
              </w:rPr>
              <w:t>136230</w:t>
            </w:r>
          </w:p>
        </w:tc>
        <w:tc>
          <w:tcPr>
            <w:tcW w:w="1985" w:type="dxa"/>
            <w:vAlign w:val="center"/>
          </w:tcPr>
          <w:p w:rsidR="008474CD" w:rsidRDefault="0098202E">
            <w:pPr>
              <w:jc w:val="center"/>
            </w:pPr>
            <w:r>
              <w:rPr>
                <w:color w:val="000000"/>
                <w:sz w:val="24"/>
              </w:rPr>
              <w:t>16</w:t>
            </w:r>
            <w:r>
              <w:rPr>
                <w:color w:val="000000"/>
                <w:sz w:val="24"/>
              </w:rPr>
              <w:t>宏桥</w:t>
            </w:r>
            <w:r>
              <w:rPr>
                <w:color w:val="000000"/>
                <w:sz w:val="24"/>
              </w:rPr>
              <w:t>05</w:t>
            </w:r>
          </w:p>
        </w:tc>
        <w:tc>
          <w:tcPr>
            <w:tcW w:w="1559" w:type="dxa"/>
            <w:vAlign w:val="center"/>
          </w:tcPr>
          <w:p w:rsidR="008474CD" w:rsidRDefault="0098202E">
            <w:pPr>
              <w:jc w:val="right"/>
            </w:pPr>
            <w:r>
              <w:rPr>
                <w:color w:val="000000"/>
                <w:sz w:val="24"/>
              </w:rPr>
              <w:t>30,000</w:t>
            </w:r>
          </w:p>
        </w:tc>
        <w:tc>
          <w:tcPr>
            <w:tcW w:w="2126" w:type="dxa"/>
            <w:vAlign w:val="center"/>
          </w:tcPr>
          <w:p w:rsidR="008474CD" w:rsidRDefault="0098202E">
            <w:pPr>
              <w:jc w:val="right"/>
            </w:pPr>
            <w:r>
              <w:rPr>
                <w:color w:val="000000"/>
                <w:sz w:val="24"/>
              </w:rPr>
              <w:t>3,037,500.00</w:t>
            </w:r>
          </w:p>
        </w:tc>
        <w:tc>
          <w:tcPr>
            <w:tcW w:w="990" w:type="dxa"/>
            <w:vAlign w:val="center"/>
          </w:tcPr>
          <w:p w:rsidR="008474CD" w:rsidRDefault="0098202E">
            <w:pPr>
              <w:jc w:val="right"/>
            </w:pPr>
            <w:r>
              <w:rPr>
                <w:color w:val="000000"/>
                <w:sz w:val="24"/>
              </w:rPr>
              <w:t>1.26</w:t>
            </w:r>
          </w:p>
        </w:tc>
      </w:tr>
      <w:tr w:rsidR="008474CD">
        <w:tc>
          <w:tcPr>
            <w:tcW w:w="802" w:type="dxa"/>
            <w:vAlign w:val="center"/>
          </w:tcPr>
          <w:p w:rsidR="008474CD" w:rsidRDefault="0098202E">
            <w:pPr>
              <w:jc w:val="center"/>
            </w:pPr>
            <w:r>
              <w:rPr>
                <w:color w:val="000000"/>
                <w:sz w:val="24"/>
              </w:rPr>
              <w:t>3</w:t>
            </w:r>
          </w:p>
        </w:tc>
        <w:tc>
          <w:tcPr>
            <w:tcW w:w="1559" w:type="dxa"/>
            <w:vAlign w:val="center"/>
          </w:tcPr>
          <w:p w:rsidR="008474CD" w:rsidRDefault="0098202E">
            <w:pPr>
              <w:jc w:val="center"/>
            </w:pPr>
            <w:r>
              <w:rPr>
                <w:color w:val="000000"/>
                <w:sz w:val="24"/>
              </w:rPr>
              <w:t>132018</w:t>
            </w:r>
          </w:p>
        </w:tc>
        <w:tc>
          <w:tcPr>
            <w:tcW w:w="1985" w:type="dxa"/>
            <w:vAlign w:val="center"/>
          </w:tcPr>
          <w:p w:rsidR="008474CD" w:rsidRDefault="0098202E">
            <w:pPr>
              <w:jc w:val="center"/>
            </w:pPr>
            <w:r>
              <w:rPr>
                <w:color w:val="000000"/>
                <w:sz w:val="24"/>
              </w:rPr>
              <w:t>G</w:t>
            </w:r>
            <w:r>
              <w:rPr>
                <w:color w:val="000000"/>
                <w:sz w:val="24"/>
              </w:rPr>
              <w:t>三峡</w:t>
            </w:r>
            <w:r>
              <w:rPr>
                <w:color w:val="000000"/>
                <w:sz w:val="24"/>
              </w:rPr>
              <w:t>EB1</w:t>
            </w:r>
          </w:p>
        </w:tc>
        <w:tc>
          <w:tcPr>
            <w:tcW w:w="1559" w:type="dxa"/>
            <w:vAlign w:val="center"/>
          </w:tcPr>
          <w:p w:rsidR="008474CD" w:rsidRDefault="0098202E">
            <w:pPr>
              <w:jc w:val="right"/>
            </w:pPr>
            <w:r>
              <w:rPr>
                <w:color w:val="000000"/>
                <w:sz w:val="24"/>
              </w:rPr>
              <w:t>22,490</w:t>
            </w:r>
          </w:p>
        </w:tc>
        <w:tc>
          <w:tcPr>
            <w:tcW w:w="2126" w:type="dxa"/>
            <w:vAlign w:val="center"/>
          </w:tcPr>
          <w:p w:rsidR="008474CD" w:rsidRDefault="0098202E">
            <w:pPr>
              <w:jc w:val="right"/>
            </w:pPr>
            <w:r>
              <w:rPr>
                <w:color w:val="000000"/>
                <w:sz w:val="24"/>
              </w:rPr>
              <w:t>2,412,052.50</w:t>
            </w:r>
          </w:p>
        </w:tc>
        <w:tc>
          <w:tcPr>
            <w:tcW w:w="990" w:type="dxa"/>
            <w:vAlign w:val="center"/>
          </w:tcPr>
          <w:p w:rsidR="008474CD" w:rsidRDefault="0098202E">
            <w:pPr>
              <w:jc w:val="right"/>
            </w:pPr>
            <w:r>
              <w:rPr>
                <w:color w:val="000000"/>
                <w:sz w:val="24"/>
              </w:rPr>
              <w:t>1.00</w:t>
            </w:r>
          </w:p>
        </w:tc>
      </w:tr>
      <w:tr w:rsidR="008474CD">
        <w:tc>
          <w:tcPr>
            <w:tcW w:w="802" w:type="dxa"/>
            <w:vAlign w:val="center"/>
          </w:tcPr>
          <w:p w:rsidR="008474CD" w:rsidRDefault="0098202E">
            <w:pPr>
              <w:jc w:val="center"/>
            </w:pPr>
            <w:r>
              <w:rPr>
                <w:color w:val="000000"/>
                <w:sz w:val="24"/>
              </w:rPr>
              <w:t>4</w:t>
            </w:r>
          </w:p>
        </w:tc>
        <w:tc>
          <w:tcPr>
            <w:tcW w:w="1559" w:type="dxa"/>
            <w:vAlign w:val="center"/>
          </w:tcPr>
          <w:p w:rsidR="008474CD" w:rsidRDefault="0098202E">
            <w:pPr>
              <w:jc w:val="center"/>
            </w:pPr>
            <w:r>
              <w:rPr>
                <w:color w:val="000000"/>
                <w:sz w:val="24"/>
              </w:rPr>
              <w:t>128026</w:t>
            </w:r>
          </w:p>
        </w:tc>
        <w:tc>
          <w:tcPr>
            <w:tcW w:w="1985" w:type="dxa"/>
            <w:vAlign w:val="center"/>
          </w:tcPr>
          <w:p w:rsidR="008474CD" w:rsidRDefault="0098202E">
            <w:pPr>
              <w:jc w:val="center"/>
            </w:pPr>
            <w:r>
              <w:rPr>
                <w:color w:val="000000"/>
                <w:sz w:val="24"/>
              </w:rPr>
              <w:t>众兴转债</w:t>
            </w:r>
          </w:p>
        </w:tc>
        <w:tc>
          <w:tcPr>
            <w:tcW w:w="1559" w:type="dxa"/>
            <w:vAlign w:val="center"/>
          </w:tcPr>
          <w:p w:rsidR="008474CD" w:rsidRDefault="0098202E">
            <w:pPr>
              <w:jc w:val="right"/>
            </w:pPr>
            <w:r>
              <w:rPr>
                <w:color w:val="000000"/>
                <w:sz w:val="24"/>
              </w:rPr>
              <w:t>19,994</w:t>
            </w:r>
          </w:p>
        </w:tc>
        <w:tc>
          <w:tcPr>
            <w:tcW w:w="2126" w:type="dxa"/>
            <w:vAlign w:val="center"/>
          </w:tcPr>
          <w:p w:rsidR="008474CD" w:rsidRDefault="0098202E">
            <w:pPr>
              <w:jc w:val="right"/>
            </w:pPr>
            <w:r>
              <w:rPr>
                <w:color w:val="000000"/>
                <w:sz w:val="24"/>
              </w:rPr>
              <w:t>1,871,838.28</w:t>
            </w:r>
          </w:p>
        </w:tc>
        <w:tc>
          <w:tcPr>
            <w:tcW w:w="990" w:type="dxa"/>
            <w:vAlign w:val="center"/>
          </w:tcPr>
          <w:p w:rsidR="008474CD" w:rsidRDefault="0098202E">
            <w:pPr>
              <w:jc w:val="right"/>
            </w:pPr>
            <w:r>
              <w:rPr>
                <w:color w:val="000000"/>
                <w:sz w:val="24"/>
              </w:rPr>
              <w:t>0.78</w:t>
            </w:r>
          </w:p>
        </w:tc>
      </w:tr>
      <w:tr w:rsidR="008474CD">
        <w:tc>
          <w:tcPr>
            <w:tcW w:w="802" w:type="dxa"/>
            <w:vAlign w:val="center"/>
          </w:tcPr>
          <w:p w:rsidR="008474CD" w:rsidRDefault="0098202E">
            <w:pPr>
              <w:jc w:val="center"/>
            </w:pPr>
            <w:r>
              <w:rPr>
                <w:color w:val="000000"/>
                <w:sz w:val="24"/>
              </w:rPr>
              <w:t>5</w:t>
            </w:r>
          </w:p>
        </w:tc>
        <w:tc>
          <w:tcPr>
            <w:tcW w:w="1559" w:type="dxa"/>
            <w:vAlign w:val="center"/>
          </w:tcPr>
          <w:p w:rsidR="008474CD" w:rsidRDefault="0098202E">
            <w:pPr>
              <w:jc w:val="center"/>
            </w:pPr>
            <w:r>
              <w:rPr>
                <w:color w:val="000000"/>
                <w:sz w:val="24"/>
              </w:rPr>
              <w:t>108602</w:t>
            </w:r>
          </w:p>
        </w:tc>
        <w:tc>
          <w:tcPr>
            <w:tcW w:w="1985" w:type="dxa"/>
            <w:vAlign w:val="center"/>
          </w:tcPr>
          <w:p w:rsidR="008474CD" w:rsidRDefault="0098202E">
            <w:pPr>
              <w:jc w:val="center"/>
            </w:pPr>
            <w:r>
              <w:rPr>
                <w:color w:val="000000"/>
                <w:sz w:val="24"/>
              </w:rPr>
              <w:t>国开</w:t>
            </w:r>
            <w:r>
              <w:rPr>
                <w:color w:val="000000"/>
                <w:sz w:val="24"/>
              </w:rPr>
              <w:t>1704</w:t>
            </w:r>
          </w:p>
        </w:tc>
        <w:tc>
          <w:tcPr>
            <w:tcW w:w="1559" w:type="dxa"/>
            <w:vAlign w:val="center"/>
          </w:tcPr>
          <w:p w:rsidR="008474CD" w:rsidRDefault="0098202E">
            <w:pPr>
              <w:jc w:val="right"/>
            </w:pPr>
            <w:r>
              <w:rPr>
                <w:color w:val="000000"/>
                <w:sz w:val="24"/>
              </w:rPr>
              <w:t>16,000</w:t>
            </w:r>
          </w:p>
        </w:tc>
        <w:tc>
          <w:tcPr>
            <w:tcW w:w="2126" w:type="dxa"/>
            <w:vAlign w:val="center"/>
          </w:tcPr>
          <w:p w:rsidR="008474CD" w:rsidRDefault="0098202E">
            <w:pPr>
              <w:jc w:val="right"/>
            </w:pPr>
            <w:r>
              <w:rPr>
                <w:color w:val="000000"/>
                <w:sz w:val="24"/>
              </w:rPr>
              <w:t>1,611,360.00</w:t>
            </w:r>
          </w:p>
        </w:tc>
        <w:tc>
          <w:tcPr>
            <w:tcW w:w="990" w:type="dxa"/>
            <w:vAlign w:val="center"/>
          </w:tcPr>
          <w:p w:rsidR="008474CD" w:rsidRDefault="0098202E">
            <w:pPr>
              <w:jc w:val="right"/>
            </w:pPr>
            <w:r>
              <w:rPr>
                <w:color w:val="000000"/>
                <w:sz w:val="24"/>
              </w:rPr>
              <w:t>0.67</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144,345.76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205,213.01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299,160.86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648,719.63</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8474CD">
        <w:tc>
          <w:tcPr>
            <w:tcW w:w="0" w:type="auto"/>
            <w:vAlign w:val="center"/>
          </w:tcPr>
          <w:p w:rsidR="008474CD" w:rsidRDefault="0098202E">
            <w:pPr>
              <w:jc w:val="center"/>
            </w:pPr>
            <w:r>
              <w:rPr>
                <w:color w:val="000000"/>
                <w:sz w:val="24"/>
              </w:rPr>
              <w:t>1</w:t>
            </w:r>
          </w:p>
        </w:tc>
        <w:tc>
          <w:tcPr>
            <w:tcW w:w="0" w:type="auto"/>
            <w:vAlign w:val="center"/>
          </w:tcPr>
          <w:p w:rsidR="008474CD" w:rsidRDefault="0098202E">
            <w:pPr>
              <w:jc w:val="center"/>
            </w:pPr>
            <w:r>
              <w:rPr>
                <w:color w:val="000000"/>
                <w:sz w:val="24"/>
              </w:rPr>
              <w:t>128026</w:t>
            </w:r>
          </w:p>
        </w:tc>
        <w:tc>
          <w:tcPr>
            <w:tcW w:w="0" w:type="auto"/>
            <w:vAlign w:val="center"/>
          </w:tcPr>
          <w:p w:rsidR="008474CD" w:rsidRDefault="0098202E">
            <w:pPr>
              <w:jc w:val="center"/>
            </w:pPr>
            <w:r>
              <w:rPr>
                <w:color w:val="000000"/>
                <w:sz w:val="24"/>
              </w:rPr>
              <w:t>众兴转债</w:t>
            </w:r>
          </w:p>
        </w:tc>
        <w:tc>
          <w:tcPr>
            <w:tcW w:w="0" w:type="auto"/>
            <w:vAlign w:val="center"/>
          </w:tcPr>
          <w:p w:rsidR="008474CD" w:rsidRDefault="0098202E">
            <w:pPr>
              <w:jc w:val="right"/>
            </w:pPr>
            <w:r>
              <w:rPr>
                <w:color w:val="000000"/>
                <w:sz w:val="24"/>
              </w:rPr>
              <w:t>1,871,838.28</w:t>
            </w:r>
          </w:p>
        </w:tc>
        <w:tc>
          <w:tcPr>
            <w:tcW w:w="0" w:type="auto"/>
            <w:vAlign w:val="center"/>
          </w:tcPr>
          <w:p w:rsidR="008474CD" w:rsidRDefault="0098202E">
            <w:pPr>
              <w:jc w:val="right"/>
            </w:pPr>
            <w:r>
              <w:rPr>
                <w:color w:val="000000"/>
                <w:sz w:val="24"/>
              </w:rPr>
              <w:t>0.78</w:t>
            </w:r>
          </w:p>
        </w:tc>
      </w:tr>
      <w:tr w:rsidR="008474CD">
        <w:tc>
          <w:tcPr>
            <w:tcW w:w="0" w:type="auto"/>
            <w:vAlign w:val="center"/>
          </w:tcPr>
          <w:p w:rsidR="008474CD" w:rsidRDefault="0098202E">
            <w:pPr>
              <w:jc w:val="center"/>
            </w:pPr>
            <w:r>
              <w:rPr>
                <w:color w:val="000000"/>
                <w:sz w:val="24"/>
              </w:rPr>
              <w:t>2</w:t>
            </w:r>
          </w:p>
        </w:tc>
        <w:tc>
          <w:tcPr>
            <w:tcW w:w="0" w:type="auto"/>
            <w:vAlign w:val="center"/>
          </w:tcPr>
          <w:p w:rsidR="008474CD" w:rsidRDefault="0098202E">
            <w:pPr>
              <w:jc w:val="center"/>
            </w:pPr>
            <w:r>
              <w:rPr>
                <w:color w:val="000000"/>
                <w:sz w:val="24"/>
              </w:rPr>
              <w:t>110048</w:t>
            </w:r>
          </w:p>
        </w:tc>
        <w:tc>
          <w:tcPr>
            <w:tcW w:w="0" w:type="auto"/>
            <w:vAlign w:val="center"/>
          </w:tcPr>
          <w:p w:rsidR="008474CD" w:rsidRDefault="0098202E">
            <w:pPr>
              <w:jc w:val="center"/>
            </w:pPr>
            <w:r>
              <w:rPr>
                <w:color w:val="000000"/>
                <w:sz w:val="24"/>
              </w:rPr>
              <w:t>福能转债</w:t>
            </w:r>
          </w:p>
        </w:tc>
        <w:tc>
          <w:tcPr>
            <w:tcW w:w="0" w:type="auto"/>
            <w:vAlign w:val="center"/>
          </w:tcPr>
          <w:p w:rsidR="008474CD" w:rsidRDefault="0098202E">
            <w:pPr>
              <w:jc w:val="right"/>
            </w:pPr>
            <w:r>
              <w:rPr>
                <w:color w:val="000000"/>
                <w:sz w:val="24"/>
              </w:rPr>
              <w:t>596,875.50</w:t>
            </w:r>
          </w:p>
        </w:tc>
        <w:tc>
          <w:tcPr>
            <w:tcW w:w="0" w:type="auto"/>
            <w:vAlign w:val="center"/>
          </w:tcPr>
          <w:p w:rsidR="008474CD" w:rsidRDefault="0098202E">
            <w:pPr>
              <w:jc w:val="right"/>
            </w:pPr>
            <w:r>
              <w:rPr>
                <w:color w:val="000000"/>
                <w:sz w:val="24"/>
              </w:rPr>
              <w:t>0.25</w:t>
            </w:r>
          </w:p>
        </w:tc>
      </w:tr>
      <w:tr w:rsidR="008474CD">
        <w:tc>
          <w:tcPr>
            <w:tcW w:w="0" w:type="auto"/>
            <w:vAlign w:val="center"/>
          </w:tcPr>
          <w:p w:rsidR="008474CD" w:rsidRDefault="0098202E">
            <w:pPr>
              <w:jc w:val="center"/>
            </w:pPr>
            <w:r>
              <w:rPr>
                <w:color w:val="000000"/>
                <w:sz w:val="24"/>
              </w:rPr>
              <w:t>3</w:t>
            </w:r>
          </w:p>
        </w:tc>
        <w:tc>
          <w:tcPr>
            <w:tcW w:w="0" w:type="auto"/>
            <w:vAlign w:val="center"/>
          </w:tcPr>
          <w:p w:rsidR="008474CD" w:rsidRDefault="0098202E">
            <w:pPr>
              <w:jc w:val="center"/>
            </w:pPr>
            <w:r>
              <w:rPr>
                <w:color w:val="000000"/>
                <w:sz w:val="24"/>
              </w:rPr>
              <w:t>110049</w:t>
            </w:r>
          </w:p>
        </w:tc>
        <w:tc>
          <w:tcPr>
            <w:tcW w:w="0" w:type="auto"/>
            <w:vAlign w:val="center"/>
          </w:tcPr>
          <w:p w:rsidR="008474CD" w:rsidRDefault="0098202E">
            <w:pPr>
              <w:jc w:val="center"/>
            </w:pPr>
            <w:r>
              <w:rPr>
                <w:color w:val="000000"/>
                <w:sz w:val="24"/>
              </w:rPr>
              <w:t>海尔转债</w:t>
            </w:r>
          </w:p>
        </w:tc>
        <w:tc>
          <w:tcPr>
            <w:tcW w:w="0" w:type="auto"/>
            <w:vAlign w:val="center"/>
          </w:tcPr>
          <w:p w:rsidR="008474CD" w:rsidRDefault="0098202E">
            <w:pPr>
              <w:jc w:val="right"/>
            </w:pPr>
            <w:r>
              <w:rPr>
                <w:color w:val="000000"/>
                <w:sz w:val="24"/>
              </w:rPr>
              <w:t>322,194.60</w:t>
            </w:r>
          </w:p>
        </w:tc>
        <w:tc>
          <w:tcPr>
            <w:tcW w:w="0" w:type="auto"/>
            <w:vAlign w:val="center"/>
          </w:tcPr>
          <w:p w:rsidR="008474CD" w:rsidRDefault="0098202E">
            <w:pPr>
              <w:jc w:val="right"/>
            </w:pPr>
            <w:r>
              <w:rPr>
                <w:color w:val="000000"/>
                <w:sz w:val="24"/>
              </w:rPr>
              <w:t>0.13</w:t>
            </w:r>
          </w:p>
        </w:tc>
      </w:tr>
      <w:tr w:rsidR="008474CD">
        <w:tc>
          <w:tcPr>
            <w:tcW w:w="0" w:type="auto"/>
            <w:vAlign w:val="center"/>
          </w:tcPr>
          <w:p w:rsidR="008474CD" w:rsidRDefault="0098202E">
            <w:pPr>
              <w:jc w:val="center"/>
            </w:pPr>
            <w:r>
              <w:rPr>
                <w:color w:val="000000"/>
                <w:sz w:val="24"/>
              </w:rPr>
              <w:t>4</w:t>
            </w:r>
          </w:p>
        </w:tc>
        <w:tc>
          <w:tcPr>
            <w:tcW w:w="0" w:type="auto"/>
            <w:vAlign w:val="center"/>
          </w:tcPr>
          <w:p w:rsidR="008474CD" w:rsidRDefault="0098202E">
            <w:pPr>
              <w:jc w:val="center"/>
            </w:pPr>
            <w:r>
              <w:rPr>
                <w:color w:val="000000"/>
                <w:sz w:val="24"/>
              </w:rPr>
              <w:t>128054</w:t>
            </w:r>
          </w:p>
        </w:tc>
        <w:tc>
          <w:tcPr>
            <w:tcW w:w="0" w:type="auto"/>
            <w:vAlign w:val="center"/>
          </w:tcPr>
          <w:p w:rsidR="008474CD" w:rsidRDefault="0098202E">
            <w:pPr>
              <w:jc w:val="center"/>
            </w:pPr>
            <w:r>
              <w:rPr>
                <w:color w:val="000000"/>
                <w:sz w:val="24"/>
              </w:rPr>
              <w:t>中宠转债</w:t>
            </w:r>
          </w:p>
        </w:tc>
        <w:tc>
          <w:tcPr>
            <w:tcW w:w="0" w:type="auto"/>
            <w:vAlign w:val="center"/>
          </w:tcPr>
          <w:p w:rsidR="008474CD" w:rsidRDefault="0098202E">
            <w:pPr>
              <w:jc w:val="right"/>
            </w:pPr>
            <w:r>
              <w:rPr>
                <w:color w:val="000000"/>
                <w:sz w:val="24"/>
              </w:rPr>
              <w:t>217.68</w:t>
            </w:r>
          </w:p>
        </w:tc>
        <w:tc>
          <w:tcPr>
            <w:tcW w:w="0" w:type="auto"/>
            <w:vAlign w:val="center"/>
          </w:tcPr>
          <w:p w:rsidR="008474CD" w:rsidRDefault="0098202E">
            <w:pPr>
              <w:jc w:val="right"/>
            </w:pPr>
            <w:r>
              <w:rPr>
                <w:color w:val="000000"/>
                <w:sz w:val="24"/>
              </w:rPr>
              <w:t>0.00</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易方达瑞信混合</w:t>
            </w:r>
            <w:r w:rsidRPr="00FA472B">
              <w:rPr>
                <w:sz w:val="24"/>
              </w:rPr>
              <w:t>I</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易方达瑞信混合</w:t>
            </w:r>
            <w:r w:rsidRPr="00FA472B">
              <w:rPr>
                <w:sz w:val="24"/>
              </w:rPr>
              <w:t>E</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179,860,558.64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7,069,603.43</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18,262,503.22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112,480,136.46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84,853,312.10</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11,675,328.68</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113,269,749.76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107,874,411.21</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CC78C7" w:rsidRPr="00266D4B" w:rsidRDefault="00CC78C7" w:rsidP="00CC78C7">
      <w:pPr>
        <w:autoSpaceDE w:val="0"/>
        <w:autoSpaceDN w:val="0"/>
        <w:adjustRightInd w:val="0"/>
        <w:spacing w:before="29" w:line="288" w:lineRule="auto"/>
        <w:ind w:left="15" w:right="480"/>
        <w:jc w:val="right"/>
        <w:rPr>
          <w:color w:val="000000"/>
          <w:kern w:val="0"/>
          <w:sz w:val="24"/>
        </w:rPr>
      </w:pPr>
      <w:r w:rsidRPr="00266D4B">
        <w:rPr>
          <w:color w:val="000000"/>
          <w:kern w:val="0"/>
          <w:sz w:val="24"/>
        </w:rPr>
        <w:lastRenderedPageBreak/>
        <w:t>单位：份</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7"/>
        <w:gridCol w:w="2616"/>
        <w:gridCol w:w="2631"/>
      </w:tblGrid>
      <w:tr w:rsidR="00CC78C7" w:rsidRPr="00E90B39" w:rsidTr="00964538">
        <w:trPr>
          <w:trHeight w:val="248"/>
        </w:trPr>
        <w:tc>
          <w:tcPr>
            <w:tcW w:w="3167" w:type="dxa"/>
            <w:vAlign w:val="center"/>
          </w:tcPr>
          <w:p w:rsidR="00CC78C7" w:rsidRPr="00FA472B" w:rsidRDefault="00CC78C7" w:rsidP="00964538">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616" w:type="dxa"/>
            <w:vAlign w:val="bottom"/>
          </w:tcPr>
          <w:p w:rsidR="00CC78C7" w:rsidRPr="00FA472B" w:rsidRDefault="00CC78C7" w:rsidP="00964538">
            <w:pPr>
              <w:jc w:val="center"/>
              <w:rPr>
                <w:sz w:val="24"/>
              </w:rPr>
            </w:pPr>
            <w:r w:rsidRPr="00FA472B">
              <w:rPr>
                <w:sz w:val="24"/>
              </w:rPr>
              <w:t>易方达瑞信混合</w:t>
            </w:r>
            <w:r w:rsidRPr="00FA472B">
              <w:rPr>
                <w:sz w:val="24"/>
              </w:rPr>
              <w:t>I</w:t>
            </w:r>
          </w:p>
        </w:tc>
        <w:tc>
          <w:tcPr>
            <w:tcW w:w="2631" w:type="dxa"/>
            <w:vAlign w:val="bottom"/>
          </w:tcPr>
          <w:p w:rsidR="00CC78C7" w:rsidRPr="00FA472B" w:rsidRDefault="00CC78C7" w:rsidP="00964538">
            <w:pPr>
              <w:jc w:val="center"/>
              <w:rPr>
                <w:sz w:val="24"/>
              </w:rPr>
            </w:pPr>
            <w:r w:rsidRPr="00FA472B">
              <w:rPr>
                <w:sz w:val="24"/>
              </w:rPr>
              <w:t>易方达瑞信混合</w:t>
            </w:r>
            <w:r w:rsidRPr="00FA472B">
              <w:rPr>
                <w:sz w:val="24"/>
              </w:rPr>
              <w:t>E</w:t>
            </w:r>
          </w:p>
        </w:tc>
      </w:tr>
      <w:tr w:rsidR="00CC78C7" w:rsidRPr="00E90B39" w:rsidTr="00964538">
        <w:trPr>
          <w:trHeight w:val="247"/>
        </w:trPr>
        <w:tc>
          <w:tcPr>
            <w:tcW w:w="3167" w:type="dxa"/>
            <w:vAlign w:val="center"/>
          </w:tcPr>
          <w:p w:rsidR="00CC78C7" w:rsidRPr="00FA472B" w:rsidRDefault="00CC78C7" w:rsidP="00964538">
            <w:pPr>
              <w:pStyle w:val="ac"/>
              <w:adjustRightInd w:val="0"/>
              <w:snapToGrid w:val="0"/>
              <w:spacing w:line="360" w:lineRule="exact"/>
              <w:rPr>
                <w:color w:val="000000"/>
                <w:szCs w:val="24"/>
              </w:rPr>
            </w:pPr>
            <w:r w:rsidRPr="00FA472B">
              <w:rPr>
                <w:color w:val="000000"/>
                <w:szCs w:val="24"/>
              </w:rPr>
              <w:t>报告期期初管理人持有的本基金份额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w:t>
            </w:r>
          </w:p>
        </w:tc>
        <w:tc>
          <w:tcPr>
            <w:tcW w:w="2631" w:type="dxa"/>
            <w:vAlign w:val="center"/>
          </w:tcPr>
          <w:p w:rsidR="00CC78C7" w:rsidRPr="00FA472B" w:rsidRDefault="00CC78C7" w:rsidP="00964538">
            <w:pPr>
              <w:jc w:val="right"/>
              <w:rPr>
                <w:sz w:val="24"/>
              </w:rPr>
            </w:pPr>
            <w:r w:rsidRPr="00FA472B">
              <w:rPr>
                <w:color w:val="000000"/>
                <w:sz w:val="24"/>
              </w:rPr>
              <w:t>2,239,641.66</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买入</w:t>
            </w:r>
            <w:r w:rsidRPr="00FA472B">
              <w:rPr>
                <w:color w:val="000000"/>
                <w:sz w:val="24"/>
              </w:rPr>
              <w:t>/</w:t>
            </w:r>
            <w:r w:rsidRPr="00FA472B">
              <w:rPr>
                <w:color w:val="000000"/>
                <w:sz w:val="24"/>
              </w:rPr>
              <w:t>申购总份额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卖出</w:t>
            </w:r>
            <w:r w:rsidRPr="00FA472B">
              <w:rPr>
                <w:color w:val="000000"/>
                <w:sz w:val="24"/>
              </w:rPr>
              <w:t>/</w:t>
            </w:r>
            <w:r w:rsidRPr="00FA472B">
              <w:rPr>
                <w:color w:val="000000"/>
                <w:sz w:val="24"/>
              </w:rPr>
              <w:t>赎回总份额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w:t>
            </w:r>
          </w:p>
        </w:tc>
        <w:tc>
          <w:tcPr>
            <w:tcW w:w="2631" w:type="dxa"/>
            <w:vAlign w:val="center"/>
          </w:tcPr>
          <w:p w:rsidR="00CC78C7" w:rsidRPr="00FA472B" w:rsidRDefault="00CC78C7" w:rsidP="00964538">
            <w:pPr>
              <w:jc w:val="right"/>
              <w:rPr>
                <w:sz w:val="24"/>
              </w:rPr>
            </w:pPr>
            <w:r w:rsidRPr="00FA472B">
              <w:rPr>
                <w:color w:val="000000"/>
                <w:sz w:val="24"/>
              </w:rPr>
              <w:t>2,239,641.66</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报告期期末持有的本基金份额占基金总份额比例（</w:t>
            </w:r>
            <w:r w:rsidRPr="00FA472B">
              <w:rPr>
                <w:color w:val="000000"/>
                <w:sz w:val="24"/>
              </w:rPr>
              <w:t>%</w:t>
            </w:r>
            <w:r w:rsidRPr="00FA472B">
              <w:rPr>
                <w:color w:val="000000"/>
                <w:sz w:val="24"/>
              </w:rPr>
              <w:t>）</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2.08</w:t>
            </w:r>
          </w:p>
        </w:tc>
      </w:tr>
    </w:tbl>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8.1</w:t>
      </w:r>
      <w:r w:rsidRPr="00E8153C">
        <w:rPr>
          <w:color w:val="000000"/>
          <w:kern w:val="0"/>
          <w:sz w:val="24"/>
        </w:rPr>
        <w:t>备查文件目录</w:t>
      </w:r>
    </w:p>
    <w:p w:rsidR="008474CD" w:rsidRDefault="0098202E">
      <w:pPr>
        <w:spacing w:line="360" w:lineRule="auto"/>
        <w:ind w:firstLineChars="200" w:firstLine="480"/>
        <w:rPr>
          <w:color w:val="000000"/>
          <w:sz w:val="24"/>
        </w:rPr>
      </w:pPr>
      <w:r>
        <w:rPr>
          <w:color w:val="000000"/>
          <w:sz w:val="24"/>
        </w:rPr>
        <w:t>1.</w:t>
      </w:r>
      <w:r>
        <w:rPr>
          <w:color w:val="000000"/>
          <w:sz w:val="24"/>
        </w:rPr>
        <w:t>中国证监会准予易方达瑞信灵活配置混合型证券投资基金注册的文件；</w:t>
      </w:r>
    </w:p>
    <w:p w:rsidR="008474CD" w:rsidRDefault="0098202E">
      <w:pPr>
        <w:spacing w:line="360" w:lineRule="auto"/>
        <w:ind w:firstLineChars="200" w:firstLine="480"/>
        <w:rPr>
          <w:color w:val="000000"/>
          <w:sz w:val="24"/>
        </w:rPr>
      </w:pPr>
      <w:r>
        <w:rPr>
          <w:color w:val="000000"/>
          <w:sz w:val="24"/>
        </w:rPr>
        <w:t>2.</w:t>
      </w:r>
      <w:r>
        <w:rPr>
          <w:color w:val="000000"/>
          <w:sz w:val="24"/>
        </w:rPr>
        <w:t>《易方达瑞信灵活配置混合型证券投资基金基金合同》；</w:t>
      </w:r>
    </w:p>
    <w:p w:rsidR="008474CD" w:rsidRDefault="0098202E">
      <w:pPr>
        <w:spacing w:line="360" w:lineRule="auto"/>
        <w:ind w:firstLineChars="200" w:firstLine="480"/>
        <w:rPr>
          <w:color w:val="000000"/>
          <w:sz w:val="24"/>
        </w:rPr>
      </w:pPr>
      <w:r>
        <w:rPr>
          <w:color w:val="000000"/>
          <w:sz w:val="24"/>
        </w:rPr>
        <w:t>3.</w:t>
      </w:r>
      <w:r>
        <w:rPr>
          <w:color w:val="000000"/>
          <w:sz w:val="24"/>
        </w:rPr>
        <w:t>《易方达瑞信灵活配置混合型证券投资基金托管协议》；</w:t>
      </w:r>
    </w:p>
    <w:p w:rsidR="008474CD" w:rsidRDefault="0098202E">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98202E">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98202E">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98202E">
      <w:rPr>
        <w:rStyle w:val="a7"/>
        <w:noProof/>
      </w:rPr>
      <w:t>13</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易方达瑞信灵活配置混合型证券投资基金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474CD"/>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02E"/>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40CDD69C-2C32-48FE-AFB3-EC3AAF70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1155</Words>
  <Characters>6589</Characters>
  <Application>Microsoft Office Word</Application>
  <DocSecurity>0</DocSecurity>
  <Lines>54</Lines>
  <Paragraphs>15</Paragraphs>
  <ScaleCrop>false</ScaleCrop>
  <Company>TRT. Ltd. Co.</Company>
  <LinksUpToDate>false</LinksUpToDate>
  <CharactersWithSpaces>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2019-10-16T13:54:00Z</cp:lastPrinted>
  <dcterms:created xsi:type="dcterms:W3CDTF">2013-06-21T06:56:00Z</dcterms:created>
  <dcterms:modified xsi:type="dcterms:W3CDTF">2019-10-16T13:54:00Z</dcterms:modified>
</cp:coreProperties>
</file>