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易方达瑞享灵活配置混合型证券投资基金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中国农业银行股份有限公司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2D416E" w:rsidRDefault="007D75F9">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2D416E" w:rsidRDefault="007D75F9">
      <w:pPr>
        <w:spacing w:line="360" w:lineRule="auto"/>
        <w:ind w:firstLineChars="200" w:firstLine="480"/>
        <w:rPr>
          <w:color w:val="000000"/>
          <w:sz w:val="24"/>
        </w:rPr>
      </w:pPr>
      <w:r>
        <w:rPr>
          <w:color w:val="000000"/>
          <w:sz w:val="24"/>
        </w:rPr>
        <w:t>基金托管人中国农业银行股份有限公司根据本基金合同规定，于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2D416E" w:rsidRDefault="007D75F9">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2D416E" w:rsidRDefault="007D75F9">
      <w:pPr>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2D416E" w:rsidRDefault="007D75F9">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易方达瑞享混合</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001437</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2015</w:t>
            </w:r>
            <w:r w:rsidRPr="00C30CFF">
              <w:rPr>
                <w:color w:val="000000"/>
                <w:kern w:val="0"/>
                <w:sz w:val="24"/>
              </w:rPr>
              <w:t>年</w:t>
            </w:r>
            <w:r w:rsidRPr="00C30CFF">
              <w:rPr>
                <w:color w:val="000000"/>
                <w:kern w:val="0"/>
                <w:sz w:val="24"/>
              </w:rPr>
              <w:t>6</w:t>
            </w:r>
            <w:r w:rsidRPr="00C30CFF">
              <w:rPr>
                <w:color w:val="000000"/>
                <w:kern w:val="0"/>
                <w:sz w:val="24"/>
              </w:rPr>
              <w:t>月</w:t>
            </w:r>
            <w:r w:rsidRPr="00C30CFF">
              <w:rPr>
                <w:color w:val="000000"/>
                <w:kern w:val="0"/>
                <w:sz w:val="24"/>
              </w:rPr>
              <w:t>26</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152,476,834.92</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本基金在控制风险的前提下，追求基金资产的稳健增值。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本基金通过定量与定性相结合的宏观及市场分析，确定组合中股票、债券、货币市场工具等资产类别的配置比例，严格遵守低估值的股票投资逻辑，以绝对收益为目标，力争获得稳健、持续的投资收益。</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一年期人民币定期存款利率（税后）</w:t>
            </w:r>
            <w:r w:rsidRPr="00C30CFF">
              <w:rPr>
                <w:color w:val="000000"/>
                <w:kern w:val="0"/>
                <w:sz w:val="24"/>
              </w:rPr>
              <w:t>+2%</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本基金为混合型基金，理论上其预期风险与预期收</w:t>
            </w:r>
            <w:r w:rsidRPr="00C30CFF">
              <w:rPr>
                <w:color w:val="000000"/>
                <w:kern w:val="0"/>
                <w:sz w:val="24"/>
              </w:rPr>
              <w:lastRenderedPageBreak/>
              <w:t>益水平低于股票型基金，高于债券型基金和货币市场基金。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中国农业银行股份有限公司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易方达瑞享混合</w:t>
            </w:r>
            <w:r w:rsidRPr="00C30CFF">
              <w:rPr>
                <w:sz w:val="24"/>
              </w:rPr>
              <w:t>I</w:t>
            </w:r>
          </w:p>
        </w:tc>
        <w:tc>
          <w:tcPr>
            <w:tcW w:w="2790" w:type="dxa"/>
            <w:vAlign w:val="center"/>
          </w:tcPr>
          <w:p w:rsidR="00F016DD" w:rsidRPr="00C30CFF" w:rsidRDefault="00F016DD" w:rsidP="00950413">
            <w:pPr>
              <w:jc w:val="left"/>
              <w:rPr>
                <w:sz w:val="24"/>
              </w:rPr>
            </w:pPr>
            <w:r w:rsidRPr="00C30CFF">
              <w:rPr>
                <w:sz w:val="24"/>
              </w:rPr>
              <w:t>易方达瑞享混合</w:t>
            </w:r>
            <w:r w:rsidRPr="00C30CFF">
              <w:rPr>
                <w:sz w:val="24"/>
              </w:rPr>
              <w:t>E</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001437</w:t>
            </w:r>
          </w:p>
        </w:tc>
        <w:tc>
          <w:tcPr>
            <w:tcW w:w="2790" w:type="dxa"/>
            <w:vAlign w:val="center"/>
          </w:tcPr>
          <w:p w:rsidR="00F016DD" w:rsidRPr="00C30CFF" w:rsidRDefault="00F016DD" w:rsidP="00950413">
            <w:pPr>
              <w:jc w:val="left"/>
              <w:rPr>
                <w:color w:val="000000"/>
                <w:sz w:val="24"/>
              </w:rPr>
            </w:pPr>
            <w:r w:rsidRPr="00C30CFF">
              <w:rPr>
                <w:color w:val="000000"/>
                <w:sz w:val="24"/>
              </w:rPr>
              <w:t>001438</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86,009,166.81</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66,467,668.11</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易方达瑞享混合</w:t>
            </w:r>
            <w:r w:rsidRPr="00FA472B">
              <w:rPr>
                <w:sz w:val="24"/>
              </w:rPr>
              <w:t>I</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易方达瑞享混合</w:t>
            </w:r>
            <w:r w:rsidRPr="00FA472B">
              <w:rPr>
                <w:sz w:val="24"/>
              </w:rPr>
              <w:t>E</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8,625,461.08</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5,333,080.50</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14,245,294.90</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8,897,277.41</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0.1652</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0.1355</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119,947,093.43</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75,916,966.62</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1.395</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1.142</w:t>
            </w:r>
          </w:p>
        </w:tc>
      </w:tr>
    </w:tbl>
    <w:p w:rsidR="002D416E" w:rsidRDefault="007D75F9">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lastRenderedPageBreak/>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易方达瑞享混合I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2D416E">
        <w:tc>
          <w:tcPr>
            <w:tcW w:w="1290" w:type="dxa"/>
            <w:vAlign w:val="center"/>
          </w:tcPr>
          <w:p w:rsidR="002D416E" w:rsidRDefault="007D75F9">
            <w:pPr>
              <w:jc w:val="left"/>
            </w:pPr>
            <w:r>
              <w:rPr>
                <w:color w:val="000000"/>
                <w:sz w:val="24"/>
              </w:rPr>
              <w:t>过去三个月</w:t>
            </w:r>
          </w:p>
        </w:tc>
        <w:tc>
          <w:tcPr>
            <w:tcW w:w="1291" w:type="dxa"/>
            <w:vAlign w:val="center"/>
          </w:tcPr>
          <w:p w:rsidR="002D416E" w:rsidRDefault="007D75F9">
            <w:pPr>
              <w:jc w:val="center"/>
            </w:pPr>
            <w:r>
              <w:rPr>
                <w:color w:val="000000"/>
                <w:sz w:val="24"/>
              </w:rPr>
              <w:t>13.60%</w:t>
            </w:r>
          </w:p>
        </w:tc>
        <w:tc>
          <w:tcPr>
            <w:tcW w:w="1291" w:type="dxa"/>
            <w:vAlign w:val="center"/>
          </w:tcPr>
          <w:p w:rsidR="002D416E" w:rsidRDefault="007D75F9">
            <w:pPr>
              <w:jc w:val="center"/>
            </w:pPr>
            <w:r>
              <w:rPr>
                <w:color w:val="000000"/>
                <w:sz w:val="24"/>
              </w:rPr>
              <w:t>1.37%</w:t>
            </w:r>
          </w:p>
        </w:tc>
        <w:tc>
          <w:tcPr>
            <w:tcW w:w="1291" w:type="dxa"/>
            <w:vAlign w:val="center"/>
          </w:tcPr>
          <w:p w:rsidR="002D416E" w:rsidRDefault="007D75F9">
            <w:pPr>
              <w:jc w:val="center"/>
            </w:pPr>
            <w:r>
              <w:rPr>
                <w:color w:val="000000"/>
                <w:sz w:val="24"/>
              </w:rPr>
              <w:t>0.89%</w:t>
            </w:r>
          </w:p>
        </w:tc>
        <w:tc>
          <w:tcPr>
            <w:tcW w:w="1291" w:type="dxa"/>
            <w:vAlign w:val="center"/>
          </w:tcPr>
          <w:p w:rsidR="002D416E" w:rsidRDefault="007D75F9">
            <w:pPr>
              <w:jc w:val="center"/>
            </w:pPr>
            <w:r>
              <w:rPr>
                <w:color w:val="000000"/>
                <w:sz w:val="24"/>
              </w:rPr>
              <w:t>0.01%</w:t>
            </w:r>
          </w:p>
        </w:tc>
        <w:tc>
          <w:tcPr>
            <w:tcW w:w="1291" w:type="dxa"/>
            <w:vAlign w:val="center"/>
          </w:tcPr>
          <w:p w:rsidR="002D416E" w:rsidRDefault="007D75F9">
            <w:pPr>
              <w:jc w:val="center"/>
            </w:pPr>
            <w:r>
              <w:rPr>
                <w:color w:val="000000"/>
                <w:sz w:val="24"/>
              </w:rPr>
              <w:t>12.71%</w:t>
            </w:r>
          </w:p>
        </w:tc>
        <w:tc>
          <w:tcPr>
            <w:tcW w:w="1291" w:type="dxa"/>
            <w:vAlign w:val="center"/>
          </w:tcPr>
          <w:p w:rsidR="002D416E" w:rsidRDefault="007D75F9">
            <w:pPr>
              <w:jc w:val="center"/>
            </w:pPr>
            <w:r>
              <w:rPr>
                <w:color w:val="000000"/>
                <w:sz w:val="24"/>
              </w:rPr>
              <w:t>1.36%</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易方达瑞享混合E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2D416E">
        <w:tc>
          <w:tcPr>
            <w:tcW w:w="1290" w:type="dxa"/>
            <w:vAlign w:val="center"/>
          </w:tcPr>
          <w:p w:rsidR="002D416E" w:rsidRDefault="007D75F9">
            <w:pPr>
              <w:jc w:val="left"/>
            </w:pPr>
            <w:r>
              <w:rPr>
                <w:color w:val="000000"/>
                <w:sz w:val="24"/>
              </w:rPr>
              <w:t>过去三个月</w:t>
            </w:r>
          </w:p>
        </w:tc>
        <w:tc>
          <w:tcPr>
            <w:tcW w:w="1291" w:type="dxa"/>
            <w:vAlign w:val="center"/>
          </w:tcPr>
          <w:p w:rsidR="002D416E" w:rsidRDefault="007D75F9">
            <w:pPr>
              <w:jc w:val="center"/>
            </w:pPr>
            <w:r>
              <w:rPr>
                <w:color w:val="000000"/>
                <w:sz w:val="24"/>
              </w:rPr>
              <w:t>13.41%</w:t>
            </w:r>
          </w:p>
        </w:tc>
        <w:tc>
          <w:tcPr>
            <w:tcW w:w="1291" w:type="dxa"/>
            <w:vAlign w:val="center"/>
          </w:tcPr>
          <w:p w:rsidR="002D416E" w:rsidRDefault="007D75F9">
            <w:pPr>
              <w:jc w:val="center"/>
            </w:pPr>
            <w:r>
              <w:rPr>
                <w:color w:val="000000"/>
                <w:sz w:val="24"/>
              </w:rPr>
              <w:t>1.36%</w:t>
            </w:r>
          </w:p>
        </w:tc>
        <w:tc>
          <w:tcPr>
            <w:tcW w:w="1291" w:type="dxa"/>
            <w:vAlign w:val="center"/>
          </w:tcPr>
          <w:p w:rsidR="002D416E" w:rsidRDefault="007D75F9">
            <w:pPr>
              <w:jc w:val="center"/>
            </w:pPr>
            <w:r>
              <w:rPr>
                <w:color w:val="000000"/>
                <w:sz w:val="24"/>
              </w:rPr>
              <w:t>0.89%</w:t>
            </w:r>
          </w:p>
        </w:tc>
        <w:tc>
          <w:tcPr>
            <w:tcW w:w="1291" w:type="dxa"/>
            <w:vAlign w:val="center"/>
          </w:tcPr>
          <w:p w:rsidR="002D416E" w:rsidRDefault="007D75F9">
            <w:pPr>
              <w:jc w:val="center"/>
            </w:pPr>
            <w:r>
              <w:rPr>
                <w:color w:val="000000"/>
                <w:sz w:val="24"/>
              </w:rPr>
              <w:t>0.01%</w:t>
            </w:r>
          </w:p>
        </w:tc>
        <w:tc>
          <w:tcPr>
            <w:tcW w:w="1291" w:type="dxa"/>
            <w:vAlign w:val="center"/>
          </w:tcPr>
          <w:p w:rsidR="002D416E" w:rsidRDefault="007D75F9">
            <w:pPr>
              <w:jc w:val="center"/>
            </w:pPr>
            <w:r>
              <w:rPr>
                <w:color w:val="000000"/>
                <w:sz w:val="24"/>
              </w:rPr>
              <w:t>12.52%</w:t>
            </w:r>
          </w:p>
        </w:tc>
        <w:tc>
          <w:tcPr>
            <w:tcW w:w="1291" w:type="dxa"/>
            <w:vAlign w:val="center"/>
          </w:tcPr>
          <w:p w:rsidR="002D416E" w:rsidRDefault="007D75F9">
            <w:pPr>
              <w:jc w:val="center"/>
            </w:pPr>
            <w:r>
              <w:rPr>
                <w:color w:val="000000"/>
                <w:sz w:val="24"/>
              </w:rPr>
              <w:t>1.35%</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易方达瑞享灵活配置混合型证券投资基金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(2015</w:t>
      </w:r>
      <w:r w:rsidRPr="00FA472B">
        <w:rPr>
          <w:rFonts w:ascii="Times New Roman" w:hAnsi="Times New Roman"/>
          <w:sz w:val="24"/>
          <w:szCs w:val="24"/>
        </w:rPr>
        <w:t>年</w:t>
      </w:r>
      <w:r w:rsidRPr="00FA472B">
        <w:rPr>
          <w:rFonts w:ascii="Times New Roman" w:hAnsi="Times New Roman"/>
          <w:sz w:val="24"/>
          <w:szCs w:val="24"/>
        </w:rPr>
        <w:t>6</w:t>
      </w:r>
      <w:r w:rsidRPr="00FA472B">
        <w:rPr>
          <w:rFonts w:ascii="Times New Roman" w:hAnsi="Times New Roman"/>
          <w:sz w:val="24"/>
          <w:szCs w:val="24"/>
        </w:rPr>
        <w:t>月</w:t>
      </w:r>
      <w:r w:rsidRPr="00FA472B">
        <w:rPr>
          <w:rFonts w:ascii="Times New Roman" w:hAnsi="Times New Roman"/>
          <w:sz w:val="24"/>
          <w:szCs w:val="24"/>
        </w:rPr>
        <w:t>26</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易方达瑞享混合</w:t>
      </w:r>
      <w:r w:rsidRPr="00611CB2">
        <w:rPr>
          <w:color w:val="000000"/>
          <w:sz w:val="24"/>
        </w:rPr>
        <w:t>I</w:t>
      </w:r>
    </w:p>
    <w:p w:rsidR="00F016DD" w:rsidRPr="0078105B" w:rsidRDefault="007D75F9" w:rsidP="00FC7F43">
      <w:pPr>
        <w:pStyle w:val="20"/>
        <w:spacing w:line="288" w:lineRule="auto"/>
        <w:ind w:firstLineChars="0" w:firstLine="0"/>
        <w:jc w:val="center"/>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lastRenderedPageBreak/>
        <w:t>易方达瑞享混合</w:t>
      </w:r>
      <w:r w:rsidRPr="00611CB2">
        <w:rPr>
          <w:color w:val="000000"/>
          <w:sz w:val="24"/>
        </w:rPr>
        <w:t>E</w:t>
      </w:r>
    </w:p>
    <w:p w:rsidR="00F016DD" w:rsidRPr="0078105B" w:rsidRDefault="007D75F9"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I</w:t>
      </w:r>
      <w:r w:rsidRPr="00DF18FE">
        <w:rPr>
          <w:color w:val="000000"/>
          <w:sz w:val="24"/>
        </w:rPr>
        <w:t>类基金份额净值增长率为</w:t>
      </w:r>
      <w:r w:rsidRPr="00DF18FE">
        <w:rPr>
          <w:color w:val="000000"/>
          <w:sz w:val="24"/>
        </w:rPr>
        <w:t>39.50%</w:t>
      </w:r>
      <w:r w:rsidRPr="00DF18FE">
        <w:rPr>
          <w:color w:val="000000"/>
          <w:sz w:val="24"/>
        </w:rPr>
        <w:t>，</w:t>
      </w:r>
      <w:r w:rsidRPr="00DF18FE">
        <w:rPr>
          <w:color w:val="000000"/>
          <w:sz w:val="24"/>
        </w:rPr>
        <w:t>E</w:t>
      </w:r>
      <w:r w:rsidRPr="00DF18FE">
        <w:rPr>
          <w:color w:val="000000"/>
          <w:sz w:val="24"/>
        </w:rPr>
        <w:t>类基金份额净值增长率为</w:t>
      </w:r>
      <w:r w:rsidRPr="00DF18FE">
        <w:rPr>
          <w:color w:val="000000"/>
          <w:sz w:val="24"/>
        </w:rPr>
        <w:t>14.20%</w:t>
      </w:r>
      <w:r w:rsidRPr="00DF18FE">
        <w:rPr>
          <w:color w:val="000000"/>
          <w:sz w:val="24"/>
        </w:rPr>
        <w:t>，同期业绩比较基准收益率为</w:t>
      </w:r>
      <w:r w:rsidRPr="00DF18FE">
        <w:rPr>
          <w:color w:val="000000"/>
          <w:sz w:val="24"/>
        </w:rPr>
        <w:t>15.27%</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2D416E">
        <w:tc>
          <w:tcPr>
            <w:tcW w:w="567" w:type="dxa"/>
            <w:vAlign w:val="center"/>
          </w:tcPr>
          <w:p w:rsidR="002D416E" w:rsidRDefault="007D75F9">
            <w:pPr>
              <w:jc w:val="center"/>
            </w:pPr>
            <w:r>
              <w:rPr>
                <w:color w:val="000000"/>
                <w:sz w:val="24"/>
              </w:rPr>
              <w:t>武阳</w:t>
            </w:r>
          </w:p>
        </w:tc>
        <w:tc>
          <w:tcPr>
            <w:tcW w:w="2835" w:type="dxa"/>
            <w:vAlign w:val="center"/>
          </w:tcPr>
          <w:p w:rsidR="002D416E" w:rsidRDefault="007D75F9">
            <w:pPr>
              <w:jc w:val="center"/>
            </w:pPr>
            <w:r>
              <w:rPr>
                <w:color w:val="000000"/>
                <w:sz w:val="24"/>
              </w:rPr>
              <w:t>本基金的基金经理、易方达价值成长混合型证券投资基金的基金经理</w:t>
            </w:r>
          </w:p>
        </w:tc>
        <w:tc>
          <w:tcPr>
            <w:tcW w:w="851" w:type="dxa"/>
            <w:vAlign w:val="center"/>
          </w:tcPr>
          <w:p w:rsidR="002D416E" w:rsidRDefault="007D75F9">
            <w:pPr>
              <w:jc w:val="center"/>
            </w:pPr>
            <w:r>
              <w:rPr>
                <w:color w:val="000000"/>
                <w:sz w:val="24"/>
              </w:rPr>
              <w:t>2017-12-30</w:t>
            </w:r>
          </w:p>
        </w:tc>
        <w:tc>
          <w:tcPr>
            <w:tcW w:w="850" w:type="dxa"/>
            <w:vAlign w:val="center"/>
          </w:tcPr>
          <w:p w:rsidR="002D416E" w:rsidRDefault="007D75F9">
            <w:pPr>
              <w:jc w:val="center"/>
            </w:pPr>
            <w:r>
              <w:rPr>
                <w:color w:val="000000"/>
                <w:sz w:val="24"/>
              </w:rPr>
              <w:t>-</w:t>
            </w:r>
          </w:p>
        </w:tc>
        <w:tc>
          <w:tcPr>
            <w:tcW w:w="851" w:type="dxa"/>
            <w:vAlign w:val="center"/>
          </w:tcPr>
          <w:p w:rsidR="002D416E" w:rsidRDefault="007D75F9">
            <w:pPr>
              <w:jc w:val="center"/>
            </w:pPr>
            <w:r>
              <w:rPr>
                <w:color w:val="000000"/>
                <w:sz w:val="24"/>
              </w:rPr>
              <w:t>8</w:t>
            </w:r>
            <w:r>
              <w:rPr>
                <w:color w:val="000000"/>
                <w:sz w:val="24"/>
              </w:rPr>
              <w:t>年</w:t>
            </w:r>
          </w:p>
        </w:tc>
        <w:tc>
          <w:tcPr>
            <w:tcW w:w="2977" w:type="dxa"/>
            <w:vAlign w:val="center"/>
          </w:tcPr>
          <w:p w:rsidR="002D416E" w:rsidRDefault="007D75F9">
            <w:r>
              <w:rPr>
                <w:color w:val="000000"/>
                <w:sz w:val="24"/>
              </w:rPr>
              <w:t>硕士研究生，曾任易方达基金管理有限公司行业研究员、易方达策略成长二号混合型证券投资基金的基金经理助理、易方达策略成长证券投资基金的基金经理。</w:t>
            </w:r>
          </w:p>
        </w:tc>
      </w:tr>
    </w:tbl>
    <w:p w:rsidR="002D416E" w:rsidRDefault="007D75F9">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lastRenderedPageBreak/>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2D416E" w:rsidRDefault="007D75F9">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2D416E" w:rsidRDefault="007D75F9">
      <w:pPr>
        <w:spacing w:line="360" w:lineRule="auto"/>
        <w:ind w:firstLineChars="200" w:firstLine="480"/>
        <w:rPr>
          <w:color w:val="000000"/>
          <w:sz w:val="24"/>
        </w:rPr>
      </w:pPr>
      <w:r>
        <w:rPr>
          <w:color w:val="000000"/>
          <w:sz w:val="24"/>
        </w:rPr>
        <w:t>回顾</w:t>
      </w:r>
      <w:r>
        <w:rPr>
          <w:color w:val="000000"/>
          <w:sz w:val="24"/>
        </w:rPr>
        <w:t>2019</w:t>
      </w:r>
      <w:r>
        <w:rPr>
          <w:color w:val="000000"/>
          <w:sz w:val="24"/>
        </w:rPr>
        <w:t>年三季度，国内经济运行较为平稳，略好于此前的悲观预期，而流动性保持相对宽松，金融市去杠杆压力缓和，减税降负政策持续推进。中美贸易摩擦长期化后，市场对其负面预期逐渐淡化，三季度呈现震荡走势，不同指数的表现出现了一定的分化</w:t>
      </w:r>
      <w:r>
        <w:rPr>
          <w:color w:val="000000"/>
          <w:sz w:val="24"/>
        </w:rPr>
        <w:t>。</w:t>
      </w:r>
    </w:p>
    <w:p w:rsidR="002D416E" w:rsidRDefault="007D75F9">
      <w:pPr>
        <w:spacing w:line="360" w:lineRule="auto"/>
        <w:ind w:firstLineChars="200" w:firstLine="480"/>
        <w:rPr>
          <w:color w:val="000000"/>
          <w:sz w:val="24"/>
        </w:rPr>
      </w:pPr>
      <w:r>
        <w:rPr>
          <w:color w:val="000000"/>
          <w:sz w:val="24"/>
        </w:rPr>
        <w:t>截至本报告期末，上证综指收于</w:t>
      </w:r>
      <w:r>
        <w:rPr>
          <w:color w:val="000000"/>
          <w:sz w:val="24"/>
        </w:rPr>
        <w:t>2905.19</w:t>
      </w:r>
      <w:r>
        <w:rPr>
          <w:color w:val="000000"/>
          <w:sz w:val="24"/>
        </w:rPr>
        <w:t>点，下跌</w:t>
      </w:r>
      <w:r>
        <w:rPr>
          <w:color w:val="000000"/>
          <w:sz w:val="24"/>
        </w:rPr>
        <w:t>2.47%</w:t>
      </w:r>
      <w:r>
        <w:rPr>
          <w:color w:val="000000"/>
          <w:sz w:val="24"/>
        </w:rPr>
        <w:t>，深证成指收于</w:t>
      </w:r>
      <w:r>
        <w:rPr>
          <w:color w:val="000000"/>
          <w:sz w:val="24"/>
        </w:rPr>
        <w:t>9446.24</w:t>
      </w:r>
      <w:r>
        <w:rPr>
          <w:color w:val="000000"/>
          <w:sz w:val="24"/>
        </w:rPr>
        <w:t>点，上涨</w:t>
      </w:r>
      <w:r>
        <w:rPr>
          <w:color w:val="000000"/>
          <w:sz w:val="24"/>
        </w:rPr>
        <w:t>2.92%</w:t>
      </w:r>
      <w:r>
        <w:rPr>
          <w:color w:val="000000"/>
          <w:sz w:val="24"/>
        </w:rPr>
        <w:t>，创业板指数收于</w:t>
      </w:r>
      <w:r>
        <w:rPr>
          <w:color w:val="000000"/>
          <w:sz w:val="24"/>
        </w:rPr>
        <w:t>1627.55</w:t>
      </w:r>
      <w:r>
        <w:rPr>
          <w:color w:val="000000"/>
          <w:sz w:val="24"/>
        </w:rPr>
        <w:t>，上涨</w:t>
      </w:r>
      <w:r>
        <w:rPr>
          <w:color w:val="000000"/>
          <w:sz w:val="24"/>
        </w:rPr>
        <w:t>7.68%</w:t>
      </w:r>
      <w:r>
        <w:rPr>
          <w:color w:val="000000"/>
          <w:sz w:val="24"/>
        </w:rPr>
        <w:t>。期间板块分化较为明显，部分行业和龙头公司持续创出今年以来新高。食品饮料、金融行业部分龙头公司行业增速仍然较高，同时受益于较好的竞争格局，在市场调整完成后持续上涨；</w:t>
      </w:r>
      <w:r>
        <w:rPr>
          <w:color w:val="000000"/>
          <w:sz w:val="24"/>
        </w:rPr>
        <w:t>TMT</w:t>
      </w:r>
      <w:r>
        <w:rPr>
          <w:color w:val="000000"/>
          <w:sz w:val="24"/>
        </w:rPr>
        <w:t>行业</w:t>
      </w:r>
      <w:r>
        <w:rPr>
          <w:color w:val="000000"/>
          <w:sz w:val="24"/>
        </w:rPr>
        <w:lastRenderedPageBreak/>
        <w:t>数据持续向好，</w:t>
      </w:r>
      <w:r>
        <w:rPr>
          <w:color w:val="000000"/>
          <w:sz w:val="24"/>
        </w:rPr>
        <w:t>5G</w:t>
      </w:r>
      <w:r>
        <w:rPr>
          <w:color w:val="000000"/>
          <w:sz w:val="24"/>
        </w:rPr>
        <w:t>带来增量的成长逻辑较清晰，也纷纷表现强势；券商、高端制造等行业在二季度出现明显下跌后，三季度出现较大幅度反弹；生猪价格延续了二季度上涨的趋势，但由于此前市场预期较高</w:t>
      </w:r>
      <w:r>
        <w:rPr>
          <w:color w:val="000000"/>
          <w:sz w:val="24"/>
        </w:rPr>
        <w:t>，农业板块相关公司股价宽幅震荡；其余各行业表现与市场较为一致。报告期内，外资持续增持</w:t>
      </w:r>
      <w:r>
        <w:rPr>
          <w:color w:val="000000"/>
          <w:sz w:val="24"/>
        </w:rPr>
        <w:t>A</w:t>
      </w:r>
      <w:r>
        <w:rPr>
          <w:color w:val="000000"/>
          <w:sz w:val="24"/>
        </w:rPr>
        <w:t>股，主要原因是贸易摩擦预期转好、汇率维持相对稳定。</w:t>
      </w:r>
    </w:p>
    <w:p w:rsidR="00F016DD" w:rsidRPr="00DF18FE" w:rsidRDefault="00F016DD" w:rsidP="00DF18FE">
      <w:pPr>
        <w:spacing w:line="360" w:lineRule="auto"/>
        <w:ind w:firstLineChars="200" w:firstLine="480"/>
        <w:rPr>
          <w:color w:val="000000"/>
          <w:sz w:val="24"/>
        </w:rPr>
      </w:pPr>
      <w:r w:rsidRPr="00DF18FE">
        <w:rPr>
          <w:color w:val="000000"/>
          <w:sz w:val="24"/>
        </w:rPr>
        <w:t>本基金三季度维持了较高的仓位，配置上仍以信息技术、高端制造、生物医药、社会服务等为主要配置方向，在宏观环境前景不明朗的情况下，降低了对受宏观周期影响较大的行业的配置比例，增加了部分相对稳健、估值合理的消费、医药和国防军工行业的配置比例，同时加强了对持仓公司现金流回报和</w:t>
      </w:r>
      <w:r w:rsidRPr="00DF18FE">
        <w:rPr>
          <w:color w:val="000000"/>
          <w:sz w:val="24"/>
        </w:rPr>
        <w:t>ROE</w:t>
      </w:r>
      <w:r w:rsidRPr="00DF18FE">
        <w:rPr>
          <w:color w:val="000000"/>
          <w:sz w:val="24"/>
        </w:rPr>
        <w:t>稳定性的关注。未来本基金仍会主要围绕上述</w:t>
      </w:r>
      <w:r w:rsidRPr="00DF18FE">
        <w:rPr>
          <w:color w:val="000000"/>
          <w:sz w:val="24"/>
        </w:rPr>
        <w:t>“</w:t>
      </w:r>
      <w:r w:rsidRPr="00DF18FE">
        <w:rPr>
          <w:color w:val="000000"/>
          <w:sz w:val="24"/>
        </w:rPr>
        <w:t>科技创新</w:t>
      </w:r>
      <w:r w:rsidRPr="00DF18FE">
        <w:rPr>
          <w:color w:val="000000"/>
          <w:sz w:val="24"/>
        </w:rPr>
        <w:t>+</w:t>
      </w:r>
      <w:r w:rsidRPr="00DF18FE">
        <w:rPr>
          <w:color w:val="000000"/>
          <w:sz w:val="24"/>
        </w:rPr>
        <w:t>高景气度</w:t>
      </w:r>
      <w:r w:rsidRPr="00DF18FE">
        <w:rPr>
          <w:color w:val="000000"/>
          <w:sz w:val="24"/>
        </w:rPr>
        <w:t>”</w:t>
      </w:r>
      <w:r w:rsidRPr="00DF18FE">
        <w:rPr>
          <w:color w:val="000000"/>
          <w:sz w:val="24"/>
        </w:rPr>
        <w:t>类行业进行配置，同时加强对个股的精选。</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I</w:t>
      </w:r>
      <w:r w:rsidRPr="00DF18FE">
        <w:rPr>
          <w:color w:val="000000"/>
          <w:sz w:val="24"/>
        </w:rPr>
        <w:t>类基金份额净值为</w:t>
      </w:r>
      <w:r w:rsidRPr="00DF18FE">
        <w:rPr>
          <w:color w:val="000000"/>
          <w:sz w:val="24"/>
        </w:rPr>
        <w:t>1.395</w:t>
      </w:r>
      <w:r w:rsidRPr="00DF18FE">
        <w:rPr>
          <w:color w:val="000000"/>
          <w:sz w:val="24"/>
        </w:rPr>
        <w:t>元，本报告期份额净值增长率为</w:t>
      </w:r>
      <w:r w:rsidRPr="00DF18FE">
        <w:rPr>
          <w:color w:val="000000"/>
          <w:sz w:val="24"/>
        </w:rPr>
        <w:t>13.60%</w:t>
      </w:r>
      <w:r w:rsidRPr="00DF18FE">
        <w:rPr>
          <w:color w:val="000000"/>
          <w:sz w:val="24"/>
        </w:rPr>
        <w:t>；</w:t>
      </w:r>
      <w:r w:rsidRPr="00DF18FE">
        <w:rPr>
          <w:color w:val="000000"/>
          <w:sz w:val="24"/>
        </w:rPr>
        <w:t>E</w:t>
      </w:r>
      <w:r w:rsidRPr="00DF18FE">
        <w:rPr>
          <w:color w:val="000000"/>
          <w:sz w:val="24"/>
        </w:rPr>
        <w:t>类基金份额净值为</w:t>
      </w:r>
      <w:r w:rsidRPr="00DF18FE">
        <w:rPr>
          <w:color w:val="000000"/>
          <w:sz w:val="24"/>
        </w:rPr>
        <w:t>1.142</w:t>
      </w:r>
      <w:r w:rsidRPr="00DF18FE">
        <w:rPr>
          <w:color w:val="000000"/>
          <w:sz w:val="24"/>
        </w:rPr>
        <w:t>元，本报告期份额净值增长率为</w:t>
      </w:r>
      <w:r w:rsidRPr="00DF18FE">
        <w:rPr>
          <w:color w:val="000000"/>
          <w:sz w:val="24"/>
        </w:rPr>
        <w:t>13.41%</w:t>
      </w:r>
      <w:r w:rsidRPr="00DF18FE">
        <w:rPr>
          <w:color w:val="000000"/>
          <w:sz w:val="24"/>
        </w:rPr>
        <w:t>；同期业绩比较基准收益率为</w:t>
      </w:r>
      <w:r w:rsidRPr="00DF18FE">
        <w:rPr>
          <w:color w:val="000000"/>
          <w:sz w:val="24"/>
        </w:rPr>
        <w:t>0.89%</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172,836,499.66</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87.93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172,836,499.66</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87.93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21,235,114.94</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10.80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2,495,640.59</w:t>
            </w:r>
          </w:p>
        </w:tc>
        <w:tc>
          <w:tcPr>
            <w:tcW w:w="1843" w:type="dxa"/>
            <w:vAlign w:val="center"/>
          </w:tcPr>
          <w:p w:rsidR="00F016DD" w:rsidRPr="00FA472B" w:rsidRDefault="00F016DD" w:rsidP="00F4518C">
            <w:pPr>
              <w:jc w:val="right"/>
              <w:rPr>
                <w:color w:val="000000"/>
                <w:sz w:val="24"/>
              </w:rPr>
            </w:pPr>
            <w:r w:rsidRPr="00FA472B">
              <w:rPr>
                <w:color w:val="000000"/>
                <w:sz w:val="24"/>
              </w:rPr>
              <w:t>1.27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196,567,255.19</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68,468,489.59</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34.96</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84,300,926.77</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43.04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20,067,083.30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10.25</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172,836,499.66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88.24</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lastRenderedPageBreak/>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2D416E">
        <w:tc>
          <w:tcPr>
            <w:tcW w:w="817" w:type="dxa"/>
            <w:vAlign w:val="center"/>
          </w:tcPr>
          <w:p w:rsidR="002D416E" w:rsidRDefault="007D75F9">
            <w:pPr>
              <w:jc w:val="center"/>
            </w:pPr>
            <w:r>
              <w:rPr>
                <w:color w:val="000000"/>
                <w:sz w:val="24"/>
              </w:rPr>
              <w:t>1</w:t>
            </w:r>
          </w:p>
        </w:tc>
        <w:tc>
          <w:tcPr>
            <w:tcW w:w="1276" w:type="dxa"/>
            <w:vAlign w:val="center"/>
          </w:tcPr>
          <w:p w:rsidR="002D416E" w:rsidRDefault="007D75F9">
            <w:pPr>
              <w:jc w:val="center"/>
            </w:pPr>
            <w:r>
              <w:rPr>
                <w:color w:val="000000"/>
                <w:sz w:val="24"/>
              </w:rPr>
              <w:t>300144</w:t>
            </w:r>
          </w:p>
        </w:tc>
        <w:tc>
          <w:tcPr>
            <w:tcW w:w="1417" w:type="dxa"/>
            <w:vAlign w:val="center"/>
          </w:tcPr>
          <w:p w:rsidR="002D416E" w:rsidRDefault="007D75F9">
            <w:pPr>
              <w:jc w:val="center"/>
            </w:pPr>
            <w:r>
              <w:rPr>
                <w:color w:val="000000"/>
                <w:sz w:val="24"/>
              </w:rPr>
              <w:t>宋城演艺</w:t>
            </w:r>
          </w:p>
        </w:tc>
        <w:tc>
          <w:tcPr>
            <w:tcW w:w="1560" w:type="dxa"/>
            <w:vAlign w:val="center"/>
          </w:tcPr>
          <w:p w:rsidR="002D416E" w:rsidRDefault="007D75F9">
            <w:pPr>
              <w:jc w:val="right"/>
            </w:pPr>
            <w:r>
              <w:rPr>
                <w:color w:val="000000"/>
                <w:sz w:val="24"/>
              </w:rPr>
              <w:t>701,945</w:t>
            </w:r>
          </w:p>
        </w:tc>
        <w:tc>
          <w:tcPr>
            <w:tcW w:w="2268" w:type="dxa"/>
            <w:vAlign w:val="center"/>
          </w:tcPr>
          <w:p w:rsidR="002D416E" w:rsidRDefault="007D75F9">
            <w:pPr>
              <w:jc w:val="right"/>
            </w:pPr>
            <w:r>
              <w:rPr>
                <w:color w:val="000000"/>
                <w:sz w:val="24"/>
              </w:rPr>
              <w:t>19,612,343.30</w:t>
            </w:r>
          </w:p>
        </w:tc>
        <w:tc>
          <w:tcPr>
            <w:tcW w:w="1559" w:type="dxa"/>
            <w:vAlign w:val="center"/>
          </w:tcPr>
          <w:p w:rsidR="002D416E" w:rsidRDefault="007D75F9">
            <w:pPr>
              <w:jc w:val="right"/>
            </w:pPr>
            <w:r>
              <w:rPr>
                <w:color w:val="000000"/>
                <w:sz w:val="24"/>
              </w:rPr>
              <w:t>10.01</w:t>
            </w:r>
          </w:p>
        </w:tc>
      </w:tr>
      <w:tr w:rsidR="002D416E">
        <w:tc>
          <w:tcPr>
            <w:tcW w:w="817" w:type="dxa"/>
            <w:vAlign w:val="center"/>
          </w:tcPr>
          <w:p w:rsidR="002D416E" w:rsidRDefault="007D75F9">
            <w:pPr>
              <w:jc w:val="center"/>
            </w:pPr>
            <w:r>
              <w:rPr>
                <w:color w:val="000000"/>
                <w:sz w:val="24"/>
              </w:rPr>
              <w:t>2</w:t>
            </w:r>
          </w:p>
        </w:tc>
        <w:tc>
          <w:tcPr>
            <w:tcW w:w="1276" w:type="dxa"/>
            <w:vAlign w:val="center"/>
          </w:tcPr>
          <w:p w:rsidR="002D416E" w:rsidRDefault="007D75F9">
            <w:pPr>
              <w:jc w:val="center"/>
            </w:pPr>
            <w:r>
              <w:rPr>
                <w:color w:val="000000"/>
                <w:sz w:val="24"/>
              </w:rPr>
              <w:t>002153</w:t>
            </w:r>
          </w:p>
        </w:tc>
        <w:tc>
          <w:tcPr>
            <w:tcW w:w="1417" w:type="dxa"/>
            <w:vAlign w:val="center"/>
          </w:tcPr>
          <w:p w:rsidR="002D416E" w:rsidRDefault="007D75F9">
            <w:pPr>
              <w:jc w:val="center"/>
            </w:pPr>
            <w:r>
              <w:rPr>
                <w:color w:val="000000"/>
                <w:sz w:val="24"/>
              </w:rPr>
              <w:t>石基信息</w:t>
            </w:r>
          </w:p>
        </w:tc>
        <w:tc>
          <w:tcPr>
            <w:tcW w:w="1560" w:type="dxa"/>
            <w:vAlign w:val="center"/>
          </w:tcPr>
          <w:p w:rsidR="002D416E" w:rsidRDefault="007D75F9">
            <w:pPr>
              <w:jc w:val="right"/>
            </w:pPr>
            <w:r>
              <w:rPr>
                <w:color w:val="000000"/>
                <w:sz w:val="24"/>
              </w:rPr>
              <w:t>488,638</w:t>
            </w:r>
          </w:p>
        </w:tc>
        <w:tc>
          <w:tcPr>
            <w:tcW w:w="2268" w:type="dxa"/>
            <w:vAlign w:val="center"/>
          </w:tcPr>
          <w:p w:rsidR="002D416E" w:rsidRDefault="007D75F9">
            <w:pPr>
              <w:jc w:val="right"/>
            </w:pPr>
            <w:r>
              <w:rPr>
                <w:color w:val="000000"/>
                <w:sz w:val="24"/>
              </w:rPr>
              <w:t>19,276,769.10</w:t>
            </w:r>
          </w:p>
        </w:tc>
        <w:tc>
          <w:tcPr>
            <w:tcW w:w="1559" w:type="dxa"/>
            <w:vAlign w:val="center"/>
          </w:tcPr>
          <w:p w:rsidR="002D416E" w:rsidRDefault="007D75F9">
            <w:pPr>
              <w:jc w:val="right"/>
            </w:pPr>
            <w:r>
              <w:rPr>
                <w:color w:val="000000"/>
                <w:sz w:val="24"/>
              </w:rPr>
              <w:t>9.84</w:t>
            </w:r>
          </w:p>
        </w:tc>
      </w:tr>
      <w:tr w:rsidR="002D416E">
        <w:tc>
          <w:tcPr>
            <w:tcW w:w="817" w:type="dxa"/>
            <w:vAlign w:val="center"/>
          </w:tcPr>
          <w:p w:rsidR="002D416E" w:rsidRDefault="007D75F9">
            <w:pPr>
              <w:jc w:val="center"/>
            </w:pPr>
            <w:r>
              <w:rPr>
                <w:color w:val="000000"/>
                <w:sz w:val="24"/>
              </w:rPr>
              <w:t>3</w:t>
            </w:r>
          </w:p>
        </w:tc>
        <w:tc>
          <w:tcPr>
            <w:tcW w:w="1276" w:type="dxa"/>
            <w:vAlign w:val="center"/>
          </w:tcPr>
          <w:p w:rsidR="002D416E" w:rsidRDefault="007D75F9">
            <w:pPr>
              <w:jc w:val="center"/>
            </w:pPr>
            <w:r>
              <w:rPr>
                <w:color w:val="000000"/>
                <w:sz w:val="24"/>
              </w:rPr>
              <w:t>002415</w:t>
            </w:r>
          </w:p>
        </w:tc>
        <w:tc>
          <w:tcPr>
            <w:tcW w:w="1417" w:type="dxa"/>
            <w:vAlign w:val="center"/>
          </w:tcPr>
          <w:p w:rsidR="002D416E" w:rsidRDefault="007D75F9">
            <w:pPr>
              <w:jc w:val="center"/>
            </w:pPr>
            <w:r>
              <w:rPr>
                <w:color w:val="000000"/>
                <w:sz w:val="24"/>
              </w:rPr>
              <w:t>海康威视</w:t>
            </w:r>
          </w:p>
        </w:tc>
        <w:tc>
          <w:tcPr>
            <w:tcW w:w="1560" w:type="dxa"/>
            <w:vAlign w:val="center"/>
          </w:tcPr>
          <w:p w:rsidR="002D416E" w:rsidRDefault="007D75F9">
            <w:pPr>
              <w:jc w:val="right"/>
            </w:pPr>
            <w:r>
              <w:rPr>
                <w:color w:val="000000"/>
                <w:sz w:val="24"/>
              </w:rPr>
              <w:t>582,700</w:t>
            </w:r>
          </w:p>
        </w:tc>
        <w:tc>
          <w:tcPr>
            <w:tcW w:w="2268" w:type="dxa"/>
            <w:vAlign w:val="center"/>
          </w:tcPr>
          <w:p w:rsidR="002D416E" w:rsidRDefault="007D75F9">
            <w:pPr>
              <w:jc w:val="right"/>
            </w:pPr>
            <w:r>
              <w:rPr>
                <w:color w:val="000000"/>
                <w:sz w:val="24"/>
              </w:rPr>
              <w:t>18,821,210.00</w:t>
            </w:r>
          </w:p>
        </w:tc>
        <w:tc>
          <w:tcPr>
            <w:tcW w:w="1559" w:type="dxa"/>
            <w:vAlign w:val="center"/>
          </w:tcPr>
          <w:p w:rsidR="002D416E" w:rsidRDefault="007D75F9">
            <w:pPr>
              <w:jc w:val="right"/>
            </w:pPr>
            <w:r>
              <w:rPr>
                <w:color w:val="000000"/>
                <w:sz w:val="24"/>
              </w:rPr>
              <w:t>9.61</w:t>
            </w:r>
          </w:p>
        </w:tc>
      </w:tr>
      <w:tr w:rsidR="002D416E">
        <w:tc>
          <w:tcPr>
            <w:tcW w:w="817" w:type="dxa"/>
            <w:vAlign w:val="center"/>
          </w:tcPr>
          <w:p w:rsidR="002D416E" w:rsidRDefault="007D75F9">
            <w:pPr>
              <w:jc w:val="center"/>
            </w:pPr>
            <w:r>
              <w:rPr>
                <w:color w:val="000000"/>
                <w:sz w:val="24"/>
              </w:rPr>
              <w:t>4</w:t>
            </w:r>
          </w:p>
        </w:tc>
        <w:tc>
          <w:tcPr>
            <w:tcW w:w="1276" w:type="dxa"/>
            <w:vAlign w:val="center"/>
          </w:tcPr>
          <w:p w:rsidR="002D416E" w:rsidRDefault="007D75F9">
            <w:pPr>
              <w:jc w:val="center"/>
            </w:pPr>
            <w:r>
              <w:rPr>
                <w:color w:val="000000"/>
                <w:sz w:val="24"/>
              </w:rPr>
              <w:t>600967</w:t>
            </w:r>
          </w:p>
        </w:tc>
        <w:tc>
          <w:tcPr>
            <w:tcW w:w="1417" w:type="dxa"/>
            <w:vAlign w:val="center"/>
          </w:tcPr>
          <w:p w:rsidR="002D416E" w:rsidRDefault="007D75F9">
            <w:pPr>
              <w:jc w:val="center"/>
            </w:pPr>
            <w:r>
              <w:rPr>
                <w:color w:val="000000"/>
                <w:sz w:val="24"/>
              </w:rPr>
              <w:t>内蒙一机</w:t>
            </w:r>
          </w:p>
        </w:tc>
        <w:tc>
          <w:tcPr>
            <w:tcW w:w="1560" w:type="dxa"/>
            <w:vAlign w:val="center"/>
          </w:tcPr>
          <w:p w:rsidR="002D416E" w:rsidRDefault="007D75F9">
            <w:pPr>
              <w:jc w:val="right"/>
            </w:pPr>
            <w:r>
              <w:rPr>
                <w:color w:val="000000"/>
                <w:sz w:val="24"/>
              </w:rPr>
              <w:t>1,756,500</w:t>
            </w:r>
          </w:p>
        </w:tc>
        <w:tc>
          <w:tcPr>
            <w:tcW w:w="2268" w:type="dxa"/>
            <w:vAlign w:val="center"/>
          </w:tcPr>
          <w:p w:rsidR="002D416E" w:rsidRDefault="007D75F9">
            <w:pPr>
              <w:jc w:val="right"/>
            </w:pPr>
            <w:r>
              <w:rPr>
                <w:color w:val="000000"/>
                <w:sz w:val="24"/>
              </w:rPr>
              <w:t>18,495,945.00</w:t>
            </w:r>
          </w:p>
        </w:tc>
        <w:tc>
          <w:tcPr>
            <w:tcW w:w="1559" w:type="dxa"/>
            <w:vAlign w:val="center"/>
          </w:tcPr>
          <w:p w:rsidR="002D416E" w:rsidRDefault="007D75F9">
            <w:pPr>
              <w:jc w:val="right"/>
            </w:pPr>
            <w:r>
              <w:rPr>
                <w:color w:val="000000"/>
                <w:sz w:val="24"/>
              </w:rPr>
              <w:t>9.44</w:t>
            </w:r>
          </w:p>
        </w:tc>
      </w:tr>
      <w:tr w:rsidR="002D416E">
        <w:tc>
          <w:tcPr>
            <w:tcW w:w="817" w:type="dxa"/>
            <w:vAlign w:val="center"/>
          </w:tcPr>
          <w:p w:rsidR="002D416E" w:rsidRDefault="007D75F9">
            <w:pPr>
              <w:jc w:val="center"/>
            </w:pPr>
            <w:r>
              <w:rPr>
                <w:color w:val="000000"/>
                <w:sz w:val="24"/>
              </w:rPr>
              <w:t>5</w:t>
            </w:r>
          </w:p>
        </w:tc>
        <w:tc>
          <w:tcPr>
            <w:tcW w:w="1276" w:type="dxa"/>
            <w:vAlign w:val="center"/>
          </w:tcPr>
          <w:p w:rsidR="002D416E" w:rsidRDefault="007D75F9">
            <w:pPr>
              <w:jc w:val="center"/>
            </w:pPr>
            <w:r>
              <w:rPr>
                <w:color w:val="000000"/>
                <w:sz w:val="24"/>
              </w:rPr>
              <w:t>600570</w:t>
            </w:r>
          </w:p>
        </w:tc>
        <w:tc>
          <w:tcPr>
            <w:tcW w:w="1417" w:type="dxa"/>
            <w:vAlign w:val="center"/>
          </w:tcPr>
          <w:p w:rsidR="002D416E" w:rsidRDefault="007D75F9">
            <w:pPr>
              <w:jc w:val="center"/>
            </w:pPr>
            <w:r>
              <w:rPr>
                <w:color w:val="000000"/>
                <w:sz w:val="24"/>
              </w:rPr>
              <w:t>恒生电子</w:t>
            </w:r>
          </w:p>
        </w:tc>
        <w:tc>
          <w:tcPr>
            <w:tcW w:w="1560" w:type="dxa"/>
            <w:vAlign w:val="center"/>
          </w:tcPr>
          <w:p w:rsidR="002D416E" w:rsidRDefault="007D75F9">
            <w:pPr>
              <w:jc w:val="right"/>
            </w:pPr>
            <w:r>
              <w:rPr>
                <w:color w:val="000000"/>
                <w:sz w:val="24"/>
              </w:rPr>
              <w:t>227,370</w:t>
            </w:r>
          </w:p>
        </w:tc>
        <w:tc>
          <w:tcPr>
            <w:tcW w:w="2268" w:type="dxa"/>
            <w:vAlign w:val="center"/>
          </w:tcPr>
          <w:p w:rsidR="002D416E" w:rsidRDefault="007D75F9">
            <w:pPr>
              <w:jc w:val="right"/>
            </w:pPr>
            <w:r>
              <w:rPr>
                <w:color w:val="000000"/>
                <w:sz w:val="24"/>
              </w:rPr>
              <w:t>16,809,464.10</w:t>
            </w:r>
          </w:p>
        </w:tc>
        <w:tc>
          <w:tcPr>
            <w:tcW w:w="1559" w:type="dxa"/>
            <w:vAlign w:val="center"/>
          </w:tcPr>
          <w:p w:rsidR="002D416E" w:rsidRDefault="007D75F9">
            <w:pPr>
              <w:jc w:val="right"/>
            </w:pPr>
            <w:r>
              <w:rPr>
                <w:color w:val="000000"/>
                <w:sz w:val="24"/>
              </w:rPr>
              <w:t>8.58</w:t>
            </w:r>
          </w:p>
        </w:tc>
      </w:tr>
      <w:tr w:rsidR="002D416E">
        <w:tc>
          <w:tcPr>
            <w:tcW w:w="817" w:type="dxa"/>
            <w:vAlign w:val="center"/>
          </w:tcPr>
          <w:p w:rsidR="002D416E" w:rsidRDefault="007D75F9">
            <w:pPr>
              <w:jc w:val="center"/>
            </w:pPr>
            <w:r>
              <w:rPr>
                <w:color w:val="000000"/>
                <w:sz w:val="24"/>
              </w:rPr>
              <w:t>6</w:t>
            </w:r>
          </w:p>
        </w:tc>
        <w:tc>
          <w:tcPr>
            <w:tcW w:w="1276" w:type="dxa"/>
            <w:vAlign w:val="center"/>
          </w:tcPr>
          <w:p w:rsidR="002D416E" w:rsidRDefault="007D75F9">
            <w:pPr>
              <w:jc w:val="center"/>
            </w:pPr>
            <w:r>
              <w:rPr>
                <w:color w:val="000000"/>
                <w:sz w:val="24"/>
              </w:rPr>
              <w:t>002410</w:t>
            </w:r>
          </w:p>
        </w:tc>
        <w:tc>
          <w:tcPr>
            <w:tcW w:w="1417" w:type="dxa"/>
            <w:vAlign w:val="center"/>
          </w:tcPr>
          <w:p w:rsidR="002D416E" w:rsidRDefault="007D75F9">
            <w:pPr>
              <w:jc w:val="center"/>
            </w:pPr>
            <w:r>
              <w:rPr>
                <w:color w:val="000000"/>
                <w:sz w:val="24"/>
              </w:rPr>
              <w:t>广联达</w:t>
            </w:r>
          </w:p>
        </w:tc>
        <w:tc>
          <w:tcPr>
            <w:tcW w:w="1560" w:type="dxa"/>
            <w:vAlign w:val="center"/>
          </w:tcPr>
          <w:p w:rsidR="002D416E" w:rsidRDefault="007D75F9">
            <w:pPr>
              <w:jc w:val="right"/>
            </w:pPr>
            <w:r>
              <w:rPr>
                <w:color w:val="000000"/>
                <w:sz w:val="24"/>
              </w:rPr>
              <w:t>344,700</w:t>
            </w:r>
          </w:p>
        </w:tc>
        <w:tc>
          <w:tcPr>
            <w:tcW w:w="2268" w:type="dxa"/>
            <w:vAlign w:val="center"/>
          </w:tcPr>
          <w:p w:rsidR="002D416E" w:rsidRDefault="007D75F9">
            <w:pPr>
              <w:jc w:val="right"/>
            </w:pPr>
            <w:r>
              <w:rPr>
                <w:color w:val="000000"/>
                <w:sz w:val="24"/>
              </w:rPr>
              <w:t>12,233,403.00</w:t>
            </w:r>
          </w:p>
        </w:tc>
        <w:tc>
          <w:tcPr>
            <w:tcW w:w="1559" w:type="dxa"/>
            <w:vAlign w:val="center"/>
          </w:tcPr>
          <w:p w:rsidR="002D416E" w:rsidRDefault="007D75F9">
            <w:pPr>
              <w:jc w:val="right"/>
            </w:pPr>
            <w:r>
              <w:rPr>
                <w:color w:val="000000"/>
                <w:sz w:val="24"/>
              </w:rPr>
              <w:t>6.25</w:t>
            </w:r>
          </w:p>
        </w:tc>
      </w:tr>
      <w:tr w:rsidR="002D416E">
        <w:tc>
          <w:tcPr>
            <w:tcW w:w="817" w:type="dxa"/>
            <w:vAlign w:val="center"/>
          </w:tcPr>
          <w:p w:rsidR="002D416E" w:rsidRDefault="007D75F9">
            <w:pPr>
              <w:jc w:val="center"/>
            </w:pPr>
            <w:r>
              <w:rPr>
                <w:color w:val="000000"/>
                <w:sz w:val="24"/>
              </w:rPr>
              <w:t>7</w:t>
            </w:r>
          </w:p>
        </w:tc>
        <w:tc>
          <w:tcPr>
            <w:tcW w:w="1276" w:type="dxa"/>
            <w:vAlign w:val="center"/>
          </w:tcPr>
          <w:p w:rsidR="002D416E" w:rsidRDefault="007D75F9">
            <w:pPr>
              <w:jc w:val="center"/>
            </w:pPr>
            <w:r>
              <w:rPr>
                <w:color w:val="000000"/>
                <w:sz w:val="24"/>
              </w:rPr>
              <w:t>300357</w:t>
            </w:r>
          </w:p>
        </w:tc>
        <w:tc>
          <w:tcPr>
            <w:tcW w:w="1417" w:type="dxa"/>
            <w:vAlign w:val="center"/>
          </w:tcPr>
          <w:p w:rsidR="002D416E" w:rsidRDefault="007D75F9">
            <w:pPr>
              <w:jc w:val="center"/>
            </w:pPr>
            <w:r>
              <w:rPr>
                <w:color w:val="000000"/>
                <w:sz w:val="24"/>
              </w:rPr>
              <w:t>我武生物</w:t>
            </w:r>
          </w:p>
        </w:tc>
        <w:tc>
          <w:tcPr>
            <w:tcW w:w="1560" w:type="dxa"/>
            <w:vAlign w:val="center"/>
          </w:tcPr>
          <w:p w:rsidR="002D416E" w:rsidRDefault="007D75F9">
            <w:pPr>
              <w:jc w:val="right"/>
            </w:pPr>
            <w:r>
              <w:rPr>
                <w:color w:val="000000"/>
                <w:sz w:val="24"/>
              </w:rPr>
              <w:t>285,080</w:t>
            </w:r>
          </w:p>
        </w:tc>
        <w:tc>
          <w:tcPr>
            <w:tcW w:w="2268" w:type="dxa"/>
            <w:vAlign w:val="center"/>
          </w:tcPr>
          <w:p w:rsidR="002D416E" w:rsidRDefault="007D75F9">
            <w:pPr>
              <w:jc w:val="right"/>
            </w:pPr>
            <w:r>
              <w:rPr>
                <w:color w:val="000000"/>
                <w:sz w:val="24"/>
              </w:rPr>
              <w:t>11,768,102.40</w:t>
            </w:r>
          </w:p>
        </w:tc>
        <w:tc>
          <w:tcPr>
            <w:tcW w:w="1559" w:type="dxa"/>
            <w:vAlign w:val="center"/>
          </w:tcPr>
          <w:p w:rsidR="002D416E" w:rsidRDefault="007D75F9">
            <w:pPr>
              <w:jc w:val="right"/>
            </w:pPr>
            <w:r>
              <w:rPr>
                <w:color w:val="000000"/>
                <w:sz w:val="24"/>
              </w:rPr>
              <w:t>6.01</w:t>
            </w:r>
          </w:p>
        </w:tc>
      </w:tr>
      <w:tr w:rsidR="002D416E">
        <w:tc>
          <w:tcPr>
            <w:tcW w:w="817" w:type="dxa"/>
            <w:vAlign w:val="center"/>
          </w:tcPr>
          <w:p w:rsidR="002D416E" w:rsidRDefault="007D75F9">
            <w:pPr>
              <w:jc w:val="center"/>
            </w:pPr>
            <w:r>
              <w:rPr>
                <w:color w:val="000000"/>
                <w:sz w:val="24"/>
              </w:rPr>
              <w:t>8</w:t>
            </w:r>
          </w:p>
        </w:tc>
        <w:tc>
          <w:tcPr>
            <w:tcW w:w="1276" w:type="dxa"/>
            <w:vAlign w:val="center"/>
          </w:tcPr>
          <w:p w:rsidR="002D416E" w:rsidRDefault="007D75F9">
            <w:pPr>
              <w:jc w:val="center"/>
            </w:pPr>
            <w:r>
              <w:rPr>
                <w:color w:val="000000"/>
                <w:sz w:val="24"/>
              </w:rPr>
              <w:t>002405</w:t>
            </w:r>
          </w:p>
        </w:tc>
        <w:tc>
          <w:tcPr>
            <w:tcW w:w="1417" w:type="dxa"/>
            <w:vAlign w:val="center"/>
          </w:tcPr>
          <w:p w:rsidR="002D416E" w:rsidRDefault="007D75F9">
            <w:pPr>
              <w:jc w:val="center"/>
            </w:pPr>
            <w:r>
              <w:rPr>
                <w:color w:val="000000"/>
                <w:sz w:val="24"/>
              </w:rPr>
              <w:t>四维图新</w:t>
            </w:r>
          </w:p>
        </w:tc>
        <w:tc>
          <w:tcPr>
            <w:tcW w:w="1560" w:type="dxa"/>
            <w:vAlign w:val="center"/>
          </w:tcPr>
          <w:p w:rsidR="002D416E" w:rsidRDefault="007D75F9">
            <w:pPr>
              <w:jc w:val="right"/>
            </w:pPr>
            <w:r>
              <w:rPr>
                <w:color w:val="000000"/>
                <w:sz w:val="24"/>
              </w:rPr>
              <w:t>663,000</w:t>
            </w:r>
          </w:p>
        </w:tc>
        <w:tc>
          <w:tcPr>
            <w:tcW w:w="2268" w:type="dxa"/>
            <w:vAlign w:val="center"/>
          </w:tcPr>
          <w:p w:rsidR="002D416E" w:rsidRDefault="007D75F9">
            <w:pPr>
              <w:jc w:val="right"/>
            </w:pPr>
            <w:r>
              <w:rPr>
                <w:color w:val="000000"/>
                <w:sz w:val="24"/>
              </w:rPr>
              <w:t>10,793,640.00</w:t>
            </w:r>
          </w:p>
        </w:tc>
        <w:tc>
          <w:tcPr>
            <w:tcW w:w="1559" w:type="dxa"/>
            <w:vAlign w:val="center"/>
          </w:tcPr>
          <w:p w:rsidR="002D416E" w:rsidRDefault="007D75F9">
            <w:pPr>
              <w:jc w:val="right"/>
            </w:pPr>
            <w:r>
              <w:rPr>
                <w:color w:val="000000"/>
                <w:sz w:val="24"/>
              </w:rPr>
              <w:t>5.51</w:t>
            </w:r>
          </w:p>
        </w:tc>
      </w:tr>
      <w:tr w:rsidR="002D416E">
        <w:tc>
          <w:tcPr>
            <w:tcW w:w="817" w:type="dxa"/>
            <w:vAlign w:val="center"/>
          </w:tcPr>
          <w:p w:rsidR="002D416E" w:rsidRDefault="007D75F9">
            <w:pPr>
              <w:jc w:val="center"/>
            </w:pPr>
            <w:r>
              <w:rPr>
                <w:color w:val="000000"/>
                <w:sz w:val="24"/>
              </w:rPr>
              <w:t>9</w:t>
            </w:r>
          </w:p>
        </w:tc>
        <w:tc>
          <w:tcPr>
            <w:tcW w:w="1276" w:type="dxa"/>
            <w:vAlign w:val="center"/>
          </w:tcPr>
          <w:p w:rsidR="002D416E" w:rsidRDefault="007D75F9">
            <w:pPr>
              <w:jc w:val="center"/>
            </w:pPr>
            <w:r>
              <w:rPr>
                <w:color w:val="000000"/>
                <w:sz w:val="24"/>
              </w:rPr>
              <w:t>600588</w:t>
            </w:r>
          </w:p>
        </w:tc>
        <w:tc>
          <w:tcPr>
            <w:tcW w:w="1417" w:type="dxa"/>
            <w:vAlign w:val="center"/>
          </w:tcPr>
          <w:p w:rsidR="002D416E" w:rsidRDefault="007D75F9">
            <w:pPr>
              <w:jc w:val="center"/>
            </w:pPr>
            <w:r>
              <w:rPr>
                <w:color w:val="000000"/>
                <w:sz w:val="24"/>
              </w:rPr>
              <w:t>用友网络</w:t>
            </w:r>
          </w:p>
        </w:tc>
        <w:tc>
          <w:tcPr>
            <w:tcW w:w="1560" w:type="dxa"/>
            <w:vAlign w:val="center"/>
          </w:tcPr>
          <w:p w:rsidR="002D416E" w:rsidRDefault="007D75F9">
            <w:pPr>
              <w:jc w:val="right"/>
            </w:pPr>
            <w:r>
              <w:rPr>
                <w:color w:val="000000"/>
                <w:sz w:val="24"/>
              </w:rPr>
              <w:t>344,300</w:t>
            </w:r>
          </w:p>
        </w:tc>
        <w:tc>
          <w:tcPr>
            <w:tcW w:w="2268" w:type="dxa"/>
            <w:vAlign w:val="center"/>
          </w:tcPr>
          <w:p w:rsidR="002D416E" w:rsidRDefault="007D75F9">
            <w:pPr>
              <w:jc w:val="right"/>
            </w:pPr>
            <w:r>
              <w:rPr>
                <w:color w:val="000000"/>
                <w:sz w:val="24"/>
              </w:rPr>
              <w:t>10,635,427.00</w:t>
            </w:r>
          </w:p>
        </w:tc>
        <w:tc>
          <w:tcPr>
            <w:tcW w:w="1559" w:type="dxa"/>
            <w:vAlign w:val="center"/>
          </w:tcPr>
          <w:p w:rsidR="002D416E" w:rsidRDefault="007D75F9">
            <w:pPr>
              <w:jc w:val="right"/>
            </w:pPr>
            <w:r>
              <w:rPr>
                <w:color w:val="000000"/>
                <w:sz w:val="24"/>
              </w:rPr>
              <w:t>5.43</w:t>
            </w:r>
          </w:p>
        </w:tc>
      </w:tr>
      <w:tr w:rsidR="002D416E">
        <w:tc>
          <w:tcPr>
            <w:tcW w:w="817" w:type="dxa"/>
            <w:vAlign w:val="center"/>
          </w:tcPr>
          <w:p w:rsidR="002D416E" w:rsidRDefault="007D75F9">
            <w:pPr>
              <w:jc w:val="center"/>
            </w:pPr>
            <w:r>
              <w:rPr>
                <w:color w:val="000000"/>
                <w:sz w:val="24"/>
              </w:rPr>
              <w:t>10</w:t>
            </w:r>
          </w:p>
        </w:tc>
        <w:tc>
          <w:tcPr>
            <w:tcW w:w="1276" w:type="dxa"/>
            <w:vAlign w:val="center"/>
          </w:tcPr>
          <w:p w:rsidR="002D416E" w:rsidRDefault="007D75F9">
            <w:pPr>
              <w:jc w:val="center"/>
            </w:pPr>
            <w:r>
              <w:rPr>
                <w:color w:val="000000"/>
                <w:sz w:val="24"/>
              </w:rPr>
              <w:t>300113</w:t>
            </w:r>
          </w:p>
        </w:tc>
        <w:tc>
          <w:tcPr>
            <w:tcW w:w="1417" w:type="dxa"/>
            <w:vAlign w:val="center"/>
          </w:tcPr>
          <w:p w:rsidR="002D416E" w:rsidRDefault="007D75F9">
            <w:pPr>
              <w:jc w:val="center"/>
            </w:pPr>
            <w:r>
              <w:rPr>
                <w:color w:val="000000"/>
                <w:sz w:val="24"/>
              </w:rPr>
              <w:t>顺网科技</w:t>
            </w:r>
          </w:p>
        </w:tc>
        <w:tc>
          <w:tcPr>
            <w:tcW w:w="1560" w:type="dxa"/>
            <w:vAlign w:val="center"/>
          </w:tcPr>
          <w:p w:rsidR="002D416E" w:rsidRDefault="007D75F9">
            <w:pPr>
              <w:jc w:val="right"/>
            </w:pPr>
            <w:r>
              <w:rPr>
                <w:color w:val="000000"/>
                <w:sz w:val="24"/>
              </w:rPr>
              <w:t>550,434</w:t>
            </w:r>
          </w:p>
        </w:tc>
        <w:tc>
          <w:tcPr>
            <w:tcW w:w="2268" w:type="dxa"/>
            <w:vAlign w:val="center"/>
          </w:tcPr>
          <w:p w:rsidR="002D416E" w:rsidRDefault="007D75F9">
            <w:pPr>
              <w:jc w:val="right"/>
            </w:pPr>
            <w:r>
              <w:rPr>
                <w:color w:val="000000"/>
                <w:sz w:val="24"/>
              </w:rPr>
              <w:t>10,265,594.10</w:t>
            </w:r>
          </w:p>
        </w:tc>
        <w:tc>
          <w:tcPr>
            <w:tcW w:w="1559" w:type="dxa"/>
            <w:vAlign w:val="center"/>
          </w:tcPr>
          <w:p w:rsidR="002D416E" w:rsidRDefault="007D75F9">
            <w:pPr>
              <w:jc w:val="right"/>
            </w:pPr>
            <w:r>
              <w:rPr>
                <w:color w:val="000000"/>
                <w:sz w:val="24"/>
              </w:rPr>
              <w:t>5.24</w:t>
            </w:r>
          </w:p>
        </w:tc>
      </w:tr>
    </w:tbl>
    <w:p w:rsidR="00F016DD" w:rsidRPr="00DF18FE" w:rsidRDefault="00F016DD" w:rsidP="00DF18FE">
      <w:pPr>
        <w:spacing w:line="360" w:lineRule="auto"/>
        <w:ind w:firstLineChars="200" w:firstLine="480"/>
        <w:rPr>
          <w:color w:val="000000"/>
          <w:sz w:val="24"/>
        </w:rPr>
      </w:pPr>
      <w:r w:rsidRPr="00DF18FE">
        <w:rPr>
          <w:color w:val="000000"/>
          <w:sz w:val="24"/>
        </w:rPr>
        <w:t>注：本报告期末本基金投资宋城演艺占基金资产净值比例超过</w:t>
      </w:r>
      <w:r w:rsidRPr="00DF18FE">
        <w:rPr>
          <w:color w:val="000000"/>
          <w:sz w:val="24"/>
        </w:rPr>
        <w:t>10%</w:t>
      </w:r>
      <w:r w:rsidRPr="00DF18FE">
        <w:rPr>
          <w:color w:val="000000"/>
          <w:sz w:val="24"/>
        </w:rPr>
        <w:t>，属于被动超标。</w:t>
      </w:r>
      <w:r w:rsidRPr="00DF18FE">
        <w:rPr>
          <w:color w:val="000000"/>
          <w:sz w:val="24"/>
        </w:rPr>
        <w:t xml:space="preserve"> </w:t>
      </w:r>
    </w:p>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p w:rsidR="00F016DD" w:rsidRPr="00EA6415" w:rsidRDefault="006A1153" w:rsidP="006A1153">
      <w:pPr>
        <w:spacing w:line="360" w:lineRule="auto"/>
        <w:ind w:firstLineChars="200" w:firstLine="480"/>
        <w:rPr>
          <w:color w:val="000000"/>
          <w:sz w:val="24"/>
        </w:rPr>
      </w:pPr>
      <w:r w:rsidRPr="00EA6415">
        <w:rPr>
          <w:color w:val="000000"/>
          <w:sz w:val="24"/>
        </w:rPr>
        <w:t>本基金本报告期末未持有债券。</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本基金本报告期末未持有债券。</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lastRenderedPageBreak/>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77,316.13</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2,241,748.90</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3,653.94</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172,921.62</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2,495,640.59</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本基金本报告期末前十名股票中不存在流通受限情况。</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易方达瑞享混合</w:t>
            </w:r>
            <w:r w:rsidRPr="00FA472B">
              <w:rPr>
                <w:sz w:val="24"/>
              </w:rPr>
              <w:t>I</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易方达瑞享混合</w:t>
            </w:r>
            <w:r w:rsidRPr="00FA472B">
              <w:rPr>
                <w:sz w:val="24"/>
              </w:rPr>
              <w:t>E</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85,682,986.07</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65,088,549.12</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4,831,569.03</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6,281,710.51</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4,505,388.29</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4,902,591.52</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86,009,166.81</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66,467,668.11</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lastRenderedPageBreak/>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CC78C7" w:rsidRPr="00266D4B" w:rsidRDefault="00CC78C7" w:rsidP="00CC78C7">
      <w:pPr>
        <w:autoSpaceDE w:val="0"/>
        <w:autoSpaceDN w:val="0"/>
        <w:adjustRightInd w:val="0"/>
        <w:spacing w:before="29" w:line="288" w:lineRule="auto"/>
        <w:ind w:left="15" w:right="480"/>
        <w:jc w:val="right"/>
        <w:rPr>
          <w:color w:val="000000"/>
          <w:kern w:val="0"/>
          <w:sz w:val="24"/>
        </w:rPr>
      </w:pPr>
      <w:r w:rsidRPr="00266D4B">
        <w:rPr>
          <w:color w:val="000000"/>
          <w:kern w:val="0"/>
          <w:sz w:val="24"/>
        </w:rPr>
        <w:t>单位：份</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67"/>
        <w:gridCol w:w="2616"/>
        <w:gridCol w:w="2631"/>
      </w:tblGrid>
      <w:tr w:rsidR="00CC78C7" w:rsidRPr="00E90B39" w:rsidTr="00964538">
        <w:trPr>
          <w:trHeight w:val="248"/>
        </w:trPr>
        <w:tc>
          <w:tcPr>
            <w:tcW w:w="3167" w:type="dxa"/>
            <w:vAlign w:val="center"/>
          </w:tcPr>
          <w:p w:rsidR="00CC78C7" w:rsidRPr="00FA472B" w:rsidRDefault="00CC78C7" w:rsidP="00964538">
            <w:pPr>
              <w:autoSpaceDE w:val="0"/>
              <w:autoSpaceDN w:val="0"/>
              <w:adjustRightInd w:val="0"/>
              <w:spacing w:before="29" w:line="360" w:lineRule="auto"/>
              <w:ind w:left="15"/>
              <w:jc w:val="center"/>
              <w:rPr>
                <w:color w:val="000000"/>
                <w:kern w:val="0"/>
                <w:sz w:val="24"/>
              </w:rPr>
            </w:pPr>
            <w:r w:rsidRPr="00FA472B">
              <w:rPr>
                <w:color w:val="000000"/>
                <w:kern w:val="0"/>
                <w:sz w:val="24"/>
              </w:rPr>
              <w:t>项目</w:t>
            </w:r>
          </w:p>
        </w:tc>
        <w:tc>
          <w:tcPr>
            <w:tcW w:w="2616" w:type="dxa"/>
            <w:vAlign w:val="bottom"/>
          </w:tcPr>
          <w:p w:rsidR="00CC78C7" w:rsidRPr="00FA472B" w:rsidRDefault="00CC78C7" w:rsidP="00964538">
            <w:pPr>
              <w:jc w:val="center"/>
              <w:rPr>
                <w:sz w:val="24"/>
              </w:rPr>
            </w:pPr>
            <w:r w:rsidRPr="00FA472B">
              <w:rPr>
                <w:sz w:val="24"/>
              </w:rPr>
              <w:t>易方达瑞享混合</w:t>
            </w:r>
            <w:r w:rsidRPr="00FA472B">
              <w:rPr>
                <w:sz w:val="24"/>
              </w:rPr>
              <w:t>I</w:t>
            </w:r>
          </w:p>
        </w:tc>
        <w:tc>
          <w:tcPr>
            <w:tcW w:w="2631" w:type="dxa"/>
            <w:vAlign w:val="bottom"/>
          </w:tcPr>
          <w:p w:rsidR="00CC78C7" w:rsidRPr="00FA472B" w:rsidRDefault="00CC78C7" w:rsidP="00964538">
            <w:pPr>
              <w:jc w:val="center"/>
              <w:rPr>
                <w:sz w:val="24"/>
              </w:rPr>
            </w:pPr>
            <w:r w:rsidRPr="00FA472B">
              <w:rPr>
                <w:sz w:val="24"/>
              </w:rPr>
              <w:t>易方达瑞享混合</w:t>
            </w:r>
            <w:r w:rsidRPr="00FA472B">
              <w:rPr>
                <w:sz w:val="24"/>
              </w:rPr>
              <w:t>E</w:t>
            </w:r>
          </w:p>
        </w:tc>
      </w:tr>
      <w:tr w:rsidR="00CC78C7" w:rsidRPr="00E90B39" w:rsidTr="00964538">
        <w:trPr>
          <w:trHeight w:val="247"/>
        </w:trPr>
        <w:tc>
          <w:tcPr>
            <w:tcW w:w="3167" w:type="dxa"/>
            <w:vAlign w:val="center"/>
          </w:tcPr>
          <w:p w:rsidR="00CC78C7" w:rsidRPr="00FA472B" w:rsidRDefault="00CC78C7" w:rsidP="00964538">
            <w:pPr>
              <w:pStyle w:val="ac"/>
              <w:adjustRightInd w:val="0"/>
              <w:snapToGrid w:val="0"/>
              <w:spacing w:line="360" w:lineRule="exact"/>
              <w:rPr>
                <w:color w:val="000000"/>
                <w:szCs w:val="24"/>
              </w:rPr>
            </w:pPr>
            <w:r w:rsidRPr="00FA472B">
              <w:rPr>
                <w:color w:val="000000"/>
                <w:szCs w:val="24"/>
              </w:rPr>
              <w:t>报告期期初管理人持有的本基金份额</w:t>
            </w:r>
          </w:p>
        </w:tc>
        <w:tc>
          <w:tcPr>
            <w:tcW w:w="2616" w:type="dxa"/>
            <w:vAlign w:val="center"/>
          </w:tcPr>
          <w:p w:rsidR="00CC78C7" w:rsidRPr="00FA472B" w:rsidRDefault="00CC78C7" w:rsidP="00964538">
            <w:pPr>
              <w:jc w:val="right"/>
              <w:rPr>
                <w:sz w:val="24"/>
              </w:rPr>
            </w:pPr>
            <w:r w:rsidRPr="00FA472B">
              <w:rPr>
                <w:color w:val="000000"/>
                <w:sz w:val="24"/>
              </w:rPr>
              <w:t>78,645,384.75</w:t>
            </w:r>
          </w:p>
        </w:tc>
        <w:tc>
          <w:tcPr>
            <w:tcW w:w="2631" w:type="dxa"/>
            <w:vAlign w:val="center"/>
          </w:tcPr>
          <w:p w:rsidR="00CC78C7" w:rsidRPr="00FA472B" w:rsidRDefault="00CC78C7" w:rsidP="00964538">
            <w:pPr>
              <w:jc w:val="right"/>
              <w:rPr>
                <w:sz w:val="24"/>
              </w:rPr>
            </w:pPr>
            <w:r w:rsidRPr="00FA472B">
              <w:rPr>
                <w:color w:val="000000"/>
                <w:sz w:val="24"/>
              </w:rPr>
              <w:t>61,148,860.70</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买入</w:t>
            </w:r>
            <w:r w:rsidRPr="00FA472B">
              <w:rPr>
                <w:color w:val="000000"/>
                <w:sz w:val="24"/>
              </w:rPr>
              <w:t>/</w:t>
            </w:r>
            <w:r w:rsidRPr="00FA472B">
              <w:rPr>
                <w:color w:val="000000"/>
                <w:sz w:val="24"/>
              </w:rPr>
              <w:t>申购总份额</w:t>
            </w:r>
          </w:p>
        </w:tc>
        <w:tc>
          <w:tcPr>
            <w:tcW w:w="2616" w:type="dxa"/>
            <w:vAlign w:val="center"/>
          </w:tcPr>
          <w:p w:rsidR="00CC78C7" w:rsidRPr="00FA472B" w:rsidRDefault="00CC78C7" w:rsidP="00964538">
            <w:pPr>
              <w:jc w:val="right"/>
              <w:rPr>
                <w:color w:val="000000"/>
                <w:kern w:val="0"/>
                <w:sz w:val="24"/>
              </w:rPr>
            </w:pPr>
            <w:r w:rsidRPr="00FA472B">
              <w:rPr>
                <w:color w:val="000000"/>
                <w:sz w:val="24"/>
              </w:rPr>
              <w:t>-</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卖出</w:t>
            </w:r>
            <w:r w:rsidRPr="00FA472B">
              <w:rPr>
                <w:color w:val="000000"/>
                <w:sz w:val="24"/>
              </w:rPr>
              <w:t>/</w:t>
            </w:r>
            <w:r w:rsidRPr="00FA472B">
              <w:rPr>
                <w:color w:val="000000"/>
                <w:sz w:val="24"/>
              </w:rPr>
              <w:t>赎回总份额</w:t>
            </w:r>
          </w:p>
        </w:tc>
        <w:tc>
          <w:tcPr>
            <w:tcW w:w="2616" w:type="dxa"/>
            <w:vAlign w:val="center"/>
          </w:tcPr>
          <w:p w:rsidR="00CC78C7" w:rsidRPr="00FA472B" w:rsidRDefault="00CC78C7" w:rsidP="00964538">
            <w:pPr>
              <w:jc w:val="right"/>
              <w:rPr>
                <w:color w:val="000000"/>
                <w:kern w:val="0"/>
                <w:sz w:val="24"/>
              </w:rPr>
            </w:pPr>
            <w:r w:rsidRPr="00FA472B">
              <w:rPr>
                <w:color w:val="000000"/>
                <w:sz w:val="24"/>
              </w:rPr>
              <w:t>-</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FA472B">
              <w:rPr>
                <w:color w:val="000000"/>
                <w:sz w:val="24"/>
              </w:rPr>
              <w:t>报告期期末管理人持有的本基金份额</w:t>
            </w:r>
          </w:p>
        </w:tc>
        <w:tc>
          <w:tcPr>
            <w:tcW w:w="2616" w:type="dxa"/>
            <w:vAlign w:val="center"/>
          </w:tcPr>
          <w:p w:rsidR="00CC78C7" w:rsidRPr="00FA472B" w:rsidRDefault="00CC78C7" w:rsidP="00964538">
            <w:pPr>
              <w:jc w:val="right"/>
              <w:rPr>
                <w:sz w:val="24"/>
              </w:rPr>
            </w:pPr>
            <w:r w:rsidRPr="00FA472B">
              <w:rPr>
                <w:color w:val="000000"/>
                <w:sz w:val="24"/>
              </w:rPr>
              <w:t>78,645,384.75</w:t>
            </w:r>
          </w:p>
        </w:tc>
        <w:tc>
          <w:tcPr>
            <w:tcW w:w="2631" w:type="dxa"/>
            <w:vAlign w:val="center"/>
          </w:tcPr>
          <w:p w:rsidR="00CC78C7" w:rsidRPr="00FA472B" w:rsidRDefault="00CC78C7" w:rsidP="00964538">
            <w:pPr>
              <w:jc w:val="right"/>
              <w:rPr>
                <w:sz w:val="24"/>
              </w:rPr>
            </w:pPr>
            <w:r w:rsidRPr="00FA472B">
              <w:rPr>
                <w:color w:val="000000"/>
                <w:sz w:val="24"/>
              </w:rPr>
              <w:t>61,148,860.70</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FA472B">
              <w:rPr>
                <w:color w:val="000000"/>
                <w:sz w:val="24"/>
              </w:rPr>
              <w:t>报告期期末持有的本基金份额占基金总份额比例（</w:t>
            </w:r>
            <w:r w:rsidRPr="00FA472B">
              <w:rPr>
                <w:color w:val="000000"/>
                <w:sz w:val="24"/>
              </w:rPr>
              <w:t>%</w:t>
            </w:r>
            <w:r w:rsidRPr="00FA472B">
              <w:rPr>
                <w:color w:val="000000"/>
                <w:sz w:val="24"/>
              </w:rPr>
              <w:t>）</w:t>
            </w:r>
          </w:p>
        </w:tc>
        <w:tc>
          <w:tcPr>
            <w:tcW w:w="2616" w:type="dxa"/>
            <w:vAlign w:val="center"/>
          </w:tcPr>
          <w:p w:rsidR="00CC78C7" w:rsidRPr="00FA472B" w:rsidRDefault="00CC78C7" w:rsidP="00964538">
            <w:pPr>
              <w:jc w:val="right"/>
              <w:rPr>
                <w:color w:val="000000"/>
                <w:kern w:val="0"/>
                <w:sz w:val="24"/>
              </w:rPr>
            </w:pPr>
            <w:r w:rsidRPr="00FA472B">
              <w:rPr>
                <w:color w:val="000000"/>
                <w:sz w:val="24"/>
              </w:rPr>
              <w:t>91.44</w:t>
            </w:r>
          </w:p>
        </w:tc>
        <w:tc>
          <w:tcPr>
            <w:tcW w:w="2631" w:type="dxa"/>
            <w:vAlign w:val="center"/>
          </w:tcPr>
          <w:p w:rsidR="00CC78C7" w:rsidRPr="00FA472B" w:rsidRDefault="00CC78C7" w:rsidP="00964538">
            <w:pPr>
              <w:jc w:val="right"/>
              <w:rPr>
                <w:color w:val="000000"/>
                <w:kern w:val="0"/>
                <w:sz w:val="24"/>
              </w:rPr>
            </w:pPr>
            <w:r w:rsidRPr="00FA472B">
              <w:rPr>
                <w:color w:val="000000"/>
                <w:sz w:val="24"/>
              </w:rPr>
              <w:t>92.00</w:t>
            </w:r>
          </w:p>
        </w:tc>
      </w:tr>
    </w:tbl>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2D416E">
        <w:trPr>
          <w:jc w:val="center"/>
        </w:trPr>
        <w:tc>
          <w:tcPr>
            <w:tcW w:w="709" w:type="dxa"/>
            <w:vMerge w:val="restart"/>
            <w:vAlign w:val="center"/>
          </w:tcPr>
          <w:p w:rsidR="002D416E" w:rsidRDefault="007D75F9">
            <w:r>
              <w:rPr>
                <w:rFonts w:eastAsiaTheme="minorEastAsia"/>
                <w:bCs/>
                <w:color w:val="000000" w:themeColor="text1"/>
                <w:sz w:val="24"/>
              </w:rPr>
              <w:t>机构</w:t>
            </w:r>
          </w:p>
        </w:tc>
        <w:tc>
          <w:tcPr>
            <w:tcW w:w="709" w:type="dxa"/>
            <w:vAlign w:val="center"/>
          </w:tcPr>
          <w:p w:rsidR="002D416E" w:rsidRDefault="007D75F9">
            <w:pPr>
              <w:jc w:val="center"/>
            </w:pPr>
            <w:r>
              <w:rPr>
                <w:sz w:val="24"/>
              </w:rPr>
              <w:t>1</w:t>
            </w:r>
          </w:p>
        </w:tc>
        <w:tc>
          <w:tcPr>
            <w:tcW w:w="2126" w:type="dxa"/>
            <w:vAlign w:val="center"/>
          </w:tcPr>
          <w:p w:rsidR="002D416E" w:rsidRDefault="007D75F9">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2D416E" w:rsidRDefault="007D75F9">
            <w:pPr>
              <w:jc w:val="center"/>
            </w:pPr>
            <w:r>
              <w:rPr>
                <w:sz w:val="24"/>
              </w:rPr>
              <w:t>139,794,245.45</w:t>
            </w:r>
          </w:p>
        </w:tc>
        <w:tc>
          <w:tcPr>
            <w:tcW w:w="1276" w:type="dxa"/>
            <w:vAlign w:val="center"/>
          </w:tcPr>
          <w:p w:rsidR="002D416E" w:rsidRDefault="007D75F9">
            <w:pPr>
              <w:jc w:val="center"/>
            </w:pPr>
            <w:r>
              <w:rPr>
                <w:sz w:val="24"/>
              </w:rPr>
              <w:t>-</w:t>
            </w:r>
          </w:p>
        </w:tc>
        <w:tc>
          <w:tcPr>
            <w:tcW w:w="1276" w:type="dxa"/>
            <w:vAlign w:val="center"/>
          </w:tcPr>
          <w:p w:rsidR="002D416E" w:rsidRDefault="007D75F9">
            <w:pPr>
              <w:jc w:val="center"/>
            </w:pPr>
            <w:r>
              <w:rPr>
                <w:sz w:val="24"/>
              </w:rPr>
              <w:t>-</w:t>
            </w:r>
          </w:p>
        </w:tc>
        <w:tc>
          <w:tcPr>
            <w:tcW w:w="1417" w:type="dxa"/>
            <w:vAlign w:val="center"/>
          </w:tcPr>
          <w:p w:rsidR="002D416E" w:rsidRDefault="007D75F9">
            <w:pPr>
              <w:jc w:val="center"/>
            </w:pPr>
            <w:r>
              <w:rPr>
                <w:sz w:val="24"/>
              </w:rPr>
              <w:t>139,794,245.45</w:t>
            </w:r>
          </w:p>
        </w:tc>
        <w:tc>
          <w:tcPr>
            <w:tcW w:w="851" w:type="dxa"/>
            <w:vAlign w:val="center"/>
          </w:tcPr>
          <w:p w:rsidR="002D416E" w:rsidRDefault="007D75F9">
            <w:pPr>
              <w:jc w:val="center"/>
            </w:pPr>
            <w:r>
              <w:rPr>
                <w:sz w:val="24"/>
              </w:rPr>
              <w:t>91.68%</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2D416E" w:rsidRDefault="007D75F9">
      <w:pPr>
        <w:spacing w:line="360" w:lineRule="auto"/>
        <w:ind w:firstLineChars="200" w:firstLine="480"/>
        <w:rPr>
          <w:color w:val="000000"/>
          <w:sz w:val="24"/>
        </w:rPr>
      </w:pPr>
      <w:r>
        <w:rPr>
          <w:color w:val="000000"/>
          <w:sz w:val="24"/>
        </w:rPr>
        <w:t>1.</w:t>
      </w:r>
      <w:r>
        <w:rPr>
          <w:color w:val="000000"/>
          <w:sz w:val="24"/>
        </w:rPr>
        <w:t>中国证监会准予易方达瑞享灵活配置混合型证券投资基金注册的文件；</w:t>
      </w:r>
    </w:p>
    <w:p w:rsidR="002D416E" w:rsidRDefault="007D75F9">
      <w:pPr>
        <w:spacing w:line="360" w:lineRule="auto"/>
        <w:ind w:firstLineChars="200" w:firstLine="480"/>
        <w:rPr>
          <w:color w:val="000000"/>
          <w:sz w:val="24"/>
        </w:rPr>
      </w:pPr>
      <w:r>
        <w:rPr>
          <w:color w:val="000000"/>
          <w:sz w:val="24"/>
        </w:rPr>
        <w:t>2.</w:t>
      </w:r>
      <w:r>
        <w:rPr>
          <w:color w:val="000000"/>
          <w:sz w:val="24"/>
        </w:rPr>
        <w:t>《易方达瑞享灵活配置混合型证券投资基金基金合同》；</w:t>
      </w:r>
    </w:p>
    <w:p w:rsidR="002D416E" w:rsidRDefault="007D75F9">
      <w:pPr>
        <w:spacing w:line="360" w:lineRule="auto"/>
        <w:ind w:firstLineChars="200" w:firstLine="480"/>
        <w:rPr>
          <w:color w:val="000000"/>
          <w:sz w:val="24"/>
        </w:rPr>
      </w:pPr>
      <w:r>
        <w:rPr>
          <w:color w:val="000000"/>
          <w:sz w:val="24"/>
        </w:rPr>
        <w:t>3.</w:t>
      </w:r>
      <w:r>
        <w:rPr>
          <w:color w:val="000000"/>
          <w:sz w:val="24"/>
        </w:rPr>
        <w:t>《易方达瑞享灵活配置混合型证券投资基金托管协议》；</w:t>
      </w:r>
    </w:p>
    <w:p w:rsidR="002D416E" w:rsidRDefault="007D75F9">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7D75F9">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7D75F9">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7D75F9">
      <w:rPr>
        <w:rStyle w:val="a7"/>
        <w:noProof/>
      </w:rPr>
      <w:t>12</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易方达瑞享灵活配置混合型证券投资基金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416E"/>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5F9"/>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3B9D679-9EBF-4CD8-AF78-C47CC9BD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1009</Words>
  <Characters>5752</Characters>
  <Application>Microsoft Office Word</Application>
  <DocSecurity>0</DocSecurity>
  <Lines>47</Lines>
  <Paragraphs>13</Paragraphs>
  <ScaleCrop>false</ScaleCrop>
  <Company>TRT. Ltd. Co.</Company>
  <LinksUpToDate>false</LinksUpToDate>
  <CharactersWithSpaces>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2019-10-16T13:54:00Z</cp:lastPrinted>
  <dcterms:created xsi:type="dcterms:W3CDTF">2013-06-21T06:56:00Z</dcterms:created>
  <dcterms:modified xsi:type="dcterms:W3CDTF">2019-10-16T13:54:00Z</dcterms:modified>
</cp:coreProperties>
</file>