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易方达国企改革混合型证券投资基金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中国工商银行股份有限公司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A010C3" w:rsidRDefault="001464C4">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A010C3" w:rsidRDefault="001464C4">
      <w:pPr>
        <w:spacing w:line="360" w:lineRule="auto"/>
        <w:ind w:firstLineChars="200" w:firstLine="480"/>
        <w:rPr>
          <w:color w:val="000000"/>
          <w:sz w:val="24"/>
          <w:szCs w:val="24"/>
        </w:rPr>
      </w:pPr>
      <w:r>
        <w:rPr>
          <w:color w:val="000000"/>
          <w:sz w:val="24"/>
          <w:szCs w:val="24"/>
        </w:rPr>
        <w:t>基金托管人中国工商银行股份有限公司根据本基金合同规定，于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A010C3" w:rsidRDefault="001464C4">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A010C3" w:rsidRDefault="001464C4">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A010C3" w:rsidRDefault="001464C4">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易方达国企改革混合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001382</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001382</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2017</w:t>
            </w:r>
            <w:r w:rsidRPr="00232B03">
              <w:rPr>
                <w:color w:val="000000"/>
                <w:kern w:val="0"/>
                <w:sz w:val="24"/>
                <w:szCs w:val="24"/>
              </w:rPr>
              <w:t>年</w:t>
            </w:r>
            <w:r w:rsidRPr="00232B03">
              <w:rPr>
                <w:color w:val="000000"/>
                <w:kern w:val="0"/>
                <w:sz w:val="24"/>
                <w:szCs w:val="24"/>
              </w:rPr>
              <w:t>8</w:t>
            </w:r>
            <w:r w:rsidRPr="00232B03">
              <w:rPr>
                <w:color w:val="000000"/>
                <w:kern w:val="0"/>
                <w:sz w:val="24"/>
                <w:szCs w:val="24"/>
              </w:rPr>
              <w:t>月</w:t>
            </w:r>
            <w:r w:rsidRPr="00232B03">
              <w:rPr>
                <w:color w:val="000000"/>
                <w:kern w:val="0"/>
                <w:sz w:val="24"/>
                <w:szCs w:val="24"/>
              </w:rPr>
              <w:t>23</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184,647,068.77</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本基金在控制风险的前提下，追求超越业绩比较基准的投资回报。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基于定量与定性相结合的宏观及政策分析，综合考虑宏观经济环境、政策形势、市场估值与流动性等因素，关注国家宏观经济与产业经济层面相关改革政策的政策导向及其变化对市场和相关产业的影响。股票投资方面，本基金将采取自上而下</w:t>
            </w:r>
            <w:r w:rsidRPr="00232B03">
              <w:rPr>
                <w:color w:val="000000"/>
                <w:kern w:val="0"/>
                <w:sz w:val="24"/>
                <w:szCs w:val="24"/>
              </w:rPr>
              <w:lastRenderedPageBreak/>
              <w:t>的政策跟踪和分析，结合自下而上的国企改革事件分析、基本面评价及估值分析，优选受益于国有企业改革或在全面深化国企改革推动下预期盈利水平将显著提升的上市公司。债券投资方面，本基金将主要通过类属配置与券种选择两个层次进行投资管理。</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中证国有企业改革指数收益率</w:t>
            </w:r>
            <w:r w:rsidRPr="00232B03">
              <w:rPr>
                <w:color w:val="000000"/>
                <w:kern w:val="0"/>
                <w:sz w:val="24"/>
                <w:szCs w:val="24"/>
              </w:rPr>
              <w:t>×80%+</w:t>
            </w:r>
            <w:r w:rsidRPr="00232B03">
              <w:rPr>
                <w:color w:val="000000"/>
                <w:kern w:val="0"/>
                <w:sz w:val="24"/>
                <w:szCs w:val="24"/>
              </w:rPr>
              <w:t>一年期人民币定期存款利率（税后）</w:t>
            </w:r>
            <w:r w:rsidRPr="00232B03">
              <w:rPr>
                <w:color w:val="000000"/>
                <w:kern w:val="0"/>
                <w:sz w:val="24"/>
                <w:szCs w:val="24"/>
              </w:rPr>
              <w:t>×20%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本基金为混合型基金，理论上其预期风险与预期收益水平低于股票型基金，高于债券型基金和货币市场基金。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中国工商银行股份有限公司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3,990,406.45</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7,886,352.72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0.0556</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247,335,417.46</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1.340</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A010C3" w:rsidRDefault="001464C4">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A010C3">
        <w:tc>
          <w:tcPr>
            <w:tcW w:w="1395" w:type="dxa"/>
            <w:vAlign w:val="center"/>
          </w:tcPr>
          <w:p w:rsidR="00A010C3" w:rsidRDefault="001464C4">
            <w:pPr>
              <w:jc w:val="left"/>
            </w:pPr>
            <w:r>
              <w:rPr>
                <w:color w:val="000000"/>
                <w:kern w:val="0"/>
                <w:sz w:val="24"/>
                <w:szCs w:val="24"/>
              </w:rPr>
              <w:t>过去三个月</w:t>
            </w:r>
          </w:p>
        </w:tc>
        <w:tc>
          <w:tcPr>
            <w:tcW w:w="1092" w:type="dxa"/>
            <w:vAlign w:val="center"/>
          </w:tcPr>
          <w:p w:rsidR="00A010C3" w:rsidRDefault="001464C4">
            <w:pPr>
              <w:jc w:val="center"/>
            </w:pPr>
            <w:r>
              <w:rPr>
                <w:color w:val="000000"/>
                <w:kern w:val="0"/>
                <w:sz w:val="24"/>
                <w:szCs w:val="24"/>
              </w:rPr>
              <w:t>6.43%</w:t>
            </w:r>
          </w:p>
        </w:tc>
        <w:tc>
          <w:tcPr>
            <w:tcW w:w="1161" w:type="dxa"/>
            <w:vAlign w:val="center"/>
          </w:tcPr>
          <w:p w:rsidR="00A010C3" w:rsidRDefault="001464C4">
            <w:pPr>
              <w:jc w:val="center"/>
            </w:pPr>
            <w:r>
              <w:rPr>
                <w:color w:val="000000"/>
                <w:kern w:val="0"/>
                <w:sz w:val="24"/>
                <w:szCs w:val="24"/>
              </w:rPr>
              <w:t>1.10%</w:t>
            </w:r>
          </w:p>
        </w:tc>
        <w:tc>
          <w:tcPr>
            <w:tcW w:w="1181" w:type="dxa"/>
            <w:vAlign w:val="center"/>
          </w:tcPr>
          <w:p w:rsidR="00A010C3" w:rsidRDefault="001464C4">
            <w:pPr>
              <w:jc w:val="center"/>
            </w:pPr>
            <w:r>
              <w:rPr>
                <w:color w:val="000000"/>
                <w:kern w:val="0"/>
                <w:sz w:val="24"/>
                <w:szCs w:val="24"/>
              </w:rPr>
              <w:t>-0.32%</w:t>
            </w:r>
          </w:p>
        </w:tc>
        <w:tc>
          <w:tcPr>
            <w:tcW w:w="1188" w:type="dxa"/>
            <w:vAlign w:val="center"/>
          </w:tcPr>
          <w:p w:rsidR="00A010C3" w:rsidRDefault="001464C4">
            <w:pPr>
              <w:jc w:val="center"/>
            </w:pPr>
            <w:r>
              <w:rPr>
                <w:color w:val="000000"/>
                <w:kern w:val="0"/>
                <w:sz w:val="24"/>
                <w:szCs w:val="24"/>
              </w:rPr>
              <w:t>0.83%</w:t>
            </w:r>
          </w:p>
        </w:tc>
        <w:tc>
          <w:tcPr>
            <w:tcW w:w="1199" w:type="dxa"/>
            <w:vAlign w:val="center"/>
          </w:tcPr>
          <w:p w:rsidR="00A010C3" w:rsidRDefault="001464C4">
            <w:pPr>
              <w:jc w:val="center"/>
            </w:pPr>
            <w:r>
              <w:rPr>
                <w:color w:val="000000"/>
                <w:kern w:val="0"/>
                <w:sz w:val="24"/>
                <w:szCs w:val="24"/>
              </w:rPr>
              <w:t>6.75%</w:t>
            </w:r>
          </w:p>
        </w:tc>
        <w:tc>
          <w:tcPr>
            <w:tcW w:w="1204" w:type="dxa"/>
            <w:vAlign w:val="center"/>
          </w:tcPr>
          <w:p w:rsidR="00A010C3" w:rsidRDefault="001464C4">
            <w:pPr>
              <w:jc w:val="center"/>
            </w:pPr>
            <w:r>
              <w:rPr>
                <w:color w:val="000000"/>
                <w:kern w:val="0"/>
                <w:sz w:val="24"/>
                <w:szCs w:val="24"/>
              </w:rPr>
              <w:t>0.27%</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易方达国企改革混合型证券投资基金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2017</w:t>
      </w:r>
      <w:r w:rsidRPr="0074694E">
        <w:rPr>
          <w:rFonts w:ascii="Times New Roman" w:hAnsi="Times New Roman"/>
          <w:sz w:val="24"/>
          <w:szCs w:val="24"/>
        </w:rPr>
        <w:t>年</w:t>
      </w:r>
      <w:r w:rsidRPr="0074694E">
        <w:rPr>
          <w:rFonts w:ascii="Times New Roman" w:hAnsi="Times New Roman"/>
          <w:sz w:val="24"/>
          <w:szCs w:val="24"/>
        </w:rPr>
        <w:t>8</w:t>
      </w:r>
      <w:r w:rsidRPr="0074694E">
        <w:rPr>
          <w:rFonts w:ascii="Times New Roman" w:hAnsi="Times New Roman"/>
          <w:sz w:val="24"/>
          <w:szCs w:val="24"/>
        </w:rPr>
        <w:t>月</w:t>
      </w:r>
      <w:r w:rsidRPr="0074694E">
        <w:rPr>
          <w:rFonts w:ascii="Times New Roman" w:hAnsi="Times New Roman"/>
          <w:sz w:val="24"/>
          <w:szCs w:val="24"/>
        </w:rPr>
        <w:t>23</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1464C4"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34.00%</w:t>
      </w:r>
      <w:r w:rsidRPr="006C56AA">
        <w:rPr>
          <w:color w:val="000000"/>
          <w:sz w:val="24"/>
          <w:szCs w:val="24"/>
        </w:rPr>
        <w:t>，同期业绩比较基准收益率为</w:t>
      </w:r>
      <w:r w:rsidRPr="006C56AA">
        <w:rPr>
          <w:color w:val="000000"/>
          <w:sz w:val="24"/>
          <w:szCs w:val="24"/>
        </w:rPr>
        <w:t>-4.28%</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A010C3">
        <w:tc>
          <w:tcPr>
            <w:tcW w:w="567" w:type="dxa"/>
            <w:vAlign w:val="center"/>
          </w:tcPr>
          <w:p w:rsidR="00A010C3" w:rsidRDefault="001464C4">
            <w:pPr>
              <w:jc w:val="center"/>
            </w:pPr>
            <w:r>
              <w:rPr>
                <w:color w:val="000000"/>
                <w:sz w:val="24"/>
              </w:rPr>
              <w:t>郭杰</w:t>
            </w:r>
          </w:p>
        </w:tc>
        <w:tc>
          <w:tcPr>
            <w:tcW w:w="2835" w:type="dxa"/>
            <w:vAlign w:val="center"/>
          </w:tcPr>
          <w:p w:rsidR="00A010C3" w:rsidRDefault="001464C4">
            <w:pPr>
              <w:jc w:val="center"/>
            </w:pPr>
            <w:r>
              <w:rPr>
                <w:color w:val="000000"/>
                <w:sz w:val="24"/>
              </w:rPr>
              <w:t>本基金的基金经理、易方达改革红利混合型证券投资基金的基金经理、易方达</w:t>
            </w:r>
            <w:r>
              <w:rPr>
                <w:color w:val="000000"/>
                <w:sz w:val="24"/>
              </w:rPr>
              <w:t>ESG</w:t>
            </w:r>
            <w:r>
              <w:rPr>
                <w:color w:val="000000"/>
                <w:sz w:val="24"/>
              </w:rPr>
              <w:t>责任投资股票型发起式证券投资基金的基金经理</w:t>
            </w:r>
          </w:p>
        </w:tc>
        <w:tc>
          <w:tcPr>
            <w:tcW w:w="851" w:type="dxa"/>
            <w:vAlign w:val="center"/>
          </w:tcPr>
          <w:p w:rsidR="00A010C3" w:rsidRDefault="001464C4">
            <w:pPr>
              <w:jc w:val="center"/>
            </w:pPr>
            <w:r>
              <w:rPr>
                <w:color w:val="000000"/>
                <w:sz w:val="24"/>
              </w:rPr>
              <w:t>2017-08-23</w:t>
            </w:r>
          </w:p>
        </w:tc>
        <w:tc>
          <w:tcPr>
            <w:tcW w:w="850" w:type="dxa"/>
            <w:vAlign w:val="center"/>
          </w:tcPr>
          <w:p w:rsidR="00A010C3" w:rsidRDefault="001464C4">
            <w:pPr>
              <w:jc w:val="center"/>
            </w:pPr>
            <w:r>
              <w:rPr>
                <w:color w:val="000000"/>
                <w:sz w:val="24"/>
              </w:rPr>
              <w:t>-</w:t>
            </w:r>
          </w:p>
        </w:tc>
        <w:tc>
          <w:tcPr>
            <w:tcW w:w="851" w:type="dxa"/>
            <w:vAlign w:val="center"/>
          </w:tcPr>
          <w:p w:rsidR="00A010C3" w:rsidRDefault="001464C4">
            <w:pPr>
              <w:jc w:val="center"/>
            </w:pPr>
            <w:r>
              <w:rPr>
                <w:color w:val="000000"/>
                <w:sz w:val="24"/>
              </w:rPr>
              <w:t>11</w:t>
            </w:r>
            <w:r>
              <w:rPr>
                <w:color w:val="000000"/>
                <w:sz w:val="24"/>
              </w:rPr>
              <w:t>年</w:t>
            </w:r>
          </w:p>
        </w:tc>
        <w:tc>
          <w:tcPr>
            <w:tcW w:w="2977" w:type="dxa"/>
            <w:vAlign w:val="center"/>
          </w:tcPr>
          <w:p w:rsidR="00A010C3" w:rsidRDefault="001464C4">
            <w:r>
              <w:rPr>
                <w:color w:val="000000"/>
                <w:sz w:val="24"/>
              </w:rPr>
              <w:t>硕士研究生，曾任易方达基金管理有限公司行业研究员、基金经理助理、易方达资源行业股票型证券投资基金基金经理、易方达科汇灵活配置混合型证券投资基金基金经理、易方达新丝路灵活配置混合型证券投资基金基金经理。</w:t>
            </w:r>
          </w:p>
        </w:tc>
      </w:tr>
    </w:tbl>
    <w:p w:rsidR="00A010C3" w:rsidRDefault="001464C4">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A010C3" w:rsidRDefault="001464C4">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A010C3" w:rsidRDefault="001464C4">
      <w:pPr>
        <w:spacing w:line="360" w:lineRule="auto"/>
        <w:ind w:firstLineChars="200" w:firstLine="480"/>
        <w:rPr>
          <w:color w:val="000000"/>
          <w:sz w:val="24"/>
          <w:szCs w:val="24"/>
        </w:rPr>
      </w:pPr>
      <w:r>
        <w:rPr>
          <w:color w:val="000000"/>
          <w:sz w:val="24"/>
          <w:szCs w:val="24"/>
        </w:rPr>
        <w:t>三季度数据显示经济继续下行的压力仍在。政府在调控政策上保持定力，明确不走大幅刺激经济的老路。地产新开工同比下行的压力会在下半年逐步显现，地产销售端也受到调控影响复苏缓慢。中美贸易摩擦对市场的影响逐步钝化，而美联储重回货币宽松通道，给我们的货币政策带来了空间；同时国内的通胀情况值得密切关注，特别近期猪价的涨幅较大，一旦通胀预期上来，对市场的负面影响会较大。总体而言，宏观经济仍面临较大的下行压力，但政策的应对工具丰富，经济不存在断崖式下行的风险。市场对此预期比较充分，总体估值处于合理偏低的水平，但结构性行情让有</w:t>
      </w:r>
      <w:r>
        <w:rPr>
          <w:color w:val="000000"/>
          <w:sz w:val="24"/>
          <w:szCs w:val="24"/>
        </w:rPr>
        <w:t>些行业个股的估值出现泡沫化倾向。到季末沪深</w:t>
      </w:r>
      <w:r>
        <w:rPr>
          <w:color w:val="000000"/>
          <w:sz w:val="24"/>
          <w:szCs w:val="24"/>
        </w:rPr>
        <w:t>300</w:t>
      </w:r>
      <w:r>
        <w:rPr>
          <w:color w:val="000000"/>
          <w:sz w:val="24"/>
          <w:szCs w:val="24"/>
        </w:rPr>
        <w:t>指数收于</w:t>
      </w:r>
      <w:r>
        <w:rPr>
          <w:color w:val="000000"/>
          <w:sz w:val="24"/>
          <w:szCs w:val="24"/>
        </w:rPr>
        <w:t>3815</w:t>
      </w:r>
      <w:r>
        <w:rPr>
          <w:color w:val="000000"/>
          <w:sz w:val="24"/>
          <w:szCs w:val="24"/>
        </w:rPr>
        <w:t>点，下跌</w:t>
      </w:r>
      <w:r>
        <w:rPr>
          <w:color w:val="000000"/>
          <w:sz w:val="24"/>
          <w:szCs w:val="24"/>
        </w:rPr>
        <w:t>0.29%</w:t>
      </w:r>
      <w:r>
        <w:rPr>
          <w:color w:val="000000"/>
          <w:sz w:val="24"/>
          <w:szCs w:val="24"/>
        </w:rPr>
        <w:t>，处于震荡波动状态。</w:t>
      </w:r>
    </w:p>
    <w:p w:rsidR="00A010C3" w:rsidRDefault="001464C4">
      <w:pPr>
        <w:spacing w:line="360" w:lineRule="auto"/>
        <w:ind w:firstLineChars="200" w:firstLine="480"/>
        <w:rPr>
          <w:color w:val="000000"/>
          <w:sz w:val="24"/>
          <w:szCs w:val="24"/>
        </w:rPr>
      </w:pPr>
      <w:r>
        <w:rPr>
          <w:color w:val="000000"/>
          <w:sz w:val="24"/>
          <w:szCs w:val="24"/>
        </w:rPr>
        <w:t>今年以来某些行业个股的涨幅非常可观，甚至一定程度上出现了泡沫化的倾向。本基金将对于这类股票保持高度关注，适当调整组合中估值明显过高股票的权重，优化组合结构，适当关注那些短期失速、但中长期前景和竞争优势不改的个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本基金的投资策略具有鲜明的特征，即在众多天赋异禀、资源独到的国有企业中，寻找那些具有突出竞争优势、享有类垄断地位的企业，在分享高资本回报的同时，等待未来治理进化带来的红利。</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1.340</w:t>
      </w:r>
      <w:r w:rsidRPr="006C56AA">
        <w:rPr>
          <w:color w:val="000000"/>
          <w:sz w:val="24"/>
          <w:szCs w:val="24"/>
        </w:rPr>
        <w:t>元，本报告期份额净值增长率为</w:t>
      </w:r>
      <w:r w:rsidRPr="006C56AA">
        <w:rPr>
          <w:color w:val="000000"/>
          <w:sz w:val="24"/>
          <w:szCs w:val="24"/>
        </w:rPr>
        <w:t>6.43%</w:t>
      </w:r>
      <w:r w:rsidRPr="006C56AA">
        <w:rPr>
          <w:color w:val="000000"/>
          <w:sz w:val="24"/>
          <w:szCs w:val="24"/>
        </w:rPr>
        <w:t>，同期业绩比较基准收益率为</w:t>
      </w:r>
      <w:r w:rsidRPr="006C56AA">
        <w:rPr>
          <w:color w:val="000000"/>
          <w:sz w:val="24"/>
          <w:szCs w:val="24"/>
        </w:rPr>
        <w:t>-0.32%</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224,010,709.83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89.95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224,010,709.83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89.95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23,798,348.20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9.56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1,228,870.20</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0.49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249,037,928.23</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155,257,949.02</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62.77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42,720,337.17</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17.27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434,672.24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0.18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13,155,629.40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5.32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12,442,122.00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5.03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224,010,709.83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90.57</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A010C3">
        <w:tc>
          <w:tcPr>
            <w:tcW w:w="851" w:type="dxa"/>
            <w:vAlign w:val="center"/>
          </w:tcPr>
          <w:p w:rsidR="00A010C3" w:rsidRDefault="001464C4">
            <w:pPr>
              <w:jc w:val="center"/>
            </w:pPr>
            <w:r>
              <w:rPr>
                <w:color w:val="000000"/>
                <w:kern w:val="0"/>
                <w:sz w:val="24"/>
                <w:szCs w:val="24"/>
              </w:rPr>
              <w:t>1</w:t>
            </w:r>
          </w:p>
        </w:tc>
        <w:tc>
          <w:tcPr>
            <w:tcW w:w="1276" w:type="dxa"/>
            <w:vAlign w:val="center"/>
          </w:tcPr>
          <w:p w:rsidR="00A010C3" w:rsidRDefault="001464C4">
            <w:pPr>
              <w:jc w:val="center"/>
            </w:pPr>
            <w:r>
              <w:rPr>
                <w:color w:val="000000"/>
                <w:kern w:val="0"/>
                <w:sz w:val="24"/>
                <w:szCs w:val="24"/>
              </w:rPr>
              <w:t>000651</w:t>
            </w:r>
          </w:p>
        </w:tc>
        <w:tc>
          <w:tcPr>
            <w:tcW w:w="1418" w:type="dxa"/>
            <w:vAlign w:val="center"/>
          </w:tcPr>
          <w:p w:rsidR="00A010C3" w:rsidRDefault="001464C4">
            <w:pPr>
              <w:jc w:val="center"/>
            </w:pPr>
            <w:r>
              <w:rPr>
                <w:color w:val="000000"/>
                <w:kern w:val="0"/>
                <w:sz w:val="24"/>
                <w:szCs w:val="24"/>
              </w:rPr>
              <w:t>格力电器</w:t>
            </w:r>
          </w:p>
        </w:tc>
        <w:tc>
          <w:tcPr>
            <w:tcW w:w="1701" w:type="dxa"/>
            <w:vAlign w:val="center"/>
          </w:tcPr>
          <w:p w:rsidR="00A010C3" w:rsidRDefault="001464C4">
            <w:pPr>
              <w:jc w:val="right"/>
            </w:pPr>
            <w:r>
              <w:rPr>
                <w:color w:val="000000"/>
                <w:kern w:val="0"/>
                <w:sz w:val="24"/>
                <w:szCs w:val="24"/>
              </w:rPr>
              <w:t>409,224</w:t>
            </w:r>
          </w:p>
        </w:tc>
        <w:tc>
          <w:tcPr>
            <w:tcW w:w="1984" w:type="dxa"/>
            <w:vAlign w:val="center"/>
          </w:tcPr>
          <w:p w:rsidR="00A010C3" w:rsidRDefault="001464C4">
            <w:pPr>
              <w:jc w:val="right"/>
            </w:pPr>
            <w:r>
              <w:rPr>
                <w:color w:val="000000"/>
                <w:kern w:val="0"/>
                <w:sz w:val="24"/>
                <w:szCs w:val="24"/>
              </w:rPr>
              <w:t>23,448,535.20</w:t>
            </w:r>
          </w:p>
        </w:tc>
        <w:tc>
          <w:tcPr>
            <w:tcW w:w="1559" w:type="dxa"/>
            <w:vAlign w:val="center"/>
          </w:tcPr>
          <w:p w:rsidR="00A010C3" w:rsidRDefault="001464C4">
            <w:pPr>
              <w:jc w:val="right"/>
            </w:pPr>
            <w:r>
              <w:rPr>
                <w:color w:val="000000"/>
                <w:kern w:val="0"/>
                <w:sz w:val="24"/>
                <w:szCs w:val="24"/>
              </w:rPr>
              <w:t>9.48</w:t>
            </w:r>
          </w:p>
        </w:tc>
      </w:tr>
      <w:tr w:rsidR="00A010C3">
        <w:tc>
          <w:tcPr>
            <w:tcW w:w="851" w:type="dxa"/>
            <w:vAlign w:val="center"/>
          </w:tcPr>
          <w:p w:rsidR="00A010C3" w:rsidRDefault="001464C4">
            <w:pPr>
              <w:jc w:val="center"/>
            </w:pPr>
            <w:r>
              <w:rPr>
                <w:color w:val="000000"/>
                <w:kern w:val="0"/>
                <w:sz w:val="24"/>
                <w:szCs w:val="24"/>
              </w:rPr>
              <w:t>2</w:t>
            </w:r>
          </w:p>
        </w:tc>
        <w:tc>
          <w:tcPr>
            <w:tcW w:w="1276" w:type="dxa"/>
            <w:vAlign w:val="center"/>
          </w:tcPr>
          <w:p w:rsidR="00A010C3" w:rsidRDefault="001464C4">
            <w:pPr>
              <w:jc w:val="center"/>
            </w:pPr>
            <w:r>
              <w:rPr>
                <w:color w:val="000000"/>
                <w:kern w:val="0"/>
                <w:sz w:val="24"/>
                <w:szCs w:val="24"/>
              </w:rPr>
              <w:t>600009</w:t>
            </w:r>
          </w:p>
        </w:tc>
        <w:tc>
          <w:tcPr>
            <w:tcW w:w="1418" w:type="dxa"/>
            <w:vAlign w:val="center"/>
          </w:tcPr>
          <w:p w:rsidR="00A010C3" w:rsidRDefault="001464C4">
            <w:pPr>
              <w:jc w:val="center"/>
            </w:pPr>
            <w:r>
              <w:rPr>
                <w:color w:val="000000"/>
                <w:kern w:val="0"/>
                <w:sz w:val="24"/>
                <w:szCs w:val="24"/>
              </w:rPr>
              <w:t>上海机场</w:t>
            </w:r>
          </w:p>
        </w:tc>
        <w:tc>
          <w:tcPr>
            <w:tcW w:w="1701" w:type="dxa"/>
            <w:vAlign w:val="center"/>
          </w:tcPr>
          <w:p w:rsidR="00A010C3" w:rsidRDefault="001464C4">
            <w:pPr>
              <w:jc w:val="right"/>
            </w:pPr>
            <w:r>
              <w:rPr>
                <w:color w:val="000000"/>
                <w:kern w:val="0"/>
                <w:sz w:val="24"/>
                <w:szCs w:val="24"/>
              </w:rPr>
              <w:t>292,909</w:t>
            </w:r>
          </w:p>
        </w:tc>
        <w:tc>
          <w:tcPr>
            <w:tcW w:w="1984" w:type="dxa"/>
            <w:vAlign w:val="center"/>
          </w:tcPr>
          <w:p w:rsidR="00A010C3" w:rsidRDefault="001464C4">
            <w:pPr>
              <w:jc w:val="right"/>
            </w:pPr>
            <w:r>
              <w:rPr>
                <w:color w:val="000000"/>
                <w:kern w:val="0"/>
                <w:sz w:val="24"/>
                <w:szCs w:val="24"/>
              </w:rPr>
              <w:t>23,368,280.02</w:t>
            </w:r>
          </w:p>
        </w:tc>
        <w:tc>
          <w:tcPr>
            <w:tcW w:w="1559" w:type="dxa"/>
            <w:vAlign w:val="center"/>
          </w:tcPr>
          <w:p w:rsidR="00A010C3" w:rsidRDefault="001464C4">
            <w:pPr>
              <w:jc w:val="right"/>
            </w:pPr>
            <w:r>
              <w:rPr>
                <w:color w:val="000000"/>
                <w:kern w:val="0"/>
                <w:sz w:val="24"/>
                <w:szCs w:val="24"/>
              </w:rPr>
              <w:t>9.45</w:t>
            </w:r>
          </w:p>
        </w:tc>
      </w:tr>
      <w:tr w:rsidR="00A010C3">
        <w:tc>
          <w:tcPr>
            <w:tcW w:w="851" w:type="dxa"/>
            <w:vAlign w:val="center"/>
          </w:tcPr>
          <w:p w:rsidR="00A010C3" w:rsidRDefault="001464C4">
            <w:pPr>
              <w:jc w:val="center"/>
            </w:pPr>
            <w:r>
              <w:rPr>
                <w:color w:val="000000"/>
                <w:kern w:val="0"/>
                <w:sz w:val="24"/>
                <w:szCs w:val="24"/>
              </w:rPr>
              <w:t>3</w:t>
            </w:r>
          </w:p>
        </w:tc>
        <w:tc>
          <w:tcPr>
            <w:tcW w:w="1276" w:type="dxa"/>
            <w:vAlign w:val="center"/>
          </w:tcPr>
          <w:p w:rsidR="00A010C3" w:rsidRDefault="001464C4">
            <w:pPr>
              <w:jc w:val="center"/>
            </w:pPr>
            <w:r>
              <w:rPr>
                <w:color w:val="000000"/>
                <w:kern w:val="0"/>
                <w:sz w:val="24"/>
                <w:szCs w:val="24"/>
              </w:rPr>
              <w:t>000568</w:t>
            </w:r>
          </w:p>
        </w:tc>
        <w:tc>
          <w:tcPr>
            <w:tcW w:w="1418" w:type="dxa"/>
            <w:vAlign w:val="center"/>
          </w:tcPr>
          <w:p w:rsidR="00A010C3" w:rsidRDefault="001464C4">
            <w:pPr>
              <w:jc w:val="center"/>
            </w:pPr>
            <w:r>
              <w:rPr>
                <w:color w:val="000000"/>
                <w:kern w:val="0"/>
                <w:sz w:val="24"/>
                <w:szCs w:val="24"/>
              </w:rPr>
              <w:t>泸州老窖</w:t>
            </w:r>
          </w:p>
        </w:tc>
        <w:tc>
          <w:tcPr>
            <w:tcW w:w="1701" w:type="dxa"/>
            <w:vAlign w:val="center"/>
          </w:tcPr>
          <w:p w:rsidR="00A010C3" w:rsidRDefault="001464C4">
            <w:pPr>
              <w:jc w:val="right"/>
            </w:pPr>
            <w:r>
              <w:rPr>
                <w:color w:val="000000"/>
                <w:kern w:val="0"/>
                <w:sz w:val="24"/>
                <w:szCs w:val="24"/>
              </w:rPr>
              <w:t>273,709</w:t>
            </w:r>
          </w:p>
        </w:tc>
        <w:tc>
          <w:tcPr>
            <w:tcW w:w="1984" w:type="dxa"/>
            <w:vAlign w:val="center"/>
          </w:tcPr>
          <w:p w:rsidR="00A010C3" w:rsidRDefault="001464C4">
            <w:pPr>
              <w:jc w:val="right"/>
            </w:pPr>
            <w:r>
              <w:rPr>
                <w:color w:val="000000"/>
                <w:kern w:val="0"/>
                <w:sz w:val="24"/>
                <w:szCs w:val="24"/>
              </w:rPr>
              <w:t>23,325,480.98</w:t>
            </w:r>
          </w:p>
        </w:tc>
        <w:tc>
          <w:tcPr>
            <w:tcW w:w="1559" w:type="dxa"/>
            <w:vAlign w:val="center"/>
          </w:tcPr>
          <w:p w:rsidR="00A010C3" w:rsidRDefault="001464C4">
            <w:pPr>
              <w:jc w:val="right"/>
            </w:pPr>
            <w:r>
              <w:rPr>
                <w:color w:val="000000"/>
                <w:kern w:val="0"/>
                <w:sz w:val="24"/>
                <w:szCs w:val="24"/>
              </w:rPr>
              <w:t>9.43</w:t>
            </w:r>
          </w:p>
        </w:tc>
      </w:tr>
      <w:tr w:rsidR="00A010C3">
        <w:tc>
          <w:tcPr>
            <w:tcW w:w="851" w:type="dxa"/>
            <w:vAlign w:val="center"/>
          </w:tcPr>
          <w:p w:rsidR="00A010C3" w:rsidRDefault="001464C4">
            <w:pPr>
              <w:jc w:val="center"/>
            </w:pPr>
            <w:r>
              <w:rPr>
                <w:color w:val="000000"/>
                <w:kern w:val="0"/>
                <w:sz w:val="24"/>
                <w:szCs w:val="24"/>
              </w:rPr>
              <w:t>4</w:t>
            </w:r>
          </w:p>
        </w:tc>
        <w:tc>
          <w:tcPr>
            <w:tcW w:w="1276" w:type="dxa"/>
            <w:vAlign w:val="center"/>
          </w:tcPr>
          <w:p w:rsidR="00A010C3" w:rsidRDefault="001464C4">
            <w:pPr>
              <w:jc w:val="center"/>
            </w:pPr>
            <w:r>
              <w:rPr>
                <w:color w:val="000000"/>
                <w:kern w:val="0"/>
                <w:sz w:val="24"/>
                <w:szCs w:val="24"/>
              </w:rPr>
              <w:t>600519</w:t>
            </w:r>
          </w:p>
        </w:tc>
        <w:tc>
          <w:tcPr>
            <w:tcW w:w="1418" w:type="dxa"/>
            <w:vAlign w:val="center"/>
          </w:tcPr>
          <w:p w:rsidR="00A010C3" w:rsidRDefault="001464C4">
            <w:pPr>
              <w:jc w:val="center"/>
            </w:pPr>
            <w:r>
              <w:rPr>
                <w:color w:val="000000"/>
                <w:kern w:val="0"/>
                <w:sz w:val="24"/>
                <w:szCs w:val="24"/>
              </w:rPr>
              <w:t>贵州茅台</w:t>
            </w:r>
          </w:p>
        </w:tc>
        <w:tc>
          <w:tcPr>
            <w:tcW w:w="1701" w:type="dxa"/>
            <w:vAlign w:val="center"/>
          </w:tcPr>
          <w:p w:rsidR="00A010C3" w:rsidRDefault="001464C4">
            <w:pPr>
              <w:jc w:val="right"/>
            </w:pPr>
            <w:r>
              <w:rPr>
                <w:color w:val="000000"/>
                <w:kern w:val="0"/>
                <w:sz w:val="24"/>
                <w:szCs w:val="24"/>
              </w:rPr>
              <w:t>19,482</w:t>
            </w:r>
          </w:p>
        </w:tc>
        <w:tc>
          <w:tcPr>
            <w:tcW w:w="1984" w:type="dxa"/>
            <w:vAlign w:val="center"/>
          </w:tcPr>
          <w:p w:rsidR="00A010C3" w:rsidRDefault="001464C4">
            <w:pPr>
              <w:jc w:val="right"/>
            </w:pPr>
            <w:r>
              <w:rPr>
                <w:color w:val="000000"/>
                <w:kern w:val="0"/>
                <w:sz w:val="24"/>
                <w:szCs w:val="24"/>
              </w:rPr>
              <w:t>22,404,300.00</w:t>
            </w:r>
          </w:p>
        </w:tc>
        <w:tc>
          <w:tcPr>
            <w:tcW w:w="1559" w:type="dxa"/>
            <w:vAlign w:val="center"/>
          </w:tcPr>
          <w:p w:rsidR="00A010C3" w:rsidRDefault="001464C4">
            <w:pPr>
              <w:jc w:val="right"/>
            </w:pPr>
            <w:r>
              <w:rPr>
                <w:color w:val="000000"/>
                <w:kern w:val="0"/>
                <w:sz w:val="24"/>
                <w:szCs w:val="24"/>
              </w:rPr>
              <w:t>9.06</w:t>
            </w:r>
          </w:p>
        </w:tc>
      </w:tr>
      <w:tr w:rsidR="00A010C3">
        <w:tc>
          <w:tcPr>
            <w:tcW w:w="851" w:type="dxa"/>
            <w:vAlign w:val="center"/>
          </w:tcPr>
          <w:p w:rsidR="00A010C3" w:rsidRDefault="001464C4">
            <w:pPr>
              <w:jc w:val="center"/>
            </w:pPr>
            <w:r>
              <w:rPr>
                <w:color w:val="000000"/>
                <w:kern w:val="0"/>
                <w:sz w:val="24"/>
                <w:szCs w:val="24"/>
              </w:rPr>
              <w:t>5</w:t>
            </w:r>
          </w:p>
        </w:tc>
        <w:tc>
          <w:tcPr>
            <w:tcW w:w="1276" w:type="dxa"/>
            <w:vAlign w:val="center"/>
          </w:tcPr>
          <w:p w:rsidR="00A010C3" w:rsidRDefault="001464C4">
            <w:pPr>
              <w:jc w:val="center"/>
            </w:pPr>
            <w:r>
              <w:rPr>
                <w:color w:val="000000"/>
                <w:kern w:val="0"/>
                <w:sz w:val="24"/>
                <w:szCs w:val="24"/>
              </w:rPr>
              <w:t>002304</w:t>
            </w:r>
          </w:p>
        </w:tc>
        <w:tc>
          <w:tcPr>
            <w:tcW w:w="1418" w:type="dxa"/>
            <w:vAlign w:val="center"/>
          </w:tcPr>
          <w:p w:rsidR="00A010C3" w:rsidRDefault="001464C4">
            <w:pPr>
              <w:jc w:val="center"/>
            </w:pPr>
            <w:r>
              <w:rPr>
                <w:color w:val="000000"/>
                <w:kern w:val="0"/>
                <w:sz w:val="24"/>
                <w:szCs w:val="24"/>
              </w:rPr>
              <w:t>洋河股份</w:t>
            </w:r>
          </w:p>
        </w:tc>
        <w:tc>
          <w:tcPr>
            <w:tcW w:w="1701" w:type="dxa"/>
            <w:vAlign w:val="center"/>
          </w:tcPr>
          <w:p w:rsidR="00A010C3" w:rsidRDefault="001464C4">
            <w:pPr>
              <w:jc w:val="right"/>
            </w:pPr>
            <w:r>
              <w:rPr>
                <w:color w:val="000000"/>
                <w:kern w:val="0"/>
                <w:sz w:val="24"/>
                <w:szCs w:val="24"/>
              </w:rPr>
              <w:t>212,267</w:t>
            </w:r>
          </w:p>
        </w:tc>
        <w:tc>
          <w:tcPr>
            <w:tcW w:w="1984" w:type="dxa"/>
            <w:vAlign w:val="center"/>
          </w:tcPr>
          <w:p w:rsidR="00A010C3" w:rsidRDefault="001464C4">
            <w:pPr>
              <w:jc w:val="right"/>
            </w:pPr>
            <w:r>
              <w:rPr>
                <w:color w:val="000000"/>
                <w:kern w:val="0"/>
                <w:sz w:val="24"/>
                <w:szCs w:val="24"/>
              </w:rPr>
              <w:t>22,075,768.00</w:t>
            </w:r>
          </w:p>
        </w:tc>
        <w:tc>
          <w:tcPr>
            <w:tcW w:w="1559" w:type="dxa"/>
            <w:vAlign w:val="center"/>
          </w:tcPr>
          <w:p w:rsidR="00A010C3" w:rsidRDefault="001464C4">
            <w:pPr>
              <w:jc w:val="right"/>
            </w:pPr>
            <w:r>
              <w:rPr>
                <w:color w:val="000000"/>
                <w:kern w:val="0"/>
                <w:sz w:val="24"/>
                <w:szCs w:val="24"/>
              </w:rPr>
              <w:t>8.93</w:t>
            </w:r>
          </w:p>
        </w:tc>
      </w:tr>
      <w:tr w:rsidR="00A010C3">
        <w:tc>
          <w:tcPr>
            <w:tcW w:w="851" w:type="dxa"/>
            <w:vAlign w:val="center"/>
          </w:tcPr>
          <w:p w:rsidR="00A010C3" w:rsidRDefault="001464C4">
            <w:pPr>
              <w:jc w:val="center"/>
            </w:pPr>
            <w:r>
              <w:rPr>
                <w:color w:val="000000"/>
                <w:kern w:val="0"/>
                <w:sz w:val="24"/>
                <w:szCs w:val="24"/>
              </w:rPr>
              <w:t>6</w:t>
            </w:r>
          </w:p>
        </w:tc>
        <w:tc>
          <w:tcPr>
            <w:tcW w:w="1276" w:type="dxa"/>
            <w:vAlign w:val="center"/>
          </w:tcPr>
          <w:p w:rsidR="00A010C3" w:rsidRDefault="001464C4">
            <w:pPr>
              <w:jc w:val="center"/>
            </w:pPr>
            <w:r>
              <w:rPr>
                <w:color w:val="000000"/>
                <w:kern w:val="0"/>
                <w:sz w:val="24"/>
                <w:szCs w:val="24"/>
              </w:rPr>
              <w:t>000858</w:t>
            </w:r>
          </w:p>
        </w:tc>
        <w:tc>
          <w:tcPr>
            <w:tcW w:w="1418" w:type="dxa"/>
            <w:vAlign w:val="center"/>
          </w:tcPr>
          <w:p w:rsidR="00A010C3" w:rsidRDefault="001464C4">
            <w:pPr>
              <w:jc w:val="center"/>
            </w:pPr>
            <w:r>
              <w:rPr>
                <w:color w:val="000000"/>
                <w:kern w:val="0"/>
                <w:sz w:val="24"/>
                <w:szCs w:val="24"/>
              </w:rPr>
              <w:t>五粮液</w:t>
            </w:r>
          </w:p>
        </w:tc>
        <w:tc>
          <w:tcPr>
            <w:tcW w:w="1701" w:type="dxa"/>
            <w:vAlign w:val="center"/>
          </w:tcPr>
          <w:p w:rsidR="00A010C3" w:rsidRDefault="001464C4">
            <w:pPr>
              <w:jc w:val="right"/>
            </w:pPr>
            <w:r>
              <w:rPr>
                <w:color w:val="000000"/>
                <w:kern w:val="0"/>
                <w:sz w:val="24"/>
                <w:szCs w:val="24"/>
              </w:rPr>
              <w:t>155,650</w:t>
            </w:r>
          </w:p>
        </w:tc>
        <w:tc>
          <w:tcPr>
            <w:tcW w:w="1984" w:type="dxa"/>
            <w:vAlign w:val="center"/>
          </w:tcPr>
          <w:p w:rsidR="00A010C3" w:rsidRDefault="001464C4">
            <w:pPr>
              <w:jc w:val="right"/>
            </w:pPr>
            <w:r>
              <w:rPr>
                <w:color w:val="000000"/>
                <w:kern w:val="0"/>
                <w:sz w:val="24"/>
                <w:szCs w:val="24"/>
              </w:rPr>
              <w:t>20,203,370.00</w:t>
            </w:r>
          </w:p>
        </w:tc>
        <w:tc>
          <w:tcPr>
            <w:tcW w:w="1559" w:type="dxa"/>
            <w:vAlign w:val="center"/>
          </w:tcPr>
          <w:p w:rsidR="00A010C3" w:rsidRDefault="001464C4">
            <w:pPr>
              <w:jc w:val="right"/>
            </w:pPr>
            <w:r>
              <w:rPr>
                <w:color w:val="000000"/>
                <w:kern w:val="0"/>
                <w:sz w:val="24"/>
                <w:szCs w:val="24"/>
              </w:rPr>
              <w:t>8.17</w:t>
            </w:r>
          </w:p>
        </w:tc>
      </w:tr>
      <w:tr w:rsidR="00A010C3">
        <w:tc>
          <w:tcPr>
            <w:tcW w:w="851" w:type="dxa"/>
            <w:vAlign w:val="center"/>
          </w:tcPr>
          <w:p w:rsidR="00A010C3" w:rsidRDefault="001464C4">
            <w:pPr>
              <w:jc w:val="center"/>
            </w:pPr>
            <w:r>
              <w:rPr>
                <w:color w:val="000000"/>
                <w:kern w:val="0"/>
                <w:sz w:val="24"/>
                <w:szCs w:val="24"/>
              </w:rPr>
              <w:t>7</w:t>
            </w:r>
          </w:p>
        </w:tc>
        <w:tc>
          <w:tcPr>
            <w:tcW w:w="1276" w:type="dxa"/>
            <w:vAlign w:val="center"/>
          </w:tcPr>
          <w:p w:rsidR="00A010C3" w:rsidRDefault="001464C4">
            <w:pPr>
              <w:jc w:val="center"/>
            </w:pPr>
            <w:r>
              <w:rPr>
                <w:color w:val="000000"/>
                <w:kern w:val="0"/>
                <w:sz w:val="24"/>
                <w:szCs w:val="24"/>
              </w:rPr>
              <w:t>600004</w:t>
            </w:r>
          </w:p>
        </w:tc>
        <w:tc>
          <w:tcPr>
            <w:tcW w:w="1418" w:type="dxa"/>
            <w:vAlign w:val="center"/>
          </w:tcPr>
          <w:p w:rsidR="00A010C3" w:rsidRDefault="001464C4">
            <w:pPr>
              <w:jc w:val="center"/>
            </w:pPr>
            <w:r>
              <w:rPr>
                <w:color w:val="000000"/>
                <w:kern w:val="0"/>
                <w:sz w:val="24"/>
                <w:szCs w:val="24"/>
              </w:rPr>
              <w:t>白云机场</w:t>
            </w:r>
          </w:p>
        </w:tc>
        <w:tc>
          <w:tcPr>
            <w:tcW w:w="1701" w:type="dxa"/>
            <w:vAlign w:val="center"/>
          </w:tcPr>
          <w:p w:rsidR="00A010C3" w:rsidRDefault="001464C4">
            <w:pPr>
              <w:jc w:val="right"/>
            </w:pPr>
            <w:r>
              <w:rPr>
                <w:color w:val="000000"/>
                <w:kern w:val="0"/>
                <w:sz w:val="24"/>
                <w:szCs w:val="24"/>
              </w:rPr>
              <w:t>862,007</w:t>
            </w:r>
          </w:p>
        </w:tc>
        <w:tc>
          <w:tcPr>
            <w:tcW w:w="1984" w:type="dxa"/>
            <w:vAlign w:val="center"/>
          </w:tcPr>
          <w:p w:rsidR="00A010C3" w:rsidRDefault="001464C4">
            <w:pPr>
              <w:jc w:val="right"/>
            </w:pPr>
            <w:r>
              <w:rPr>
                <w:color w:val="000000"/>
                <w:kern w:val="0"/>
                <w:sz w:val="24"/>
                <w:szCs w:val="24"/>
              </w:rPr>
              <w:t>19,352,057.15</w:t>
            </w:r>
          </w:p>
        </w:tc>
        <w:tc>
          <w:tcPr>
            <w:tcW w:w="1559" w:type="dxa"/>
            <w:vAlign w:val="center"/>
          </w:tcPr>
          <w:p w:rsidR="00A010C3" w:rsidRDefault="001464C4">
            <w:pPr>
              <w:jc w:val="right"/>
            </w:pPr>
            <w:r>
              <w:rPr>
                <w:color w:val="000000"/>
                <w:kern w:val="0"/>
                <w:sz w:val="24"/>
                <w:szCs w:val="24"/>
              </w:rPr>
              <w:t>7.82</w:t>
            </w:r>
          </w:p>
        </w:tc>
      </w:tr>
      <w:tr w:rsidR="00A010C3">
        <w:tc>
          <w:tcPr>
            <w:tcW w:w="851" w:type="dxa"/>
            <w:vAlign w:val="center"/>
          </w:tcPr>
          <w:p w:rsidR="00A010C3" w:rsidRDefault="001464C4">
            <w:pPr>
              <w:jc w:val="center"/>
            </w:pPr>
            <w:r>
              <w:rPr>
                <w:color w:val="000000"/>
                <w:kern w:val="0"/>
                <w:sz w:val="24"/>
                <w:szCs w:val="24"/>
              </w:rPr>
              <w:t>8</w:t>
            </w:r>
          </w:p>
        </w:tc>
        <w:tc>
          <w:tcPr>
            <w:tcW w:w="1276" w:type="dxa"/>
            <w:vAlign w:val="center"/>
          </w:tcPr>
          <w:p w:rsidR="00A010C3" w:rsidRDefault="001464C4">
            <w:pPr>
              <w:jc w:val="center"/>
            </w:pPr>
            <w:r>
              <w:rPr>
                <w:color w:val="000000"/>
                <w:kern w:val="0"/>
                <w:sz w:val="24"/>
                <w:szCs w:val="24"/>
              </w:rPr>
              <w:t>601318</w:t>
            </w:r>
          </w:p>
        </w:tc>
        <w:tc>
          <w:tcPr>
            <w:tcW w:w="1418" w:type="dxa"/>
            <w:vAlign w:val="center"/>
          </w:tcPr>
          <w:p w:rsidR="00A010C3" w:rsidRDefault="001464C4">
            <w:pPr>
              <w:jc w:val="center"/>
            </w:pPr>
            <w:r>
              <w:rPr>
                <w:color w:val="000000"/>
                <w:kern w:val="0"/>
                <w:sz w:val="24"/>
                <w:szCs w:val="24"/>
              </w:rPr>
              <w:t>中国平安</w:t>
            </w:r>
          </w:p>
        </w:tc>
        <w:tc>
          <w:tcPr>
            <w:tcW w:w="1701" w:type="dxa"/>
            <w:vAlign w:val="center"/>
          </w:tcPr>
          <w:p w:rsidR="00A010C3" w:rsidRDefault="001464C4">
            <w:pPr>
              <w:jc w:val="right"/>
            </w:pPr>
            <w:r>
              <w:rPr>
                <w:color w:val="000000"/>
                <w:kern w:val="0"/>
                <w:sz w:val="24"/>
                <w:szCs w:val="24"/>
              </w:rPr>
              <w:t>150,705</w:t>
            </w:r>
          </w:p>
        </w:tc>
        <w:tc>
          <w:tcPr>
            <w:tcW w:w="1984" w:type="dxa"/>
            <w:vAlign w:val="center"/>
          </w:tcPr>
          <w:p w:rsidR="00A010C3" w:rsidRDefault="001464C4">
            <w:pPr>
              <w:jc w:val="right"/>
            </w:pPr>
            <w:r>
              <w:rPr>
                <w:color w:val="000000"/>
                <w:kern w:val="0"/>
                <w:sz w:val="24"/>
                <w:szCs w:val="24"/>
              </w:rPr>
              <w:t>13,117,363.20</w:t>
            </w:r>
          </w:p>
        </w:tc>
        <w:tc>
          <w:tcPr>
            <w:tcW w:w="1559" w:type="dxa"/>
            <w:vAlign w:val="center"/>
          </w:tcPr>
          <w:p w:rsidR="00A010C3" w:rsidRDefault="001464C4">
            <w:pPr>
              <w:jc w:val="right"/>
            </w:pPr>
            <w:r>
              <w:rPr>
                <w:color w:val="000000"/>
                <w:kern w:val="0"/>
                <w:sz w:val="24"/>
                <w:szCs w:val="24"/>
              </w:rPr>
              <w:t>5.30</w:t>
            </w:r>
          </w:p>
        </w:tc>
      </w:tr>
      <w:tr w:rsidR="00A010C3">
        <w:tc>
          <w:tcPr>
            <w:tcW w:w="851" w:type="dxa"/>
            <w:vAlign w:val="center"/>
          </w:tcPr>
          <w:p w:rsidR="00A010C3" w:rsidRDefault="001464C4">
            <w:pPr>
              <w:jc w:val="center"/>
            </w:pPr>
            <w:r>
              <w:rPr>
                <w:color w:val="000000"/>
                <w:kern w:val="0"/>
                <w:sz w:val="24"/>
                <w:szCs w:val="24"/>
              </w:rPr>
              <w:t>9</w:t>
            </w:r>
          </w:p>
        </w:tc>
        <w:tc>
          <w:tcPr>
            <w:tcW w:w="1276" w:type="dxa"/>
            <w:vAlign w:val="center"/>
          </w:tcPr>
          <w:p w:rsidR="00A010C3" w:rsidRDefault="001464C4">
            <w:pPr>
              <w:jc w:val="center"/>
            </w:pPr>
            <w:r>
              <w:rPr>
                <w:color w:val="000000"/>
                <w:kern w:val="0"/>
                <w:sz w:val="24"/>
                <w:szCs w:val="24"/>
              </w:rPr>
              <w:t>600887</w:t>
            </w:r>
          </w:p>
        </w:tc>
        <w:tc>
          <w:tcPr>
            <w:tcW w:w="1418" w:type="dxa"/>
            <w:vAlign w:val="center"/>
          </w:tcPr>
          <w:p w:rsidR="00A010C3" w:rsidRDefault="001464C4">
            <w:pPr>
              <w:jc w:val="center"/>
            </w:pPr>
            <w:r>
              <w:rPr>
                <w:color w:val="000000"/>
                <w:kern w:val="0"/>
                <w:sz w:val="24"/>
                <w:szCs w:val="24"/>
              </w:rPr>
              <w:t>伊利股份</w:t>
            </w:r>
          </w:p>
        </w:tc>
        <w:tc>
          <w:tcPr>
            <w:tcW w:w="1701" w:type="dxa"/>
            <w:vAlign w:val="center"/>
          </w:tcPr>
          <w:p w:rsidR="00A010C3" w:rsidRDefault="001464C4">
            <w:pPr>
              <w:jc w:val="right"/>
            </w:pPr>
            <w:r>
              <w:rPr>
                <w:color w:val="000000"/>
                <w:kern w:val="0"/>
                <w:sz w:val="24"/>
                <w:szCs w:val="24"/>
              </w:rPr>
              <w:t>436,500</w:t>
            </w:r>
          </w:p>
        </w:tc>
        <w:tc>
          <w:tcPr>
            <w:tcW w:w="1984" w:type="dxa"/>
            <w:vAlign w:val="center"/>
          </w:tcPr>
          <w:p w:rsidR="00A010C3" w:rsidRDefault="001464C4">
            <w:pPr>
              <w:jc w:val="right"/>
            </w:pPr>
            <w:r>
              <w:rPr>
                <w:color w:val="000000"/>
                <w:kern w:val="0"/>
                <w:sz w:val="24"/>
                <w:szCs w:val="24"/>
              </w:rPr>
              <w:t>12,448,980.00</w:t>
            </w:r>
          </w:p>
        </w:tc>
        <w:tc>
          <w:tcPr>
            <w:tcW w:w="1559" w:type="dxa"/>
            <w:vAlign w:val="center"/>
          </w:tcPr>
          <w:p w:rsidR="00A010C3" w:rsidRDefault="001464C4">
            <w:pPr>
              <w:jc w:val="right"/>
            </w:pPr>
            <w:r>
              <w:rPr>
                <w:color w:val="000000"/>
                <w:kern w:val="0"/>
                <w:sz w:val="24"/>
                <w:szCs w:val="24"/>
              </w:rPr>
              <w:t>5.03</w:t>
            </w:r>
          </w:p>
        </w:tc>
      </w:tr>
      <w:tr w:rsidR="00A010C3">
        <w:tc>
          <w:tcPr>
            <w:tcW w:w="851" w:type="dxa"/>
            <w:vAlign w:val="center"/>
          </w:tcPr>
          <w:p w:rsidR="00A010C3" w:rsidRDefault="001464C4">
            <w:pPr>
              <w:jc w:val="center"/>
            </w:pPr>
            <w:r>
              <w:rPr>
                <w:color w:val="000000"/>
                <w:kern w:val="0"/>
                <w:sz w:val="24"/>
                <w:szCs w:val="24"/>
              </w:rPr>
              <w:t>10</w:t>
            </w:r>
          </w:p>
        </w:tc>
        <w:tc>
          <w:tcPr>
            <w:tcW w:w="1276" w:type="dxa"/>
            <w:vAlign w:val="center"/>
          </w:tcPr>
          <w:p w:rsidR="00A010C3" w:rsidRDefault="001464C4">
            <w:pPr>
              <w:jc w:val="center"/>
            </w:pPr>
            <w:r>
              <w:rPr>
                <w:color w:val="000000"/>
                <w:kern w:val="0"/>
                <w:sz w:val="24"/>
                <w:szCs w:val="24"/>
              </w:rPr>
              <w:t>601888</w:t>
            </w:r>
          </w:p>
        </w:tc>
        <w:tc>
          <w:tcPr>
            <w:tcW w:w="1418" w:type="dxa"/>
            <w:vAlign w:val="center"/>
          </w:tcPr>
          <w:p w:rsidR="00A010C3" w:rsidRDefault="001464C4">
            <w:pPr>
              <w:jc w:val="center"/>
            </w:pPr>
            <w:r>
              <w:rPr>
                <w:color w:val="000000"/>
                <w:kern w:val="0"/>
                <w:sz w:val="24"/>
                <w:szCs w:val="24"/>
              </w:rPr>
              <w:t>中国国旅</w:t>
            </w:r>
          </w:p>
        </w:tc>
        <w:tc>
          <w:tcPr>
            <w:tcW w:w="1701" w:type="dxa"/>
            <w:vAlign w:val="center"/>
          </w:tcPr>
          <w:p w:rsidR="00A010C3" w:rsidRDefault="001464C4">
            <w:pPr>
              <w:jc w:val="right"/>
            </w:pPr>
            <w:r>
              <w:rPr>
                <w:color w:val="000000"/>
                <w:kern w:val="0"/>
                <w:sz w:val="24"/>
                <w:szCs w:val="24"/>
              </w:rPr>
              <w:t>133,700</w:t>
            </w:r>
          </w:p>
        </w:tc>
        <w:tc>
          <w:tcPr>
            <w:tcW w:w="1984" w:type="dxa"/>
            <w:vAlign w:val="center"/>
          </w:tcPr>
          <w:p w:rsidR="00A010C3" w:rsidRDefault="001464C4">
            <w:pPr>
              <w:jc w:val="right"/>
            </w:pPr>
            <w:r>
              <w:rPr>
                <w:color w:val="000000"/>
                <w:kern w:val="0"/>
                <w:sz w:val="24"/>
                <w:szCs w:val="24"/>
              </w:rPr>
              <w:t>12,442,122.00</w:t>
            </w:r>
          </w:p>
        </w:tc>
        <w:tc>
          <w:tcPr>
            <w:tcW w:w="1559" w:type="dxa"/>
            <w:vAlign w:val="center"/>
          </w:tcPr>
          <w:p w:rsidR="00A010C3" w:rsidRDefault="001464C4">
            <w:pPr>
              <w:jc w:val="right"/>
            </w:pPr>
            <w:r>
              <w:rPr>
                <w:color w:val="000000"/>
                <w:kern w:val="0"/>
                <w:sz w:val="24"/>
                <w:szCs w:val="24"/>
              </w:rPr>
              <w:t>5.03</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p w:rsidR="00750D48" w:rsidRPr="00232B03" w:rsidRDefault="00CA4677" w:rsidP="00403A06">
      <w:pPr>
        <w:spacing w:line="360" w:lineRule="auto"/>
        <w:ind w:firstLineChars="200" w:firstLine="480"/>
        <w:rPr>
          <w:color w:val="000000"/>
          <w:sz w:val="24"/>
          <w:szCs w:val="24"/>
        </w:rPr>
      </w:pPr>
      <w:r w:rsidRPr="00403A06">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39,530.48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5,614.40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1,183,725.32</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1,228,870.20</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113,020,016.32</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150,892,666.49</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79,265,614.04</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184,647,068.77</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8</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8.1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A010C3">
        <w:trPr>
          <w:jc w:val="center"/>
        </w:trPr>
        <w:tc>
          <w:tcPr>
            <w:tcW w:w="1798" w:type="dxa"/>
            <w:vMerge w:val="restart"/>
            <w:vAlign w:val="center"/>
          </w:tcPr>
          <w:p w:rsidR="00A010C3" w:rsidRDefault="001464C4">
            <w:r>
              <w:rPr>
                <w:rFonts w:eastAsiaTheme="minorEastAsia"/>
                <w:bCs/>
                <w:color w:val="000000" w:themeColor="text1"/>
                <w:sz w:val="24"/>
                <w:szCs w:val="24"/>
              </w:rPr>
              <w:t>机构</w:t>
            </w:r>
          </w:p>
        </w:tc>
        <w:tc>
          <w:tcPr>
            <w:tcW w:w="709" w:type="dxa"/>
            <w:vAlign w:val="center"/>
          </w:tcPr>
          <w:p w:rsidR="00A010C3" w:rsidRDefault="001464C4">
            <w:pPr>
              <w:jc w:val="center"/>
            </w:pPr>
            <w:r>
              <w:rPr>
                <w:sz w:val="24"/>
                <w:szCs w:val="24"/>
              </w:rPr>
              <w:t>1</w:t>
            </w:r>
          </w:p>
        </w:tc>
        <w:tc>
          <w:tcPr>
            <w:tcW w:w="1985" w:type="dxa"/>
            <w:vAlign w:val="center"/>
          </w:tcPr>
          <w:p w:rsidR="00A010C3" w:rsidRDefault="001464C4">
            <w:pPr>
              <w:jc w:val="center"/>
            </w:pPr>
            <w:r>
              <w:rPr>
                <w:sz w:val="24"/>
                <w:szCs w:val="24"/>
              </w:rPr>
              <w:t>2019</w:t>
            </w:r>
            <w:r>
              <w:rPr>
                <w:sz w:val="24"/>
                <w:szCs w:val="24"/>
              </w:rPr>
              <w:t>年</w:t>
            </w:r>
            <w:r>
              <w:rPr>
                <w:sz w:val="24"/>
                <w:szCs w:val="24"/>
              </w:rPr>
              <w:t>09</w:t>
            </w:r>
            <w:r>
              <w:rPr>
                <w:sz w:val="24"/>
                <w:szCs w:val="24"/>
              </w:rPr>
              <w:t>月</w:t>
            </w:r>
            <w:r>
              <w:rPr>
                <w:sz w:val="24"/>
                <w:szCs w:val="24"/>
              </w:rPr>
              <w:t>11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A010C3" w:rsidRDefault="001464C4">
            <w:pPr>
              <w:jc w:val="center"/>
            </w:pPr>
            <w:r>
              <w:rPr>
                <w:sz w:val="24"/>
                <w:szCs w:val="24"/>
              </w:rPr>
              <w:t>-</w:t>
            </w:r>
          </w:p>
        </w:tc>
        <w:tc>
          <w:tcPr>
            <w:tcW w:w="992" w:type="dxa"/>
            <w:vAlign w:val="center"/>
          </w:tcPr>
          <w:p w:rsidR="00A010C3" w:rsidRDefault="001464C4">
            <w:pPr>
              <w:jc w:val="center"/>
            </w:pPr>
            <w:r>
              <w:rPr>
                <w:sz w:val="24"/>
                <w:szCs w:val="24"/>
              </w:rPr>
              <w:t>51,743,227.14</w:t>
            </w:r>
          </w:p>
        </w:tc>
        <w:tc>
          <w:tcPr>
            <w:tcW w:w="1134" w:type="dxa"/>
            <w:vAlign w:val="center"/>
          </w:tcPr>
          <w:p w:rsidR="00A010C3" w:rsidRDefault="001464C4">
            <w:pPr>
              <w:jc w:val="center"/>
            </w:pPr>
            <w:r>
              <w:rPr>
                <w:sz w:val="24"/>
                <w:szCs w:val="24"/>
              </w:rPr>
              <w:t>-</w:t>
            </w:r>
          </w:p>
        </w:tc>
        <w:tc>
          <w:tcPr>
            <w:tcW w:w="1037" w:type="dxa"/>
            <w:vAlign w:val="center"/>
          </w:tcPr>
          <w:p w:rsidR="00A010C3" w:rsidRDefault="001464C4">
            <w:pPr>
              <w:jc w:val="center"/>
            </w:pPr>
            <w:r>
              <w:rPr>
                <w:sz w:val="24"/>
                <w:szCs w:val="24"/>
              </w:rPr>
              <w:t>51,743,227.14</w:t>
            </w:r>
          </w:p>
        </w:tc>
        <w:tc>
          <w:tcPr>
            <w:tcW w:w="851" w:type="dxa"/>
            <w:vAlign w:val="center"/>
          </w:tcPr>
          <w:p w:rsidR="00A010C3" w:rsidRDefault="001464C4">
            <w:pPr>
              <w:jc w:val="center"/>
            </w:pPr>
            <w:r>
              <w:rPr>
                <w:sz w:val="24"/>
                <w:szCs w:val="24"/>
              </w:rPr>
              <w:t>28.02%</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9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9.1 </w:t>
      </w:r>
      <w:r w:rsidRPr="00264E55">
        <w:rPr>
          <w:rFonts w:ascii="宋体" w:hAnsi="宋体" w:hint="eastAsia"/>
          <w:b/>
          <w:bCs/>
          <w:color w:val="000000"/>
          <w:kern w:val="0"/>
          <w:sz w:val="24"/>
          <w:szCs w:val="24"/>
        </w:rPr>
        <w:t>备查文件目录</w:t>
      </w:r>
    </w:p>
    <w:p w:rsidR="00A010C3" w:rsidRDefault="001464C4">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中国证监会准予易方达国企改革混合型证券投资基金注册的文件；</w:t>
      </w:r>
    </w:p>
    <w:p w:rsidR="00A010C3" w:rsidRDefault="001464C4">
      <w:pPr>
        <w:spacing w:line="360" w:lineRule="auto"/>
        <w:ind w:firstLineChars="200" w:firstLine="480"/>
        <w:rPr>
          <w:color w:val="000000"/>
          <w:sz w:val="24"/>
          <w:szCs w:val="24"/>
        </w:rPr>
      </w:pPr>
      <w:r>
        <w:rPr>
          <w:color w:val="000000"/>
          <w:sz w:val="24"/>
          <w:szCs w:val="24"/>
        </w:rPr>
        <w:t>2.</w:t>
      </w:r>
      <w:r>
        <w:rPr>
          <w:color w:val="000000"/>
          <w:sz w:val="24"/>
          <w:szCs w:val="24"/>
        </w:rPr>
        <w:t>《易方达国企改革混合型证券投资基金基金合同》；</w:t>
      </w:r>
    </w:p>
    <w:p w:rsidR="00A010C3" w:rsidRDefault="001464C4">
      <w:pPr>
        <w:spacing w:line="360" w:lineRule="auto"/>
        <w:ind w:firstLineChars="200" w:firstLine="480"/>
        <w:rPr>
          <w:color w:val="000000"/>
          <w:sz w:val="24"/>
          <w:szCs w:val="24"/>
        </w:rPr>
      </w:pPr>
      <w:r>
        <w:rPr>
          <w:color w:val="000000"/>
          <w:sz w:val="24"/>
          <w:szCs w:val="24"/>
        </w:rPr>
        <w:t>3.</w:t>
      </w:r>
      <w:r>
        <w:rPr>
          <w:color w:val="000000"/>
          <w:sz w:val="24"/>
          <w:szCs w:val="24"/>
        </w:rPr>
        <w:t>《易方达国企改革混合型证券投资基金托管协议》；</w:t>
      </w:r>
    </w:p>
    <w:p w:rsidR="00A010C3" w:rsidRDefault="001464C4">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1464C4">
      <w:rPr>
        <w:rStyle w:val="a7"/>
        <w:noProof/>
      </w:rPr>
      <w:t>1</w:t>
    </w:r>
    <w:r>
      <w:rPr>
        <w:rStyle w:val="a7"/>
      </w:rPr>
      <w:fldChar w:fldCharType="end"/>
    </w:r>
    <w:r>
      <w:rPr>
        <w:rStyle w:val="a7"/>
        <w:rFonts w:hint="eastAsia"/>
      </w:rPr>
      <w:t>页共</w:t>
    </w:r>
    <w:r w:rsidR="001464C4">
      <w:fldChar w:fldCharType="begin"/>
    </w:r>
    <w:r w:rsidR="001464C4">
      <w:instrText xml:space="preserve"> NUMPAGES  \* Arabic  \* MERGEFORMAT </w:instrText>
    </w:r>
    <w:r w:rsidR="001464C4">
      <w:fldChar w:fldCharType="separate"/>
    </w:r>
    <w:r w:rsidR="001464C4" w:rsidRPr="001464C4">
      <w:rPr>
        <w:rStyle w:val="a7"/>
        <w:noProof/>
      </w:rPr>
      <w:t>3</w:t>
    </w:r>
    <w:r w:rsidR="001464C4">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1464C4">
      <w:rPr>
        <w:rStyle w:val="a7"/>
        <w:noProof/>
      </w:rPr>
      <w:t>11</w:t>
    </w:r>
    <w:r>
      <w:rPr>
        <w:rStyle w:val="a7"/>
      </w:rPr>
      <w:fldChar w:fldCharType="end"/>
    </w:r>
    <w:r>
      <w:rPr>
        <w:rStyle w:val="a7"/>
        <w:rFonts w:hint="eastAsia"/>
      </w:rPr>
      <w:t>页共</w:t>
    </w:r>
    <w:fldSimple w:instr=" NUMPAGES  \* Arabic  \* MERGEFORMAT ">
      <w:r w:rsidR="001464C4" w:rsidRPr="001464C4">
        <w:rPr>
          <w:rStyle w:val="a7"/>
          <w:noProof/>
        </w:rPr>
        <w:t>11</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易方达国企改革混合型证券投资基金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64C4"/>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10C3"/>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88579-9303-4EED-816B-7D3A492B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929</Words>
  <Characters>5296</Characters>
  <Application>Microsoft Office Word</Application>
  <DocSecurity>0</DocSecurity>
  <Lines>44</Lines>
  <Paragraphs>12</Paragraphs>
  <ScaleCrop>false</ScaleCrop>
  <Company/>
  <LinksUpToDate>false</LinksUpToDate>
  <CharactersWithSpaces>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2019-10-16T13:54:00Z</cp:lastPrinted>
  <dcterms:created xsi:type="dcterms:W3CDTF">2012-10-16T06:07:00Z</dcterms:created>
  <dcterms:modified xsi:type="dcterms:W3CDTF">2019-10-16T13:54:00Z</dcterms:modified>
</cp:coreProperties>
</file>