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易方达新常态灵活配置混合型证券投资基金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A460FC" w:rsidRDefault="00C62DCB">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A460FC" w:rsidRDefault="00C62DCB">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A460FC" w:rsidRDefault="00C62DCB">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A460FC" w:rsidRDefault="00C62DCB">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A460FC" w:rsidRDefault="00C62DCB">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易方达新常态混合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001184</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001184</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4</w:t>
            </w:r>
            <w:r w:rsidRPr="00232B03">
              <w:rPr>
                <w:color w:val="000000"/>
                <w:kern w:val="0"/>
                <w:sz w:val="24"/>
                <w:szCs w:val="24"/>
              </w:rPr>
              <w:t>月</w:t>
            </w:r>
            <w:r w:rsidRPr="00232B03">
              <w:rPr>
                <w:color w:val="000000"/>
                <w:kern w:val="0"/>
                <w:sz w:val="24"/>
                <w:szCs w:val="24"/>
              </w:rPr>
              <w:t>30</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6,304,575,549.61</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等资产类别的配置比例。在资产配置的基础上，本基金重点关注在中国经济呈现出增速放缓、结构不断优化、增长动力从要素驱动和投资驱动转向创新驱动的</w:t>
            </w:r>
            <w:r w:rsidRPr="00232B03">
              <w:rPr>
                <w:color w:val="000000"/>
                <w:kern w:val="0"/>
                <w:sz w:val="24"/>
                <w:szCs w:val="24"/>
              </w:rPr>
              <w:t>“</w:t>
            </w:r>
            <w:r w:rsidRPr="00232B03">
              <w:rPr>
                <w:color w:val="000000"/>
                <w:kern w:val="0"/>
                <w:sz w:val="24"/>
                <w:szCs w:val="24"/>
              </w:rPr>
              <w:t>新常态</w:t>
            </w:r>
            <w:r w:rsidRPr="00232B03">
              <w:rPr>
                <w:color w:val="000000"/>
                <w:kern w:val="0"/>
                <w:sz w:val="24"/>
                <w:szCs w:val="24"/>
              </w:rPr>
              <w:t>”</w:t>
            </w:r>
            <w:r w:rsidRPr="00232B03">
              <w:rPr>
                <w:color w:val="000000"/>
                <w:kern w:val="0"/>
                <w:sz w:val="24"/>
                <w:szCs w:val="24"/>
              </w:rPr>
              <w:t>背景下的</w:t>
            </w:r>
            <w:r w:rsidRPr="00232B03">
              <w:rPr>
                <w:color w:val="000000"/>
                <w:kern w:val="0"/>
                <w:sz w:val="24"/>
                <w:szCs w:val="24"/>
              </w:rPr>
              <w:lastRenderedPageBreak/>
              <w:t>新产业、新技术、新商业模式以及混合所有制改革、一带一路建设等投资机会。</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w:t>
            </w:r>
            <w:r w:rsidRPr="00232B03">
              <w:rPr>
                <w:color w:val="000000"/>
                <w:kern w:val="0"/>
                <w:sz w:val="24"/>
                <w:szCs w:val="24"/>
              </w:rPr>
              <w:t>800</w:t>
            </w:r>
            <w:r w:rsidRPr="00232B03">
              <w:rPr>
                <w:color w:val="000000"/>
                <w:kern w:val="0"/>
                <w:sz w:val="24"/>
                <w:szCs w:val="24"/>
              </w:rPr>
              <w:t>指数收益率</w:t>
            </w:r>
            <w:r w:rsidRPr="00232B03">
              <w:rPr>
                <w:color w:val="000000"/>
                <w:kern w:val="0"/>
                <w:sz w:val="24"/>
                <w:szCs w:val="24"/>
              </w:rPr>
              <w:t>×65%+</w:t>
            </w:r>
            <w:r w:rsidRPr="00232B03">
              <w:rPr>
                <w:color w:val="000000"/>
                <w:kern w:val="0"/>
                <w:sz w:val="24"/>
                <w:szCs w:val="24"/>
              </w:rPr>
              <w:t>一年期人民币定期存款利率（税后）</w:t>
            </w:r>
            <w:r w:rsidRPr="00232B03">
              <w:rPr>
                <w:color w:val="000000"/>
                <w:kern w:val="0"/>
                <w:sz w:val="24"/>
                <w:szCs w:val="24"/>
              </w:rPr>
              <w:t>×35%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107,857,744.22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201,394,356.30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0.0312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2,637,136,269.06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0.418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A460FC" w:rsidRDefault="00C62DCB">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A460FC">
        <w:tc>
          <w:tcPr>
            <w:tcW w:w="1395" w:type="dxa"/>
            <w:vAlign w:val="center"/>
          </w:tcPr>
          <w:p w:rsidR="00A460FC" w:rsidRDefault="00C62DCB">
            <w:pPr>
              <w:jc w:val="left"/>
            </w:pPr>
            <w:r>
              <w:rPr>
                <w:color w:val="000000"/>
                <w:kern w:val="0"/>
                <w:sz w:val="24"/>
                <w:szCs w:val="24"/>
              </w:rPr>
              <w:t>过去三个月</w:t>
            </w:r>
          </w:p>
        </w:tc>
        <w:tc>
          <w:tcPr>
            <w:tcW w:w="1092" w:type="dxa"/>
            <w:vAlign w:val="center"/>
          </w:tcPr>
          <w:p w:rsidR="00A460FC" w:rsidRDefault="00C62DCB">
            <w:pPr>
              <w:jc w:val="center"/>
            </w:pPr>
            <w:r>
              <w:rPr>
                <w:color w:val="000000"/>
                <w:kern w:val="0"/>
                <w:sz w:val="24"/>
                <w:szCs w:val="24"/>
              </w:rPr>
              <w:t>8.01%</w:t>
            </w:r>
          </w:p>
        </w:tc>
        <w:tc>
          <w:tcPr>
            <w:tcW w:w="1161" w:type="dxa"/>
            <w:vAlign w:val="center"/>
          </w:tcPr>
          <w:p w:rsidR="00A460FC" w:rsidRDefault="00C62DCB">
            <w:pPr>
              <w:jc w:val="center"/>
            </w:pPr>
            <w:r>
              <w:rPr>
                <w:color w:val="000000"/>
                <w:kern w:val="0"/>
                <w:sz w:val="24"/>
                <w:szCs w:val="24"/>
              </w:rPr>
              <w:t>0.95%</w:t>
            </w:r>
          </w:p>
        </w:tc>
        <w:tc>
          <w:tcPr>
            <w:tcW w:w="1181" w:type="dxa"/>
            <w:vAlign w:val="center"/>
          </w:tcPr>
          <w:p w:rsidR="00A460FC" w:rsidRDefault="00C62DCB">
            <w:pPr>
              <w:jc w:val="center"/>
            </w:pPr>
            <w:r>
              <w:rPr>
                <w:color w:val="000000"/>
                <w:kern w:val="0"/>
                <w:sz w:val="24"/>
                <w:szCs w:val="24"/>
              </w:rPr>
              <w:t>0.03%</w:t>
            </w:r>
          </w:p>
        </w:tc>
        <w:tc>
          <w:tcPr>
            <w:tcW w:w="1188" w:type="dxa"/>
            <w:vAlign w:val="center"/>
          </w:tcPr>
          <w:p w:rsidR="00A460FC" w:rsidRDefault="00C62DCB">
            <w:pPr>
              <w:jc w:val="center"/>
            </w:pPr>
            <w:r>
              <w:rPr>
                <w:color w:val="000000"/>
                <w:kern w:val="0"/>
                <w:sz w:val="24"/>
                <w:szCs w:val="24"/>
              </w:rPr>
              <w:t>0.64%</w:t>
            </w:r>
          </w:p>
        </w:tc>
        <w:tc>
          <w:tcPr>
            <w:tcW w:w="1199" w:type="dxa"/>
            <w:vAlign w:val="center"/>
          </w:tcPr>
          <w:p w:rsidR="00A460FC" w:rsidRDefault="00C62DCB">
            <w:pPr>
              <w:jc w:val="center"/>
            </w:pPr>
            <w:r>
              <w:rPr>
                <w:color w:val="000000"/>
                <w:kern w:val="0"/>
                <w:sz w:val="24"/>
                <w:szCs w:val="24"/>
              </w:rPr>
              <w:t>7.98%</w:t>
            </w:r>
          </w:p>
        </w:tc>
        <w:tc>
          <w:tcPr>
            <w:tcW w:w="1204" w:type="dxa"/>
            <w:vAlign w:val="center"/>
          </w:tcPr>
          <w:p w:rsidR="00A460FC" w:rsidRDefault="00C62DCB">
            <w:pPr>
              <w:jc w:val="center"/>
            </w:pPr>
            <w:r>
              <w:rPr>
                <w:color w:val="000000"/>
                <w:kern w:val="0"/>
                <w:sz w:val="24"/>
                <w:szCs w:val="24"/>
              </w:rPr>
              <w:t>0.31%</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易方达新常态灵活配置混合型证券投资基金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4</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C62DCB"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-58.20%</w:t>
      </w:r>
      <w:r w:rsidRPr="006C56AA">
        <w:rPr>
          <w:color w:val="000000"/>
          <w:sz w:val="24"/>
          <w:szCs w:val="24"/>
        </w:rPr>
        <w:t>，同期业绩比较基准收益率为</w:t>
      </w:r>
      <w:r w:rsidRPr="006C56AA">
        <w:rPr>
          <w:color w:val="000000"/>
          <w:sz w:val="24"/>
          <w:szCs w:val="24"/>
        </w:rPr>
        <w:t>-13.14%</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A460FC">
        <w:tc>
          <w:tcPr>
            <w:tcW w:w="567" w:type="dxa"/>
            <w:vAlign w:val="center"/>
          </w:tcPr>
          <w:p w:rsidR="00A460FC" w:rsidRDefault="00C62DCB">
            <w:pPr>
              <w:jc w:val="center"/>
            </w:pPr>
            <w:r>
              <w:rPr>
                <w:color w:val="000000"/>
                <w:sz w:val="24"/>
              </w:rPr>
              <w:t>赵锴</w:t>
            </w:r>
          </w:p>
        </w:tc>
        <w:tc>
          <w:tcPr>
            <w:tcW w:w="2835" w:type="dxa"/>
            <w:vAlign w:val="center"/>
          </w:tcPr>
          <w:p w:rsidR="00A460FC" w:rsidRDefault="00C62DCB">
            <w:pPr>
              <w:jc w:val="center"/>
            </w:pPr>
            <w:r>
              <w:rPr>
                <w:color w:val="000000"/>
                <w:sz w:val="24"/>
              </w:rPr>
              <w:t>本基金的基金经理、年金投资经理</w:t>
            </w:r>
          </w:p>
        </w:tc>
        <w:tc>
          <w:tcPr>
            <w:tcW w:w="851" w:type="dxa"/>
            <w:vAlign w:val="center"/>
          </w:tcPr>
          <w:p w:rsidR="00A460FC" w:rsidRDefault="00C62DCB">
            <w:pPr>
              <w:jc w:val="center"/>
            </w:pPr>
            <w:r>
              <w:rPr>
                <w:color w:val="000000"/>
                <w:sz w:val="24"/>
              </w:rPr>
              <w:t>2018-12-12</w:t>
            </w:r>
          </w:p>
        </w:tc>
        <w:tc>
          <w:tcPr>
            <w:tcW w:w="850" w:type="dxa"/>
            <w:vAlign w:val="center"/>
          </w:tcPr>
          <w:p w:rsidR="00A460FC" w:rsidRDefault="00C62DCB">
            <w:pPr>
              <w:jc w:val="center"/>
            </w:pPr>
            <w:r>
              <w:rPr>
                <w:color w:val="000000"/>
                <w:sz w:val="24"/>
              </w:rPr>
              <w:t>-</w:t>
            </w:r>
          </w:p>
        </w:tc>
        <w:tc>
          <w:tcPr>
            <w:tcW w:w="851" w:type="dxa"/>
            <w:vAlign w:val="center"/>
          </w:tcPr>
          <w:p w:rsidR="00A460FC" w:rsidRDefault="00C62DCB">
            <w:pPr>
              <w:jc w:val="center"/>
            </w:pPr>
            <w:r>
              <w:rPr>
                <w:color w:val="000000"/>
                <w:sz w:val="24"/>
              </w:rPr>
              <w:t>18</w:t>
            </w:r>
            <w:r>
              <w:rPr>
                <w:color w:val="000000"/>
                <w:sz w:val="24"/>
              </w:rPr>
              <w:t>年</w:t>
            </w:r>
          </w:p>
        </w:tc>
        <w:tc>
          <w:tcPr>
            <w:tcW w:w="2977" w:type="dxa"/>
            <w:vAlign w:val="center"/>
          </w:tcPr>
          <w:p w:rsidR="00A460FC" w:rsidRDefault="00C62DCB">
            <w:r>
              <w:rPr>
                <w:color w:val="000000"/>
                <w:sz w:val="24"/>
              </w:rPr>
              <w:t>硕士研究生，曾任广发证券股份有限公司资产管理部产品经理、研究员、研究主管、投资经理，大成基金管理有限公司委托投资部投资经理，易方达基金管理有限公司专户投资经理。</w:t>
            </w:r>
          </w:p>
        </w:tc>
      </w:tr>
      <w:tr w:rsidR="00A460FC">
        <w:tc>
          <w:tcPr>
            <w:tcW w:w="567" w:type="dxa"/>
            <w:vAlign w:val="center"/>
          </w:tcPr>
          <w:p w:rsidR="00A460FC" w:rsidRDefault="00C62DCB">
            <w:pPr>
              <w:jc w:val="center"/>
            </w:pPr>
            <w:r>
              <w:rPr>
                <w:color w:val="000000"/>
                <w:sz w:val="24"/>
              </w:rPr>
              <w:t>孙松</w:t>
            </w:r>
          </w:p>
        </w:tc>
        <w:tc>
          <w:tcPr>
            <w:tcW w:w="2835" w:type="dxa"/>
            <w:vAlign w:val="center"/>
          </w:tcPr>
          <w:p w:rsidR="00A460FC" w:rsidRDefault="00C62DCB">
            <w:pPr>
              <w:jc w:val="center"/>
            </w:pPr>
            <w:r>
              <w:rPr>
                <w:color w:val="000000"/>
                <w:sz w:val="24"/>
              </w:rPr>
              <w:t>本基金的基金经理、投资二部总经理、投资经理</w:t>
            </w:r>
          </w:p>
        </w:tc>
        <w:tc>
          <w:tcPr>
            <w:tcW w:w="851" w:type="dxa"/>
            <w:vAlign w:val="center"/>
          </w:tcPr>
          <w:p w:rsidR="00A460FC" w:rsidRDefault="00C62DCB">
            <w:pPr>
              <w:jc w:val="center"/>
            </w:pPr>
            <w:r>
              <w:rPr>
                <w:color w:val="000000"/>
                <w:sz w:val="24"/>
              </w:rPr>
              <w:t>2018-12-25</w:t>
            </w:r>
          </w:p>
        </w:tc>
        <w:tc>
          <w:tcPr>
            <w:tcW w:w="850" w:type="dxa"/>
            <w:vAlign w:val="center"/>
          </w:tcPr>
          <w:p w:rsidR="00A460FC" w:rsidRDefault="00C62DCB">
            <w:pPr>
              <w:jc w:val="center"/>
            </w:pPr>
            <w:r>
              <w:rPr>
                <w:color w:val="000000"/>
                <w:sz w:val="24"/>
              </w:rPr>
              <w:t>-</w:t>
            </w:r>
          </w:p>
        </w:tc>
        <w:tc>
          <w:tcPr>
            <w:tcW w:w="851" w:type="dxa"/>
            <w:vAlign w:val="center"/>
          </w:tcPr>
          <w:p w:rsidR="00A460FC" w:rsidRDefault="00C62DCB">
            <w:pPr>
              <w:jc w:val="center"/>
            </w:pPr>
            <w:r>
              <w:rPr>
                <w:color w:val="000000"/>
                <w:sz w:val="24"/>
              </w:rPr>
              <w:t>17</w:t>
            </w:r>
            <w:r>
              <w:rPr>
                <w:color w:val="000000"/>
                <w:sz w:val="24"/>
              </w:rPr>
              <w:t>年</w:t>
            </w:r>
          </w:p>
        </w:tc>
        <w:tc>
          <w:tcPr>
            <w:tcW w:w="2977" w:type="dxa"/>
            <w:vAlign w:val="center"/>
          </w:tcPr>
          <w:p w:rsidR="00A460FC" w:rsidRDefault="00C62DCB">
            <w:r>
              <w:rPr>
                <w:color w:val="000000"/>
                <w:sz w:val="24"/>
              </w:rPr>
              <w:t>硕士研究生，曾任易方达基金管理有限公司交易员、集中交易室主管、集中交易室经理、基金投资部基金经理助理兼任行业研究员、机构理财部总经理助理、机构理财部副总经理、权益投资总部副总经理、专户投资部总经理、养老金与专户权益投资部总经理。</w:t>
            </w:r>
          </w:p>
        </w:tc>
      </w:tr>
    </w:tbl>
    <w:p w:rsidR="00A460FC" w:rsidRDefault="00C62DCB">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A460FC" w:rsidRDefault="00C62DCB">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A460FC" w:rsidRDefault="00C62DCB">
      <w:pPr>
        <w:spacing w:line="360" w:lineRule="auto"/>
        <w:ind w:firstLineChars="200" w:firstLine="480"/>
        <w:rPr>
          <w:color w:val="000000"/>
          <w:sz w:val="24"/>
          <w:szCs w:val="24"/>
        </w:rPr>
      </w:pPr>
      <w:r>
        <w:rPr>
          <w:color w:val="000000"/>
          <w:sz w:val="24"/>
          <w:szCs w:val="24"/>
        </w:rPr>
        <w:t>2019</w:t>
      </w:r>
      <w:r>
        <w:rPr>
          <w:color w:val="000000"/>
          <w:sz w:val="24"/>
          <w:szCs w:val="24"/>
        </w:rPr>
        <w:t>年三季度，市场出现分化，创业板一枝独秀。其中，上证综指下跌</w:t>
      </w:r>
      <w:r>
        <w:rPr>
          <w:color w:val="000000"/>
          <w:sz w:val="24"/>
          <w:szCs w:val="24"/>
        </w:rPr>
        <w:t>2.47%</w:t>
      </w:r>
      <w:r>
        <w:rPr>
          <w:color w:val="000000"/>
          <w:sz w:val="24"/>
          <w:szCs w:val="24"/>
        </w:rPr>
        <w:t>，深证综指上涨</w:t>
      </w:r>
      <w:r>
        <w:rPr>
          <w:color w:val="000000"/>
          <w:sz w:val="24"/>
          <w:szCs w:val="24"/>
        </w:rPr>
        <w:t>2.10%</w:t>
      </w:r>
      <w:r>
        <w:rPr>
          <w:color w:val="000000"/>
          <w:sz w:val="24"/>
          <w:szCs w:val="24"/>
        </w:rPr>
        <w:t>，沪深</w:t>
      </w:r>
      <w:r>
        <w:rPr>
          <w:color w:val="000000"/>
          <w:sz w:val="24"/>
          <w:szCs w:val="24"/>
        </w:rPr>
        <w:t>300</w:t>
      </w:r>
      <w:r>
        <w:rPr>
          <w:color w:val="000000"/>
          <w:sz w:val="24"/>
          <w:szCs w:val="24"/>
        </w:rPr>
        <w:t>指数微跌</w:t>
      </w:r>
      <w:r>
        <w:rPr>
          <w:color w:val="000000"/>
          <w:sz w:val="24"/>
          <w:szCs w:val="24"/>
        </w:rPr>
        <w:t>0.29%</w:t>
      </w:r>
      <w:r>
        <w:rPr>
          <w:color w:val="000000"/>
          <w:sz w:val="24"/>
          <w:szCs w:val="24"/>
        </w:rPr>
        <w:t>，创业板指数上涨</w:t>
      </w:r>
      <w:r>
        <w:rPr>
          <w:color w:val="000000"/>
          <w:sz w:val="24"/>
          <w:szCs w:val="24"/>
        </w:rPr>
        <w:t>7.68%</w:t>
      </w:r>
      <w:r>
        <w:rPr>
          <w:color w:val="000000"/>
          <w:sz w:val="24"/>
          <w:szCs w:val="24"/>
        </w:rPr>
        <w:t>，中小板指数上涨</w:t>
      </w:r>
      <w:r>
        <w:rPr>
          <w:color w:val="000000"/>
          <w:sz w:val="24"/>
          <w:szCs w:val="24"/>
        </w:rPr>
        <w:t>5.62%</w:t>
      </w:r>
      <w:r>
        <w:rPr>
          <w:color w:val="000000"/>
          <w:sz w:val="24"/>
          <w:szCs w:val="24"/>
        </w:rPr>
        <w:t>。板块方面，三季度中信</w:t>
      </w:r>
      <w:r>
        <w:rPr>
          <w:color w:val="000000"/>
          <w:sz w:val="24"/>
          <w:szCs w:val="24"/>
        </w:rPr>
        <w:t>29</w:t>
      </w:r>
      <w:r>
        <w:rPr>
          <w:color w:val="000000"/>
          <w:sz w:val="24"/>
          <w:szCs w:val="24"/>
        </w:rPr>
        <w:t>个一级行业指数中电子元器件、医药、计算机、食品饮料、餐饮旅游、国防军工等</w:t>
      </w:r>
      <w:r>
        <w:rPr>
          <w:color w:val="000000"/>
          <w:sz w:val="24"/>
          <w:szCs w:val="24"/>
        </w:rPr>
        <w:t>11</w:t>
      </w:r>
      <w:r>
        <w:rPr>
          <w:color w:val="000000"/>
          <w:sz w:val="24"/>
          <w:szCs w:val="24"/>
        </w:rPr>
        <w:t>个行业上涨（其中电子元器件行业以</w:t>
      </w:r>
      <w:r>
        <w:rPr>
          <w:color w:val="000000"/>
          <w:sz w:val="24"/>
          <w:szCs w:val="24"/>
        </w:rPr>
        <w:t>18.63%</w:t>
      </w:r>
      <w:r>
        <w:rPr>
          <w:color w:val="000000"/>
          <w:sz w:val="24"/>
          <w:szCs w:val="24"/>
        </w:rPr>
        <w:t>的涨幅居首），其余板块全数下跌。跌幅居前的行业有钢铁、有色金属、商贸零售、建筑、石油石化、煤炭和房地产，主要以周期品为主，跌幅均在</w:t>
      </w:r>
      <w:r>
        <w:rPr>
          <w:color w:val="000000"/>
          <w:sz w:val="24"/>
          <w:szCs w:val="24"/>
        </w:rPr>
        <w:t>5%</w:t>
      </w:r>
      <w:r>
        <w:rPr>
          <w:color w:val="000000"/>
          <w:sz w:val="24"/>
          <w:szCs w:val="24"/>
        </w:rPr>
        <w:t>以上（其中钢铁行业跌幅最大，下跌</w:t>
      </w:r>
      <w:r>
        <w:rPr>
          <w:color w:val="000000"/>
          <w:sz w:val="24"/>
          <w:szCs w:val="24"/>
        </w:rPr>
        <w:t>10.51%</w:t>
      </w:r>
      <w:r>
        <w:rPr>
          <w:color w:val="000000"/>
          <w:sz w:val="24"/>
          <w:szCs w:val="24"/>
        </w:rPr>
        <w:t>）。</w:t>
      </w:r>
    </w:p>
    <w:p w:rsidR="00A460FC" w:rsidRDefault="00C62DCB">
      <w:pPr>
        <w:spacing w:line="360" w:lineRule="auto"/>
        <w:ind w:firstLineChars="200" w:firstLine="480"/>
        <w:rPr>
          <w:color w:val="000000"/>
          <w:sz w:val="24"/>
          <w:szCs w:val="24"/>
        </w:rPr>
      </w:pPr>
      <w:r>
        <w:rPr>
          <w:color w:val="000000"/>
          <w:sz w:val="24"/>
          <w:szCs w:val="24"/>
        </w:rPr>
        <w:t>报告期内，如我们在前期的定期报告中所言，虽然面临持续的中美贸易战、全球经济增速下滑、国内经济下行压力凸显、人民币升值等诸多内外不利因素，但</w:t>
      </w:r>
      <w:r>
        <w:rPr>
          <w:color w:val="000000"/>
          <w:sz w:val="24"/>
          <w:szCs w:val="24"/>
        </w:rPr>
        <w:t>A</w:t>
      </w:r>
      <w:r>
        <w:rPr>
          <w:color w:val="000000"/>
          <w:sz w:val="24"/>
          <w:szCs w:val="24"/>
        </w:rPr>
        <w:t>股市场已经开始对此</w:t>
      </w:r>
      <w:r>
        <w:rPr>
          <w:color w:val="000000"/>
          <w:sz w:val="24"/>
          <w:szCs w:val="24"/>
        </w:rPr>
        <w:t>“</w:t>
      </w:r>
      <w:r>
        <w:rPr>
          <w:color w:val="000000"/>
          <w:sz w:val="24"/>
          <w:szCs w:val="24"/>
        </w:rPr>
        <w:t>脱敏</w:t>
      </w:r>
      <w:r>
        <w:rPr>
          <w:color w:val="000000"/>
          <w:sz w:val="24"/>
          <w:szCs w:val="24"/>
        </w:rPr>
        <w:t>”</w:t>
      </w:r>
      <w:r>
        <w:rPr>
          <w:color w:val="000000"/>
          <w:sz w:val="24"/>
          <w:szCs w:val="24"/>
        </w:rPr>
        <w:t>，并走出了独立的结构性行情，那就是以科技（</w:t>
      </w:r>
      <w:r>
        <w:rPr>
          <w:color w:val="000000"/>
          <w:sz w:val="24"/>
          <w:szCs w:val="24"/>
        </w:rPr>
        <w:t>5G</w:t>
      </w:r>
      <w:r>
        <w:rPr>
          <w:color w:val="000000"/>
          <w:sz w:val="24"/>
          <w:szCs w:val="24"/>
        </w:rPr>
        <w:t>、半导体、集成电路等）为代表的新兴产业的崛起。</w:t>
      </w:r>
    </w:p>
    <w:p w:rsidR="00A460FC" w:rsidRDefault="00C62DCB">
      <w:pPr>
        <w:spacing w:line="360" w:lineRule="auto"/>
        <w:ind w:firstLineChars="200" w:firstLine="480"/>
        <w:rPr>
          <w:color w:val="000000"/>
          <w:sz w:val="24"/>
          <w:szCs w:val="24"/>
        </w:rPr>
      </w:pPr>
      <w:r>
        <w:rPr>
          <w:color w:val="000000"/>
          <w:sz w:val="24"/>
          <w:szCs w:val="24"/>
        </w:rPr>
        <w:t>中长期维度上，我们仍然认为短期内中国经济不存在</w:t>
      </w:r>
      <w:r>
        <w:rPr>
          <w:color w:val="000000"/>
          <w:sz w:val="24"/>
          <w:szCs w:val="24"/>
        </w:rPr>
        <w:t>“</w:t>
      </w:r>
      <w:r>
        <w:rPr>
          <w:color w:val="000000"/>
          <w:sz w:val="24"/>
          <w:szCs w:val="24"/>
        </w:rPr>
        <w:t>失速</w:t>
      </w:r>
      <w:r>
        <w:rPr>
          <w:color w:val="000000"/>
          <w:sz w:val="24"/>
          <w:szCs w:val="24"/>
        </w:rPr>
        <w:t>”</w:t>
      </w:r>
      <w:r>
        <w:rPr>
          <w:color w:val="000000"/>
          <w:sz w:val="24"/>
          <w:szCs w:val="24"/>
        </w:rPr>
        <w:t>的风险，中美贸易战的持续、不确定性以及中美冲突的长期性，在之前的市场数次大跌后也已经在</w:t>
      </w:r>
      <w:r>
        <w:rPr>
          <w:color w:val="000000"/>
          <w:sz w:val="24"/>
          <w:szCs w:val="24"/>
        </w:rPr>
        <w:t>A</w:t>
      </w:r>
      <w:r>
        <w:rPr>
          <w:color w:val="000000"/>
          <w:sz w:val="24"/>
          <w:szCs w:val="24"/>
        </w:rPr>
        <w:t>股定价中有所反应，没有必要对市场过于悲观。</w:t>
      </w:r>
    </w:p>
    <w:p w:rsidR="00A460FC" w:rsidRDefault="00C62DCB">
      <w:pPr>
        <w:spacing w:line="360" w:lineRule="auto"/>
        <w:ind w:firstLineChars="200" w:firstLine="480"/>
        <w:rPr>
          <w:color w:val="000000"/>
          <w:sz w:val="24"/>
          <w:szCs w:val="24"/>
        </w:rPr>
      </w:pPr>
      <w:r>
        <w:rPr>
          <w:color w:val="000000"/>
          <w:sz w:val="24"/>
          <w:szCs w:val="24"/>
        </w:rPr>
        <w:t>因此，操作上我们保持了对符合国内经济结构调整和转型方向的重点行业和</w:t>
      </w:r>
      <w:r>
        <w:rPr>
          <w:color w:val="000000"/>
          <w:sz w:val="24"/>
          <w:szCs w:val="24"/>
        </w:rPr>
        <w:t>子板块的配置，如大消费（食品饮料、家电、医药等）、电子、新能源（光伏及锂电）等；同时，增加了半导体、集成电路、芯片等国家大力发展的新兴行业和科技股的配置。仓位上，未有大的调整，以优化结构为主。</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总体来说，三季度的投资运作基本延续了年初以来的观点和思路，保持了投资的连续性和一致性。</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0.418</w:t>
      </w:r>
      <w:r w:rsidRPr="006C56AA">
        <w:rPr>
          <w:color w:val="000000"/>
          <w:sz w:val="24"/>
          <w:szCs w:val="24"/>
        </w:rPr>
        <w:t>元，本报告期份额净值增长率为</w:t>
      </w:r>
      <w:r w:rsidRPr="006C56AA">
        <w:rPr>
          <w:color w:val="000000"/>
          <w:sz w:val="24"/>
          <w:szCs w:val="24"/>
        </w:rPr>
        <w:t>8.01%</w:t>
      </w:r>
      <w:r w:rsidRPr="006C56AA">
        <w:rPr>
          <w:color w:val="000000"/>
          <w:sz w:val="24"/>
          <w:szCs w:val="24"/>
        </w:rPr>
        <w:t>，同期业绩比较基准收益率为</w:t>
      </w:r>
      <w:r w:rsidRPr="006C56AA">
        <w:rPr>
          <w:color w:val="000000"/>
          <w:sz w:val="24"/>
          <w:szCs w:val="24"/>
        </w:rPr>
        <w:t>0.03%</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2,356,391,586.83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89.06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2,356,391,586.83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89.06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116,588,682.46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4.41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116,588,682.46</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4.41</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170,269,587.97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6.44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2,740,347.65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0.10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2,645,990,204.91</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1,647,188,608.75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62.46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33,674,240.40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45,203,428.25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85,307,080.00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3.23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105,640,690.99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4.01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286,940,282.75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10.88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25,900,000.00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0.98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5,154,989.69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0.20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43,348,266.00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78,034,000.00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2,356,391,586.83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89.35</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460FC">
        <w:tc>
          <w:tcPr>
            <w:tcW w:w="851" w:type="dxa"/>
            <w:vAlign w:val="center"/>
          </w:tcPr>
          <w:p w:rsidR="00A460FC" w:rsidRDefault="00C62DCB">
            <w:pPr>
              <w:jc w:val="center"/>
            </w:pPr>
            <w:r>
              <w:rPr>
                <w:color w:val="000000"/>
                <w:kern w:val="0"/>
                <w:sz w:val="24"/>
                <w:szCs w:val="24"/>
              </w:rPr>
              <w:t>1</w:t>
            </w:r>
          </w:p>
        </w:tc>
        <w:tc>
          <w:tcPr>
            <w:tcW w:w="1276" w:type="dxa"/>
            <w:vAlign w:val="center"/>
          </w:tcPr>
          <w:p w:rsidR="00A460FC" w:rsidRDefault="00C62DCB">
            <w:pPr>
              <w:jc w:val="center"/>
            </w:pPr>
            <w:r>
              <w:rPr>
                <w:color w:val="000000"/>
                <w:kern w:val="0"/>
                <w:sz w:val="24"/>
                <w:szCs w:val="24"/>
              </w:rPr>
              <w:t>600519</w:t>
            </w:r>
          </w:p>
        </w:tc>
        <w:tc>
          <w:tcPr>
            <w:tcW w:w="1418" w:type="dxa"/>
            <w:vAlign w:val="center"/>
          </w:tcPr>
          <w:p w:rsidR="00A460FC" w:rsidRDefault="00C62DCB">
            <w:pPr>
              <w:jc w:val="center"/>
            </w:pPr>
            <w:r>
              <w:rPr>
                <w:color w:val="000000"/>
                <w:kern w:val="0"/>
                <w:sz w:val="24"/>
                <w:szCs w:val="24"/>
              </w:rPr>
              <w:t>贵州茅台</w:t>
            </w:r>
          </w:p>
        </w:tc>
        <w:tc>
          <w:tcPr>
            <w:tcW w:w="1701" w:type="dxa"/>
            <w:vAlign w:val="center"/>
          </w:tcPr>
          <w:p w:rsidR="00A460FC" w:rsidRDefault="00C62DCB">
            <w:pPr>
              <w:jc w:val="right"/>
            </w:pPr>
            <w:r>
              <w:rPr>
                <w:color w:val="000000"/>
                <w:kern w:val="0"/>
                <w:sz w:val="24"/>
                <w:szCs w:val="24"/>
              </w:rPr>
              <w:t>210,152</w:t>
            </w:r>
          </w:p>
        </w:tc>
        <w:tc>
          <w:tcPr>
            <w:tcW w:w="1984" w:type="dxa"/>
            <w:vAlign w:val="center"/>
          </w:tcPr>
          <w:p w:rsidR="00A460FC" w:rsidRDefault="00C62DCB">
            <w:pPr>
              <w:jc w:val="right"/>
            </w:pPr>
            <w:r>
              <w:rPr>
                <w:color w:val="000000"/>
                <w:kern w:val="0"/>
                <w:sz w:val="24"/>
                <w:szCs w:val="24"/>
              </w:rPr>
              <w:t>241,674,800.00</w:t>
            </w:r>
          </w:p>
        </w:tc>
        <w:tc>
          <w:tcPr>
            <w:tcW w:w="1559" w:type="dxa"/>
            <w:vAlign w:val="center"/>
          </w:tcPr>
          <w:p w:rsidR="00A460FC" w:rsidRDefault="00C62DCB">
            <w:pPr>
              <w:jc w:val="right"/>
            </w:pPr>
            <w:r>
              <w:rPr>
                <w:color w:val="000000"/>
                <w:kern w:val="0"/>
                <w:sz w:val="24"/>
                <w:szCs w:val="24"/>
              </w:rPr>
              <w:t>9.16</w:t>
            </w:r>
          </w:p>
        </w:tc>
      </w:tr>
      <w:tr w:rsidR="00A460FC">
        <w:tc>
          <w:tcPr>
            <w:tcW w:w="851" w:type="dxa"/>
            <w:vAlign w:val="center"/>
          </w:tcPr>
          <w:p w:rsidR="00A460FC" w:rsidRDefault="00C62DCB">
            <w:pPr>
              <w:jc w:val="center"/>
            </w:pPr>
            <w:r>
              <w:rPr>
                <w:color w:val="000000"/>
                <w:kern w:val="0"/>
                <w:sz w:val="24"/>
                <w:szCs w:val="24"/>
              </w:rPr>
              <w:t>2</w:t>
            </w:r>
          </w:p>
        </w:tc>
        <w:tc>
          <w:tcPr>
            <w:tcW w:w="1276" w:type="dxa"/>
            <w:vAlign w:val="center"/>
          </w:tcPr>
          <w:p w:rsidR="00A460FC" w:rsidRDefault="00C62DCB">
            <w:pPr>
              <w:jc w:val="center"/>
            </w:pPr>
            <w:r>
              <w:rPr>
                <w:color w:val="000000"/>
                <w:kern w:val="0"/>
                <w:sz w:val="24"/>
                <w:szCs w:val="24"/>
              </w:rPr>
              <w:t>000651</w:t>
            </w:r>
          </w:p>
        </w:tc>
        <w:tc>
          <w:tcPr>
            <w:tcW w:w="1418" w:type="dxa"/>
            <w:vAlign w:val="center"/>
          </w:tcPr>
          <w:p w:rsidR="00A460FC" w:rsidRDefault="00C62DCB">
            <w:pPr>
              <w:jc w:val="center"/>
            </w:pPr>
            <w:r>
              <w:rPr>
                <w:color w:val="000000"/>
                <w:kern w:val="0"/>
                <w:sz w:val="24"/>
                <w:szCs w:val="24"/>
              </w:rPr>
              <w:t>格力电器</w:t>
            </w:r>
          </w:p>
        </w:tc>
        <w:tc>
          <w:tcPr>
            <w:tcW w:w="1701" w:type="dxa"/>
            <w:vAlign w:val="center"/>
          </w:tcPr>
          <w:p w:rsidR="00A460FC" w:rsidRDefault="00C62DCB">
            <w:pPr>
              <w:jc w:val="right"/>
            </w:pPr>
            <w:r>
              <w:rPr>
                <w:color w:val="000000"/>
                <w:kern w:val="0"/>
                <w:sz w:val="24"/>
                <w:szCs w:val="24"/>
              </w:rPr>
              <w:t>2,671,888</w:t>
            </w:r>
          </w:p>
        </w:tc>
        <w:tc>
          <w:tcPr>
            <w:tcW w:w="1984" w:type="dxa"/>
            <w:vAlign w:val="center"/>
          </w:tcPr>
          <w:p w:rsidR="00A460FC" w:rsidRDefault="00C62DCB">
            <w:pPr>
              <w:jc w:val="right"/>
            </w:pPr>
            <w:r>
              <w:rPr>
                <w:color w:val="000000"/>
                <w:kern w:val="0"/>
                <w:sz w:val="24"/>
                <w:szCs w:val="24"/>
              </w:rPr>
              <w:t>153,099,182.40</w:t>
            </w:r>
          </w:p>
        </w:tc>
        <w:tc>
          <w:tcPr>
            <w:tcW w:w="1559" w:type="dxa"/>
            <w:vAlign w:val="center"/>
          </w:tcPr>
          <w:p w:rsidR="00A460FC" w:rsidRDefault="00C62DCB">
            <w:pPr>
              <w:jc w:val="right"/>
            </w:pPr>
            <w:r>
              <w:rPr>
                <w:color w:val="000000"/>
                <w:kern w:val="0"/>
                <w:sz w:val="24"/>
                <w:szCs w:val="24"/>
              </w:rPr>
              <w:t>5.81</w:t>
            </w:r>
          </w:p>
        </w:tc>
      </w:tr>
      <w:tr w:rsidR="00A460FC">
        <w:tc>
          <w:tcPr>
            <w:tcW w:w="851" w:type="dxa"/>
            <w:vAlign w:val="center"/>
          </w:tcPr>
          <w:p w:rsidR="00A460FC" w:rsidRDefault="00C62DCB">
            <w:pPr>
              <w:jc w:val="center"/>
            </w:pPr>
            <w:r>
              <w:rPr>
                <w:color w:val="000000"/>
                <w:kern w:val="0"/>
                <w:sz w:val="24"/>
                <w:szCs w:val="24"/>
              </w:rPr>
              <w:t>3</w:t>
            </w:r>
          </w:p>
        </w:tc>
        <w:tc>
          <w:tcPr>
            <w:tcW w:w="1276" w:type="dxa"/>
            <w:vAlign w:val="center"/>
          </w:tcPr>
          <w:p w:rsidR="00A460FC" w:rsidRDefault="00C62DCB">
            <w:pPr>
              <w:jc w:val="center"/>
            </w:pPr>
            <w:r>
              <w:rPr>
                <w:color w:val="000000"/>
                <w:kern w:val="0"/>
                <w:sz w:val="24"/>
                <w:szCs w:val="24"/>
              </w:rPr>
              <w:t>601318</w:t>
            </w:r>
          </w:p>
        </w:tc>
        <w:tc>
          <w:tcPr>
            <w:tcW w:w="1418" w:type="dxa"/>
            <w:vAlign w:val="center"/>
          </w:tcPr>
          <w:p w:rsidR="00A460FC" w:rsidRDefault="00C62DCB">
            <w:pPr>
              <w:jc w:val="center"/>
            </w:pPr>
            <w:r>
              <w:rPr>
                <w:color w:val="000000"/>
                <w:kern w:val="0"/>
                <w:sz w:val="24"/>
                <w:szCs w:val="24"/>
              </w:rPr>
              <w:t>中国平安</w:t>
            </w:r>
          </w:p>
        </w:tc>
        <w:tc>
          <w:tcPr>
            <w:tcW w:w="1701" w:type="dxa"/>
            <w:vAlign w:val="center"/>
          </w:tcPr>
          <w:p w:rsidR="00A460FC" w:rsidRDefault="00C62DCB">
            <w:pPr>
              <w:jc w:val="right"/>
            </w:pPr>
            <w:r>
              <w:rPr>
                <w:color w:val="000000"/>
                <w:kern w:val="0"/>
                <w:sz w:val="24"/>
                <w:szCs w:val="24"/>
              </w:rPr>
              <w:t>1,547,400</w:t>
            </w:r>
          </w:p>
        </w:tc>
        <w:tc>
          <w:tcPr>
            <w:tcW w:w="1984" w:type="dxa"/>
            <w:vAlign w:val="center"/>
          </w:tcPr>
          <w:p w:rsidR="00A460FC" w:rsidRDefault="00C62DCB">
            <w:pPr>
              <w:jc w:val="right"/>
            </w:pPr>
            <w:r>
              <w:rPr>
                <w:color w:val="000000"/>
                <w:kern w:val="0"/>
                <w:sz w:val="24"/>
                <w:szCs w:val="24"/>
              </w:rPr>
              <w:t>134,685,696.00</w:t>
            </w:r>
          </w:p>
        </w:tc>
        <w:tc>
          <w:tcPr>
            <w:tcW w:w="1559" w:type="dxa"/>
            <w:vAlign w:val="center"/>
          </w:tcPr>
          <w:p w:rsidR="00A460FC" w:rsidRDefault="00C62DCB">
            <w:pPr>
              <w:jc w:val="right"/>
            </w:pPr>
            <w:r>
              <w:rPr>
                <w:color w:val="000000"/>
                <w:kern w:val="0"/>
                <w:sz w:val="24"/>
                <w:szCs w:val="24"/>
              </w:rPr>
              <w:t>5.11</w:t>
            </w:r>
          </w:p>
        </w:tc>
      </w:tr>
      <w:tr w:rsidR="00A460FC">
        <w:tc>
          <w:tcPr>
            <w:tcW w:w="851" w:type="dxa"/>
            <w:vAlign w:val="center"/>
          </w:tcPr>
          <w:p w:rsidR="00A460FC" w:rsidRDefault="00C62DCB">
            <w:pPr>
              <w:jc w:val="center"/>
            </w:pPr>
            <w:r>
              <w:rPr>
                <w:color w:val="000000"/>
                <w:kern w:val="0"/>
                <w:sz w:val="24"/>
                <w:szCs w:val="24"/>
              </w:rPr>
              <w:t>4</w:t>
            </w:r>
          </w:p>
        </w:tc>
        <w:tc>
          <w:tcPr>
            <w:tcW w:w="1276" w:type="dxa"/>
            <w:vAlign w:val="center"/>
          </w:tcPr>
          <w:p w:rsidR="00A460FC" w:rsidRDefault="00C62DCB">
            <w:pPr>
              <w:jc w:val="center"/>
            </w:pPr>
            <w:r>
              <w:rPr>
                <w:color w:val="000000"/>
                <w:kern w:val="0"/>
                <w:sz w:val="24"/>
                <w:szCs w:val="24"/>
              </w:rPr>
              <w:t>600036</w:t>
            </w:r>
          </w:p>
        </w:tc>
        <w:tc>
          <w:tcPr>
            <w:tcW w:w="1418" w:type="dxa"/>
            <w:vAlign w:val="center"/>
          </w:tcPr>
          <w:p w:rsidR="00A460FC" w:rsidRDefault="00C62DCB">
            <w:pPr>
              <w:jc w:val="center"/>
            </w:pPr>
            <w:r>
              <w:rPr>
                <w:color w:val="000000"/>
                <w:kern w:val="0"/>
                <w:sz w:val="24"/>
                <w:szCs w:val="24"/>
              </w:rPr>
              <w:t>招商银行</w:t>
            </w:r>
          </w:p>
        </w:tc>
        <w:tc>
          <w:tcPr>
            <w:tcW w:w="1701" w:type="dxa"/>
            <w:vAlign w:val="center"/>
          </w:tcPr>
          <w:p w:rsidR="00A460FC" w:rsidRDefault="00C62DCB">
            <w:pPr>
              <w:jc w:val="right"/>
            </w:pPr>
            <w:r>
              <w:rPr>
                <w:color w:val="000000"/>
                <w:kern w:val="0"/>
                <w:sz w:val="24"/>
                <w:szCs w:val="24"/>
              </w:rPr>
              <w:t>2,923,935</w:t>
            </w:r>
          </w:p>
        </w:tc>
        <w:tc>
          <w:tcPr>
            <w:tcW w:w="1984" w:type="dxa"/>
            <w:vAlign w:val="center"/>
          </w:tcPr>
          <w:p w:rsidR="00A460FC" w:rsidRDefault="00C62DCB">
            <w:pPr>
              <w:jc w:val="right"/>
            </w:pPr>
            <w:r>
              <w:rPr>
                <w:color w:val="000000"/>
                <w:kern w:val="0"/>
                <w:sz w:val="24"/>
                <w:szCs w:val="24"/>
              </w:rPr>
              <w:t>101,606,741.25</w:t>
            </w:r>
          </w:p>
        </w:tc>
        <w:tc>
          <w:tcPr>
            <w:tcW w:w="1559" w:type="dxa"/>
            <w:vAlign w:val="center"/>
          </w:tcPr>
          <w:p w:rsidR="00A460FC" w:rsidRDefault="00C62DCB">
            <w:pPr>
              <w:jc w:val="right"/>
            </w:pPr>
            <w:r>
              <w:rPr>
                <w:color w:val="000000"/>
                <w:kern w:val="0"/>
                <w:sz w:val="24"/>
                <w:szCs w:val="24"/>
              </w:rPr>
              <w:t>3.85</w:t>
            </w:r>
          </w:p>
        </w:tc>
      </w:tr>
      <w:tr w:rsidR="00A460FC">
        <w:tc>
          <w:tcPr>
            <w:tcW w:w="851" w:type="dxa"/>
            <w:vAlign w:val="center"/>
          </w:tcPr>
          <w:p w:rsidR="00A460FC" w:rsidRDefault="00C62DCB">
            <w:pPr>
              <w:jc w:val="center"/>
            </w:pPr>
            <w:r>
              <w:rPr>
                <w:color w:val="000000"/>
                <w:kern w:val="0"/>
                <w:sz w:val="24"/>
                <w:szCs w:val="24"/>
              </w:rPr>
              <w:t>5</w:t>
            </w:r>
          </w:p>
        </w:tc>
        <w:tc>
          <w:tcPr>
            <w:tcW w:w="1276" w:type="dxa"/>
            <w:vAlign w:val="center"/>
          </w:tcPr>
          <w:p w:rsidR="00A460FC" w:rsidRDefault="00C62DCB">
            <w:pPr>
              <w:jc w:val="center"/>
            </w:pPr>
            <w:r>
              <w:rPr>
                <w:color w:val="000000"/>
                <w:kern w:val="0"/>
                <w:sz w:val="24"/>
                <w:szCs w:val="24"/>
              </w:rPr>
              <w:t>601012</w:t>
            </w:r>
          </w:p>
        </w:tc>
        <w:tc>
          <w:tcPr>
            <w:tcW w:w="1418" w:type="dxa"/>
            <w:vAlign w:val="center"/>
          </w:tcPr>
          <w:p w:rsidR="00A460FC" w:rsidRDefault="00C62DCB">
            <w:pPr>
              <w:jc w:val="center"/>
            </w:pPr>
            <w:r>
              <w:rPr>
                <w:color w:val="000000"/>
                <w:kern w:val="0"/>
                <w:sz w:val="24"/>
                <w:szCs w:val="24"/>
              </w:rPr>
              <w:t>隆基股份</w:t>
            </w:r>
          </w:p>
        </w:tc>
        <w:tc>
          <w:tcPr>
            <w:tcW w:w="1701" w:type="dxa"/>
            <w:vAlign w:val="center"/>
          </w:tcPr>
          <w:p w:rsidR="00A460FC" w:rsidRDefault="00C62DCB">
            <w:pPr>
              <w:jc w:val="right"/>
            </w:pPr>
            <w:r>
              <w:rPr>
                <w:color w:val="000000"/>
                <w:kern w:val="0"/>
                <w:sz w:val="24"/>
                <w:szCs w:val="24"/>
              </w:rPr>
              <w:t>3,805,410</w:t>
            </w:r>
          </w:p>
        </w:tc>
        <w:tc>
          <w:tcPr>
            <w:tcW w:w="1984" w:type="dxa"/>
            <w:vAlign w:val="center"/>
          </w:tcPr>
          <w:p w:rsidR="00A460FC" w:rsidRDefault="00C62DCB">
            <w:pPr>
              <w:jc w:val="right"/>
            </w:pPr>
            <w:r>
              <w:rPr>
                <w:color w:val="000000"/>
                <w:kern w:val="0"/>
                <w:sz w:val="24"/>
                <w:szCs w:val="24"/>
              </w:rPr>
              <w:t>99,815,904.30</w:t>
            </w:r>
          </w:p>
        </w:tc>
        <w:tc>
          <w:tcPr>
            <w:tcW w:w="1559" w:type="dxa"/>
            <w:vAlign w:val="center"/>
          </w:tcPr>
          <w:p w:rsidR="00A460FC" w:rsidRDefault="00C62DCB">
            <w:pPr>
              <w:jc w:val="right"/>
            </w:pPr>
            <w:r>
              <w:rPr>
                <w:color w:val="000000"/>
                <w:kern w:val="0"/>
                <w:sz w:val="24"/>
                <w:szCs w:val="24"/>
              </w:rPr>
              <w:t>3.79</w:t>
            </w:r>
          </w:p>
        </w:tc>
      </w:tr>
      <w:tr w:rsidR="00A460FC">
        <w:tc>
          <w:tcPr>
            <w:tcW w:w="851" w:type="dxa"/>
            <w:vAlign w:val="center"/>
          </w:tcPr>
          <w:p w:rsidR="00A460FC" w:rsidRDefault="00C62DCB">
            <w:pPr>
              <w:jc w:val="center"/>
            </w:pPr>
            <w:r>
              <w:rPr>
                <w:color w:val="000000"/>
                <w:kern w:val="0"/>
                <w:sz w:val="24"/>
                <w:szCs w:val="24"/>
              </w:rPr>
              <w:t>6</w:t>
            </w:r>
          </w:p>
        </w:tc>
        <w:tc>
          <w:tcPr>
            <w:tcW w:w="1276" w:type="dxa"/>
            <w:vAlign w:val="center"/>
          </w:tcPr>
          <w:p w:rsidR="00A460FC" w:rsidRDefault="00C62DCB">
            <w:pPr>
              <w:jc w:val="center"/>
            </w:pPr>
            <w:r>
              <w:rPr>
                <w:color w:val="000000"/>
                <w:kern w:val="0"/>
                <w:sz w:val="24"/>
                <w:szCs w:val="24"/>
              </w:rPr>
              <w:t>000661</w:t>
            </w:r>
          </w:p>
        </w:tc>
        <w:tc>
          <w:tcPr>
            <w:tcW w:w="1418" w:type="dxa"/>
            <w:vAlign w:val="center"/>
          </w:tcPr>
          <w:p w:rsidR="00A460FC" w:rsidRDefault="00C62DCB">
            <w:pPr>
              <w:jc w:val="center"/>
            </w:pPr>
            <w:r>
              <w:rPr>
                <w:color w:val="000000"/>
                <w:kern w:val="0"/>
                <w:sz w:val="24"/>
                <w:szCs w:val="24"/>
              </w:rPr>
              <w:t>长春高新</w:t>
            </w:r>
          </w:p>
        </w:tc>
        <w:tc>
          <w:tcPr>
            <w:tcW w:w="1701" w:type="dxa"/>
            <w:vAlign w:val="center"/>
          </w:tcPr>
          <w:p w:rsidR="00A460FC" w:rsidRDefault="00C62DCB">
            <w:pPr>
              <w:jc w:val="right"/>
            </w:pPr>
            <w:r>
              <w:rPr>
                <w:color w:val="000000"/>
                <w:kern w:val="0"/>
                <w:sz w:val="24"/>
                <w:szCs w:val="24"/>
              </w:rPr>
              <w:t>208,700</w:t>
            </w:r>
          </w:p>
        </w:tc>
        <w:tc>
          <w:tcPr>
            <w:tcW w:w="1984" w:type="dxa"/>
            <w:vAlign w:val="center"/>
          </w:tcPr>
          <w:p w:rsidR="00A460FC" w:rsidRDefault="00C62DCB">
            <w:pPr>
              <w:jc w:val="right"/>
            </w:pPr>
            <w:r>
              <w:rPr>
                <w:color w:val="000000"/>
                <w:kern w:val="0"/>
                <w:sz w:val="24"/>
                <w:szCs w:val="24"/>
              </w:rPr>
              <w:t>82,302,932.00</w:t>
            </w:r>
          </w:p>
        </w:tc>
        <w:tc>
          <w:tcPr>
            <w:tcW w:w="1559" w:type="dxa"/>
            <w:vAlign w:val="center"/>
          </w:tcPr>
          <w:p w:rsidR="00A460FC" w:rsidRDefault="00C62DCB">
            <w:pPr>
              <w:jc w:val="right"/>
            </w:pPr>
            <w:r>
              <w:rPr>
                <w:color w:val="000000"/>
                <w:kern w:val="0"/>
                <w:sz w:val="24"/>
                <w:szCs w:val="24"/>
              </w:rPr>
              <w:t>3.12</w:t>
            </w:r>
          </w:p>
        </w:tc>
      </w:tr>
      <w:tr w:rsidR="00A460FC">
        <w:tc>
          <w:tcPr>
            <w:tcW w:w="851" w:type="dxa"/>
            <w:vAlign w:val="center"/>
          </w:tcPr>
          <w:p w:rsidR="00A460FC" w:rsidRDefault="00C62DCB">
            <w:pPr>
              <w:jc w:val="center"/>
            </w:pPr>
            <w:r>
              <w:rPr>
                <w:color w:val="000000"/>
                <w:kern w:val="0"/>
                <w:sz w:val="24"/>
                <w:szCs w:val="24"/>
              </w:rPr>
              <w:t>7</w:t>
            </w:r>
          </w:p>
        </w:tc>
        <w:tc>
          <w:tcPr>
            <w:tcW w:w="1276" w:type="dxa"/>
            <w:vAlign w:val="center"/>
          </w:tcPr>
          <w:p w:rsidR="00A460FC" w:rsidRDefault="00C62DCB">
            <w:pPr>
              <w:jc w:val="center"/>
            </w:pPr>
            <w:r>
              <w:rPr>
                <w:color w:val="000000"/>
                <w:kern w:val="0"/>
                <w:sz w:val="24"/>
                <w:szCs w:val="24"/>
              </w:rPr>
              <w:t>300015</w:t>
            </w:r>
          </w:p>
        </w:tc>
        <w:tc>
          <w:tcPr>
            <w:tcW w:w="1418" w:type="dxa"/>
            <w:vAlign w:val="center"/>
          </w:tcPr>
          <w:p w:rsidR="00A460FC" w:rsidRDefault="00C62DCB">
            <w:pPr>
              <w:jc w:val="center"/>
            </w:pPr>
            <w:r>
              <w:rPr>
                <w:color w:val="000000"/>
                <w:kern w:val="0"/>
                <w:sz w:val="24"/>
                <w:szCs w:val="24"/>
              </w:rPr>
              <w:t>爱尔眼科</w:t>
            </w:r>
          </w:p>
        </w:tc>
        <w:tc>
          <w:tcPr>
            <w:tcW w:w="1701" w:type="dxa"/>
            <w:vAlign w:val="center"/>
          </w:tcPr>
          <w:p w:rsidR="00A460FC" w:rsidRDefault="00C62DCB">
            <w:pPr>
              <w:jc w:val="right"/>
            </w:pPr>
            <w:r>
              <w:rPr>
                <w:color w:val="000000"/>
                <w:kern w:val="0"/>
                <w:sz w:val="24"/>
                <w:szCs w:val="24"/>
              </w:rPr>
              <w:t>2,200,000</w:t>
            </w:r>
          </w:p>
        </w:tc>
        <w:tc>
          <w:tcPr>
            <w:tcW w:w="1984" w:type="dxa"/>
            <w:vAlign w:val="center"/>
          </w:tcPr>
          <w:p w:rsidR="00A460FC" w:rsidRDefault="00C62DCB">
            <w:pPr>
              <w:jc w:val="right"/>
            </w:pPr>
            <w:r>
              <w:rPr>
                <w:color w:val="000000"/>
                <w:kern w:val="0"/>
                <w:sz w:val="24"/>
                <w:szCs w:val="24"/>
              </w:rPr>
              <w:t>78,034,000.00</w:t>
            </w:r>
          </w:p>
        </w:tc>
        <w:tc>
          <w:tcPr>
            <w:tcW w:w="1559" w:type="dxa"/>
            <w:vAlign w:val="center"/>
          </w:tcPr>
          <w:p w:rsidR="00A460FC" w:rsidRDefault="00C62DCB">
            <w:pPr>
              <w:jc w:val="right"/>
            </w:pPr>
            <w:r>
              <w:rPr>
                <w:color w:val="000000"/>
                <w:kern w:val="0"/>
                <w:sz w:val="24"/>
                <w:szCs w:val="24"/>
              </w:rPr>
              <w:t>2.96</w:t>
            </w:r>
          </w:p>
        </w:tc>
      </w:tr>
      <w:tr w:rsidR="00A460FC">
        <w:tc>
          <w:tcPr>
            <w:tcW w:w="851" w:type="dxa"/>
            <w:vAlign w:val="center"/>
          </w:tcPr>
          <w:p w:rsidR="00A460FC" w:rsidRDefault="00C62DCB">
            <w:pPr>
              <w:jc w:val="center"/>
            </w:pPr>
            <w:r>
              <w:rPr>
                <w:color w:val="000000"/>
                <w:kern w:val="0"/>
                <w:sz w:val="24"/>
                <w:szCs w:val="24"/>
              </w:rPr>
              <w:t>8</w:t>
            </w:r>
          </w:p>
        </w:tc>
        <w:tc>
          <w:tcPr>
            <w:tcW w:w="1276" w:type="dxa"/>
            <w:vAlign w:val="center"/>
          </w:tcPr>
          <w:p w:rsidR="00A460FC" w:rsidRDefault="00C62DCB">
            <w:pPr>
              <w:jc w:val="center"/>
            </w:pPr>
            <w:r>
              <w:rPr>
                <w:color w:val="000000"/>
                <w:kern w:val="0"/>
                <w:sz w:val="24"/>
                <w:szCs w:val="24"/>
              </w:rPr>
              <w:t>600690</w:t>
            </w:r>
          </w:p>
        </w:tc>
        <w:tc>
          <w:tcPr>
            <w:tcW w:w="1418" w:type="dxa"/>
            <w:vAlign w:val="center"/>
          </w:tcPr>
          <w:p w:rsidR="00A460FC" w:rsidRDefault="00C62DCB">
            <w:pPr>
              <w:jc w:val="center"/>
            </w:pPr>
            <w:r>
              <w:rPr>
                <w:color w:val="000000"/>
                <w:kern w:val="0"/>
                <w:sz w:val="24"/>
                <w:szCs w:val="24"/>
              </w:rPr>
              <w:t>海尔智家</w:t>
            </w:r>
          </w:p>
        </w:tc>
        <w:tc>
          <w:tcPr>
            <w:tcW w:w="1701" w:type="dxa"/>
            <w:vAlign w:val="center"/>
          </w:tcPr>
          <w:p w:rsidR="00A460FC" w:rsidRDefault="00C62DCB">
            <w:pPr>
              <w:jc w:val="right"/>
            </w:pPr>
            <w:r>
              <w:rPr>
                <w:color w:val="000000"/>
                <w:kern w:val="0"/>
                <w:sz w:val="24"/>
                <w:szCs w:val="24"/>
              </w:rPr>
              <w:t>4,003,900</w:t>
            </w:r>
          </w:p>
        </w:tc>
        <w:tc>
          <w:tcPr>
            <w:tcW w:w="1984" w:type="dxa"/>
            <w:vAlign w:val="center"/>
          </w:tcPr>
          <w:p w:rsidR="00A460FC" w:rsidRDefault="00C62DCB">
            <w:pPr>
              <w:jc w:val="right"/>
            </w:pPr>
            <w:r>
              <w:rPr>
                <w:color w:val="000000"/>
                <w:kern w:val="0"/>
                <w:sz w:val="24"/>
                <w:szCs w:val="24"/>
              </w:rPr>
              <w:t>61,259,670.00</w:t>
            </w:r>
          </w:p>
        </w:tc>
        <w:tc>
          <w:tcPr>
            <w:tcW w:w="1559" w:type="dxa"/>
            <w:vAlign w:val="center"/>
          </w:tcPr>
          <w:p w:rsidR="00A460FC" w:rsidRDefault="00C62DCB">
            <w:pPr>
              <w:jc w:val="right"/>
            </w:pPr>
            <w:r>
              <w:rPr>
                <w:color w:val="000000"/>
                <w:kern w:val="0"/>
                <w:sz w:val="24"/>
                <w:szCs w:val="24"/>
              </w:rPr>
              <w:t>2.32</w:t>
            </w:r>
          </w:p>
        </w:tc>
      </w:tr>
      <w:tr w:rsidR="00A460FC">
        <w:tc>
          <w:tcPr>
            <w:tcW w:w="851" w:type="dxa"/>
            <w:vAlign w:val="center"/>
          </w:tcPr>
          <w:p w:rsidR="00A460FC" w:rsidRDefault="00C62DCB">
            <w:pPr>
              <w:jc w:val="center"/>
            </w:pPr>
            <w:r>
              <w:rPr>
                <w:color w:val="000000"/>
                <w:kern w:val="0"/>
                <w:sz w:val="24"/>
                <w:szCs w:val="24"/>
              </w:rPr>
              <w:t>9</w:t>
            </w:r>
          </w:p>
        </w:tc>
        <w:tc>
          <w:tcPr>
            <w:tcW w:w="1276" w:type="dxa"/>
            <w:vAlign w:val="center"/>
          </w:tcPr>
          <w:p w:rsidR="00A460FC" w:rsidRDefault="00C62DCB">
            <w:pPr>
              <w:jc w:val="center"/>
            </w:pPr>
            <w:r>
              <w:rPr>
                <w:color w:val="000000"/>
                <w:kern w:val="0"/>
                <w:sz w:val="24"/>
                <w:szCs w:val="24"/>
              </w:rPr>
              <w:t>600276</w:t>
            </w:r>
          </w:p>
        </w:tc>
        <w:tc>
          <w:tcPr>
            <w:tcW w:w="1418" w:type="dxa"/>
            <w:vAlign w:val="center"/>
          </w:tcPr>
          <w:p w:rsidR="00A460FC" w:rsidRDefault="00C62DCB">
            <w:pPr>
              <w:jc w:val="center"/>
            </w:pPr>
            <w:r>
              <w:rPr>
                <w:color w:val="000000"/>
                <w:kern w:val="0"/>
                <w:sz w:val="24"/>
                <w:szCs w:val="24"/>
              </w:rPr>
              <w:t>恒瑞医药</w:t>
            </w:r>
          </w:p>
        </w:tc>
        <w:tc>
          <w:tcPr>
            <w:tcW w:w="1701" w:type="dxa"/>
            <w:vAlign w:val="center"/>
          </w:tcPr>
          <w:p w:rsidR="00A460FC" w:rsidRDefault="00C62DCB">
            <w:pPr>
              <w:jc w:val="right"/>
            </w:pPr>
            <w:r>
              <w:rPr>
                <w:color w:val="000000"/>
                <w:kern w:val="0"/>
                <w:sz w:val="24"/>
                <w:szCs w:val="24"/>
              </w:rPr>
              <w:t>702,644</w:t>
            </w:r>
          </w:p>
        </w:tc>
        <w:tc>
          <w:tcPr>
            <w:tcW w:w="1984" w:type="dxa"/>
            <w:vAlign w:val="center"/>
          </w:tcPr>
          <w:p w:rsidR="00A460FC" w:rsidRDefault="00C62DCB">
            <w:pPr>
              <w:jc w:val="right"/>
            </w:pPr>
            <w:r>
              <w:rPr>
                <w:color w:val="000000"/>
                <w:kern w:val="0"/>
                <w:sz w:val="24"/>
                <w:szCs w:val="24"/>
              </w:rPr>
              <w:t>56,689,317.92</w:t>
            </w:r>
          </w:p>
        </w:tc>
        <w:tc>
          <w:tcPr>
            <w:tcW w:w="1559" w:type="dxa"/>
            <w:vAlign w:val="center"/>
          </w:tcPr>
          <w:p w:rsidR="00A460FC" w:rsidRDefault="00C62DCB">
            <w:pPr>
              <w:jc w:val="right"/>
            </w:pPr>
            <w:r>
              <w:rPr>
                <w:color w:val="000000"/>
                <w:kern w:val="0"/>
                <w:sz w:val="24"/>
                <w:szCs w:val="24"/>
              </w:rPr>
              <w:t>2.15</w:t>
            </w:r>
          </w:p>
        </w:tc>
      </w:tr>
      <w:tr w:rsidR="00A460FC">
        <w:tc>
          <w:tcPr>
            <w:tcW w:w="851" w:type="dxa"/>
            <w:vAlign w:val="center"/>
          </w:tcPr>
          <w:p w:rsidR="00A460FC" w:rsidRDefault="00C62DCB">
            <w:pPr>
              <w:jc w:val="center"/>
            </w:pPr>
            <w:r>
              <w:rPr>
                <w:color w:val="000000"/>
                <w:kern w:val="0"/>
                <w:sz w:val="24"/>
                <w:szCs w:val="24"/>
              </w:rPr>
              <w:t>10</w:t>
            </w:r>
          </w:p>
        </w:tc>
        <w:tc>
          <w:tcPr>
            <w:tcW w:w="1276" w:type="dxa"/>
            <w:vAlign w:val="center"/>
          </w:tcPr>
          <w:p w:rsidR="00A460FC" w:rsidRDefault="00C62DCB">
            <w:pPr>
              <w:jc w:val="center"/>
            </w:pPr>
            <w:r>
              <w:rPr>
                <w:color w:val="000000"/>
                <w:kern w:val="0"/>
                <w:sz w:val="24"/>
                <w:szCs w:val="24"/>
              </w:rPr>
              <w:t>002007</w:t>
            </w:r>
          </w:p>
        </w:tc>
        <w:tc>
          <w:tcPr>
            <w:tcW w:w="1418" w:type="dxa"/>
            <w:vAlign w:val="center"/>
          </w:tcPr>
          <w:p w:rsidR="00A460FC" w:rsidRDefault="00C62DCB">
            <w:pPr>
              <w:jc w:val="center"/>
            </w:pPr>
            <w:r>
              <w:rPr>
                <w:color w:val="000000"/>
                <w:kern w:val="0"/>
                <w:sz w:val="24"/>
                <w:szCs w:val="24"/>
              </w:rPr>
              <w:t>华兰生物</w:t>
            </w:r>
          </w:p>
        </w:tc>
        <w:tc>
          <w:tcPr>
            <w:tcW w:w="1701" w:type="dxa"/>
            <w:vAlign w:val="center"/>
          </w:tcPr>
          <w:p w:rsidR="00A460FC" w:rsidRDefault="00C62DCB">
            <w:pPr>
              <w:jc w:val="right"/>
            </w:pPr>
            <w:r>
              <w:rPr>
                <w:color w:val="000000"/>
                <w:kern w:val="0"/>
                <w:sz w:val="24"/>
                <w:szCs w:val="24"/>
              </w:rPr>
              <w:t>1,650,000</w:t>
            </w:r>
          </w:p>
        </w:tc>
        <w:tc>
          <w:tcPr>
            <w:tcW w:w="1984" w:type="dxa"/>
            <w:vAlign w:val="center"/>
          </w:tcPr>
          <w:p w:rsidR="00A460FC" w:rsidRDefault="00C62DCB">
            <w:pPr>
              <w:jc w:val="right"/>
            </w:pPr>
            <w:r>
              <w:rPr>
                <w:color w:val="000000"/>
                <w:kern w:val="0"/>
                <w:sz w:val="24"/>
                <w:szCs w:val="24"/>
              </w:rPr>
              <w:t>56,595,000.00</w:t>
            </w:r>
          </w:p>
        </w:tc>
        <w:tc>
          <w:tcPr>
            <w:tcW w:w="1559" w:type="dxa"/>
            <w:vAlign w:val="center"/>
          </w:tcPr>
          <w:p w:rsidR="00A460FC" w:rsidRDefault="00C62DCB">
            <w:pPr>
              <w:jc w:val="right"/>
            </w:pPr>
            <w:r>
              <w:rPr>
                <w:color w:val="000000"/>
                <w:kern w:val="0"/>
                <w:sz w:val="24"/>
                <w:szCs w:val="24"/>
              </w:rPr>
              <w:t>2.15</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110,198,000.00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4.18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110,198,000.00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4.18</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6,390,682.46</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0.24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116,588,682.46</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4.42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A460FC">
        <w:tc>
          <w:tcPr>
            <w:tcW w:w="959" w:type="dxa"/>
            <w:vAlign w:val="center"/>
          </w:tcPr>
          <w:p w:rsidR="00A460FC" w:rsidRDefault="00C62DCB">
            <w:pPr>
              <w:jc w:val="center"/>
            </w:pPr>
            <w:r>
              <w:rPr>
                <w:color w:val="000000"/>
                <w:kern w:val="0"/>
                <w:sz w:val="24"/>
                <w:szCs w:val="24"/>
              </w:rPr>
              <w:t>1</w:t>
            </w:r>
          </w:p>
        </w:tc>
        <w:tc>
          <w:tcPr>
            <w:tcW w:w="1276" w:type="dxa"/>
            <w:vAlign w:val="center"/>
          </w:tcPr>
          <w:p w:rsidR="00A460FC" w:rsidRDefault="00C62DCB">
            <w:pPr>
              <w:jc w:val="center"/>
            </w:pPr>
            <w:r>
              <w:rPr>
                <w:color w:val="000000"/>
                <w:kern w:val="0"/>
                <w:sz w:val="24"/>
                <w:szCs w:val="24"/>
              </w:rPr>
              <w:t>190304</w:t>
            </w:r>
          </w:p>
        </w:tc>
        <w:tc>
          <w:tcPr>
            <w:tcW w:w="1275" w:type="dxa"/>
            <w:vAlign w:val="center"/>
          </w:tcPr>
          <w:p w:rsidR="00A460FC" w:rsidRDefault="00C62DCB">
            <w:pPr>
              <w:jc w:val="center"/>
            </w:pPr>
            <w:r>
              <w:rPr>
                <w:color w:val="000000"/>
                <w:kern w:val="0"/>
                <w:sz w:val="24"/>
                <w:szCs w:val="24"/>
              </w:rPr>
              <w:t>19</w:t>
            </w:r>
            <w:r>
              <w:rPr>
                <w:color w:val="000000"/>
                <w:kern w:val="0"/>
                <w:sz w:val="24"/>
                <w:szCs w:val="24"/>
              </w:rPr>
              <w:t>进出</w:t>
            </w:r>
            <w:r>
              <w:rPr>
                <w:color w:val="000000"/>
                <w:kern w:val="0"/>
                <w:sz w:val="24"/>
                <w:szCs w:val="24"/>
              </w:rPr>
              <w:t>04</w:t>
            </w:r>
          </w:p>
        </w:tc>
        <w:tc>
          <w:tcPr>
            <w:tcW w:w="1560" w:type="dxa"/>
            <w:vAlign w:val="center"/>
          </w:tcPr>
          <w:p w:rsidR="00A460FC" w:rsidRDefault="00C62DCB">
            <w:pPr>
              <w:jc w:val="right"/>
            </w:pPr>
            <w:r>
              <w:rPr>
                <w:color w:val="000000"/>
                <w:kern w:val="0"/>
                <w:sz w:val="24"/>
                <w:szCs w:val="24"/>
              </w:rPr>
              <w:t>800,000</w:t>
            </w:r>
          </w:p>
        </w:tc>
        <w:tc>
          <w:tcPr>
            <w:tcW w:w="1984" w:type="dxa"/>
            <w:vAlign w:val="center"/>
          </w:tcPr>
          <w:p w:rsidR="00A460FC" w:rsidRDefault="00C62DCB">
            <w:pPr>
              <w:jc w:val="right"/>
            </w:pPr>
            <w:r>
              <w:rPr>
                <w:color w:val="000000"/>
                <w:kern w:val="0"/>
                <w:sz w:val="24"/>
                <w:szCs w:val="24"/>
              </w:rPr>
              <w:t>79,984,000.00</w:t>
            </w:r>
          </w:p>
        </w:tc>
        <w:tc>
          <w:tcPr>
            <w:tcW w:w="1474" w:type="dxa"/>
            <w:vAlign w:val="center"/>
          </w:tcPr>
          <w:p w:rsidR="00A460FC" w:rsidRDefault="00C62DCB">
            <w:pPr>
              <w:jc w:val="right"/>
            </w:pPr>
            <w:r>
              <w:rPr>
                <w:color w:val="000000"/>
                <w:kern w:val="0"/>
                <w:sz w:val="24"/>
                <w:szCs w:val="24"/>
              </w:rPr>
              <w:t>3.03</w:t>
            </w:r>
          </w:p>
        </w:tc>
      </w:tr>
      <w:tr w:rsidR="00A460FC">
        <w:tc>
          <w:tcPr>
            <w:tcW w:w="959" w:type="dxa"/>
            <w:vAlign w:val="center"/>
          </w:tcPr>
          <w:p w:rsidR="00A460FC" w:rsidRDefault="00C62DCB">
            <w:pPr>
              <w:jc w:val="center"/>
            </w:pPr>
            <w:r>
              <w:rPr>
                <w:color w:val="000000"/>
                <w:kern w:val="0"/>
                <w:sz w:val="24"/>
                <w:szCs w:val="24"/>
              </w:rPr>
              <w:t>2</w:t>
            </w:r>
          </w:p>
        </w:tc>
        <w:tc>
          <w:tcPr>
            <w:tcW w:w="1276" w:type="dxa"/>
            <w:vAlign w:val="center"/>
          </w:tcPr>
          <w:p w:rsidR="00A460FC" w:rsidRDefault="00C62DCB">
            <w:pPr>
              <w:jc w:val="center"/>
            </w:pPr>
            <w:r>
              <w:rPr>
                <w:color w:val="000000"/>
                <w:kern w:val="0"/>
                <w:sz w:val="24"/>
                <w:szCs w:val="24"/>
              </w:rPr>
              <w:t>150415</w:t>
            </w:r>
          </w:p>
        </w:tc>
        <w:tc>
          <w:tcPr>
            <w:tcW w:w="1275" w:type="dxa"/>
            <w:vAlign w:val="center"/>
          </w:tcPr>
          <w:p w:rsidR="00A460FC" w:rsidRDefault="00C62DCB">
            <w:pPr>
              <w:jc w:val="center"/>
            </w:pPr>
            <w:r>
              <w:rPr>
                <w:color w:val="000000"/>
                <w:kern w:val="0"/>
                <w:sz w:val="24"/>
                <w:szCs w:val="24"/>
              </w:rPr>
              <w:t>15</w:t>
            </w:r>
            <w:r>
              <w:rPr>
                <w:color w:val="000000"/>
                <w:kern w:val="0"/>
                <w:sz w:val="24"/>
                <w:szCs w:val="24"/>
              </w:rPr>
              <w:t>农发</w:t>
            </w:r>
            <w:r>
              <w:rPr>
                <w:color w:val="000000"/>
                <w:kern w:val="0"/>
                <w:sz w:val="24"/>
                <w:szCs w:val="24"/>
              </w:rPr>
              <w:t>15</w:t>
            </w:r>
          </w:p>
        </w:tc>
        <w:tc>
          <w:tcPr>
            <w:tcW w:w="1560" w:type="dxa"/>
            <w:vAlign w:val="center"/>
          </w:tcPr>
          <w:p w:rsidR="00A460FC" w:rsidRDefault="00C62DCB">
            <w:pPr>
              <w:jc w:val="right"/>
            </w:pPr>
            <w:r>
              <w:rPr>
                <w:color w:val="000000"/>
                <w:kern w:val="0"/>
                <w:sz w:val="24"/>
                <w:szCs w:val="24"/>
              </w:rPr>
              <w:t>200,000</w:t>
            </w:r>
          </w:p>
        </w:tc>
        <w:tc>
          <w:tcPr>
            <w:tcW w:w="1984" w:type="dxa"/>
            <w:vAlign w:val="center"/>
          </w:tcPr>
          <w:p w:rsidR="00A460FC" w:rsidRDefault="00C62DCB">
            <w:pPr>
              <w:jc w:val="right"/>
            </w:pPr>
            <w:r>
              <w:rPr>
                <w:color w:val="000000"/>
                <w:kern w:val="0"/>
                <w:sz w:val="24"/>
                <w:szCs w:val="24"/>
              </w:rPr>
              <w:t>20,122,000.00</w:t>
            </w:r>
          </w:p>
        </w:tc>
        <w:tc>
          <w:tcPr>
            <w:tcW w:w="1474" w:type="dxa"/>
            <w:vAlign w:val="center"/>
          </w:tcPr>
          <w:p w:rsidR="00A460FC" w:rsidRDefault="00C62DCB">
            <w:pPr>
              <w:jc w:val="right"/>
            </w:pPr>
            <w:r>
              <w:rPr>
                <w:color w:val="000000"/>
                <w:kern w:val="0"/>
                <w:sz w:val="24"/>
                <w:szCs w:val="24"/>
              </w:rPr>
              <w:t>0.76</w:t>
            </w:r>
          </w:p>
        </w:tc>
      </w:tr>
      <w:tr w:rsidR="00A460FC">
        <w:tc>
          <w:tcPr>
            <w:tcW w:w="959" w:type="dxa"/>
            <w:vAlign w:val="center"/>
          </w:tcPr>
          <w:p w:rsidR="00A460FC" w:rsidRDefault="00C62DCB">
            <w:pPr>
              <w:jc w:val="center"/>
            </w:pPr>
            <w:r>
              <w:rPr>
                <w:color w:val="000000"/>
                <w:kern w:val="0"/>
                <w:sz w:val="24"/>
                <w:szCs w:val="24"/>
              </w:rPr>
              <w:t>3</w:t>
            </w:r>
          </w:p>
        </w:tc>
        <w:tc>
          <w:tcPr>
            <w:tcW w:w="1276" w:type="dxa"/>
            <w:vAlign w:val="center"/>
          </w:tcPr>
          <w:p w:rsidR="00A460FC" w:rsidRDefault="00C62DCB">
            <w:pPr>
              <w:jc w:val="center"/>
            </w:pPr>
            <w:r>
              <w:rPr>
                <w:color w:val="000000"/>
                <w:kern w:val="0"/>
                <w:sz w:val="24"/>
                <w:szCs w:val="24"/>
              </w:rPr>
              <w:t>050203</w:t>
            </w:r>
          </w:p>
        </w:tc>
        <w:tc>
          <w:tcPr>
            <w:tcW w:w="1275" w:type="dxa"/>
            <w:vAlign w:val="center"/>
          </w:tcPr>
          <w:p w:rsidR="00A460FC" w:rsidRDefault="00C62DCB">
            <w:pPr>
              <w:jc w:val="center"/>
            </w:pPr>
            <w:r>
              <w:rPr>
                <w:color w:val="000000"/>
                <w:kern w:val="0"/>
                <w:sz w:val="24"/>
                <w:szCs w:val="24"/>
              </w:rPr>
              <w:t>05</w:t>
            </w:r>
            <w:r>
              <w:rPr>
                <w:color w:val="000000"/>
                <w:kern w:val="0"/>
                <w:sz w:val="24"/>
                <w:szCs w:val="24"/>
              </w:rPr>
              <w:t>国开</w:t>
            </w:r>
            <w:r>
              <w:rPr>
                <w:color w:val="000000"/>
                <w:kern w:val="0"/>
                <w:sz w:val="24"/>
                <w:szCs w:val="24"/>
              </w:rPr>
              <w:t>03</w:t>
            </w:r>
          </w:p>
        </w:tc>
        <w:tc>
          <w:tcPr>
            <w:tcW w:w="1560" w:type="dxa"/>
            <w:vAlign w:val="center"/>
          </w:tcPr>
          <w:p w:rsidR="00A460FC" w:rsidRDefault="00C62DCB">
            <w:pPr>
              <w:jc w:val="right"/>
            </w:pPr>
            <w:r>
              <w:rPr>
                <w:color w:val="000000"/>
                <w:kern w:val="0"/>
                <w:sz w:val="24"/>
                <w:szCs w:val="24"/>
              </w:rPr>
              <w:t>100,000</w:t>
            </w:r>
          </w:p>
        </w:tc>
        <w:tc>
          <w:tcPr>
            <w:tcW w:w="1984" w:type="dxa"/>
            <w:vAlign w:val="center"/>
          </w:tcPr>
          <w:p w:rsidR="00A460FC" w:rsidRDefault="00C62DCB">
            <w:pPr>
              <w:jc w:val="right"/>
            </w:pPr>
            <w:r>
              <w:rPr>
                <w:color w:val="000000"/>
                <w:kern w:val="0"/>
                <w:sz w:val="24"/>
                <w:szCs w:val="24"/>
              </w:rPr>
              <w:t>10,092,000.00</w:t>
            </w:r>
          </w:p>
        </w:tc>
        <w:tc>
          <w:tcPr>
            <w:tcW w:w="1474" w:type="dxa"/>
            <w:vAlign w:val="center"/>
          </w:tcPr>
          <w:p w:rsidR="00A460FC" w:rsidRDefault="00C62DCB">
            <w:pPr>
              <w:jc w:val="right"/>
            </w:pPr>
            <w:r>
              <w:rPr>
                <w:color w:val="000000"/>
                <w:kern w:val="0"/>
                <w:sz w:val="24"/>
                <w:szCs w:val="24"/>
              </w:rPr>
              <w:t>0.38</w:t>
            </w:r>
          </w:p>
        </w:tc>
      </w:tr>
      <w:tr w:rsidR="00A460FC">
        <w:tc>
          <w:tcPr>
            <w:tcW w:w="959" w:type="dxa"/>
            <w:vAlign w:val="center"/>
          </w:tcPr>
          <w:p w:rsidR="00A460FC" w:rsidRDefault="00C62DCB">
            <w:pPr>
              <w:jc w:val="center"/>
            </w:pPr>
            <w:r>
              <w:rPr>
                <w:color w:val="000000"/>
                <w:kern w:val="0"/>
                <w:sz w:val="24"/>
                <w:szCs w:val="24"/>
              </w:rPr>
              <w:t>4</w:t>
            </w:r>
          </w:p>
        </w:tc>
        <w:tc>
          <w:tcPr>
            <w:tcW w:w="1276" w:type="dxa"/>
            <w:vAlign w:val="center"/>
          </w:tcPr>
          <w:p w:rsidR="00A460FC" w:rsidRDefault="00C62DCB">
            <w:pPr>
              <w:jc w:val="center"/>
            </w:pPr>
            <w:r>
              <w:rPr>
                <w:color w:val="000000"/>
                <w:kern w:val="0"/>
                <w:sz w:val="24"/>
                <w:szCs w:val="24"/>
              </w:rPr>
              <w:t>110054</w:t>
            </w:r>
          </w:p>
        </w:tc>
        <w:tc>
          <w:tcPr>
            <w:tcW w:w="1275" w:type="dxa"/>
            <w:vAlign w:val="center"/>
          </w:tcPr>
          <w:p w:rsidR="00A460FC" w:rsidRDefault="00C62DCB">
            <w:pPr>
              <w:jc w:val="center"/>
            </w:pPr>
            <w:r>
              <w:rPr>
                <w:color w:val="000000"/>
                <w:kern w:val="0"/>
                <w:sz w:val="24"/>
                <w:szCs w:val="24"/>
              </w:rPr>
              <w:t>通威转债</w:t>
            </w:r>
          </w:p>
        </w:tc>
        <w:tc>
          <w:tcPr>
            <w:tcW w:w="1560" w:type="dxa"/>
            <w:vAlign w:val="center"/>
          </w:tcPr>
          <w:p w:rsidR="00A460FC" w:rsidRDefault="00C62DCB">
            <w:pPr>
              <w:jc w:val="right"/>
            </w:pPr>
            <w:r>
              <w:rPr>
                <w:color w:val="000000"/>
                <w:kern w:val="0"/>
                <w:sz w:val="24"/>
                <w:szCs w:val="24"/>
              </w:rPr>
              <w:t>30,890</w:t>
            </w:r>
          </w:p>
        </w:tc>
        <w:tc>
          <w:tcPr>
            <w:tcW w:w="1984" w:type="dxa"/>
            <w:vAlign w:val="center"/>
          </w:tcPr>
          <w:p w:rsidR="00A460FC" w:rsidRDefault="00C62DCB">
            <w:pPr>
              <w:jc w:val="right"/>
            </w:pPr>
            <w:r>
              <w:rPr>
                <w:color w:val="000000"/>
                <w:kern w:val="0"/>
                <w:sz w:val="24"/>
                <w:szCs w:val="24"/>
              </w:rPr>
              <w:t>3,776,611.40</w:t>
            </w:r>
          </w:p>
        </w:tc>
        <w:tc>
          <w:tcPr>
            <w:tcW w:w="1474" w:type="dxa"/>
            <w:vAlign w:val="center"/>
          </w:tcPr>
          <w:p w:rsidR="00A460FC" w:rsidRDefault="00C62DCB">
            <w:pPr>
              <w:jc w:val="right"/>
            </w:pPr>
            <w:r>
              <w:rPr>
                <w:color w:val="000000"/>
                <w:kern w:val="0"/>
                <w:sz w:val="24"/>
                <w:szCs w:val="24"/>
              </w:rPr>
              <w:t>0.14</w:t>
            </w:r>
          </w:p>
        </w:tc>
      </w:tr>
      <w:tr w:rsidR="00A460FC">
        <w:tc>
          <w:tcPr>
            <w:tcW w:w="959" w:type="dxa"/>
            <w:vAlign w:val="center"/>
          </w:tcPr>
          <w:p w:rsidR="00A460FC" w:rsidRDefault="00C62DCB">
            <w:pPr>
              <w:jc w:val="center"/>
            </w:pPr>
            <w:r>
              <w:rPr>
                <w:color w:val="000000"/>
                <w:kern w:val="0"/>
                <w:sz w:val="24"/>
                <w:szCs w:val="24"/>
              </w:rPr>
              <w:t>5</w:t>
            </w:r>
          </w:p>
        </w:tc>
        <w:tc>
          <w:tcPr>
            <w:tcW w:w="1276" w:type="dxa"/>
            <w:vAlign w:val="center"/>
          </w:tcPr>
          <w:p w:rsidR="00A460FC" w:rsidRDefault="00C62DCB">
            <w:pPr>
              <w:jc w:val="center"/>
            </w:pPr>
            <w:r>
              <w:rPr>
                <w:color w:val="000000"/>
                <w:kern w:val="0"/>
                <w:sz w:val="24"/>
                <w:szCs w:val="24"/>
              </w:rPr>
              <w:t>128028</w:t>
            </w:r>
          </w:p>
        </w:tc>
        <w:tc>
          <w:tcPr>
            <w:tcW w:w="1275" w:type="dxa"/>
            <w:vAlign w:val="center"/>
          </w:tcPr>
          <w:p w:rsidR="00A460FC" w:rsidRDefault="00C62DCB">
            <w:pPr>
              <w:jc w:val="center"/>
            </w:pPr>
            <w:r>
              <w:rPr>
                <w:color w:val="000000"/>
                <w:kern w:val="0"/>
                <w:sz w:val="24"/>
                <w:szCs w:val="24"/>
              </w:rPr>
              <w:t>赣锋转债</w:t>
            </w:r>
          </w:p>
        </w:tc>
        <w:tc>
          <w:tcPr>
            <w:tcW w:w="1560" w:type="dxa"/>
            <w:vAlign w:val="center"/>
          </w:tcPr>
          <w:p w:rsidR="00A460FC" w:rsidRDefault="00C62DCB">
            <w:pPr>
              <w:jc w:val="right"/>
            </w:pPr>
            <w:r>
              <w:rPr>
                <w:color w:val="000000"/>
                <w:kern w:val="0"/>
                <w:sz w:val="24"/>
                <w:szCs w:val="24"/>
              </w:rPr>
              <w:t>18,994</w:t>
            </w:r>
          </w:p>
        </w:tc>
        <w:tc>
          <w:tcPr>
            <w:tcW w:w="1984" w:type="dxa"/>
            <w:vAlign w:val="center"/>
          </w:tcPr>
          <w:p w:rsidR="00A460FC" w:rsidRDefault="00C62DCB">
            <w:pPr>
              <w:jc w:val="right"/>
            </w:pPr>
            <w:r>
              <w:rPr>
                <w:color w:val="000000"/>
                <w:kern w:val="0"/>
                <w:sz w:val="24"/>
                <w:szCs w:val="24"/>
              </w:rPr>
              <w:t>1,925,801.66</w:t>
            </w:r>
          </w:p>
        </w:tc>
        <w:tc>
          <w:tcPr>
            <w:tcW w:w="1474" w:type="dxa"/>
            <w:vAlign w:val="center"/>
          </w:tcPr>
          <w:p w:rsidR="00A460FC" w:rsidRDefault="00C62DCB">
            <w:pPr>
              <w:jc w:val="right"/>
            </w:pPr>
            <w:r>
              <w:rPr>
                <w:color w:val="000000"/>
                <w:kern w:val="0"/>
                <w:sz w:val="24"/>
                <w:szCs w:val="24"/>
              </w:rPr>
              <w:t>0.07</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招商银行（代码：600036）为易方达新常态灵活配置混合型证券投资基金的前十大重仓证券之一。2019年7月8日，中国银行保险监督管理委员会上海监管局对招商银行股份有限公司信用卡中心2016年9月至2018年6月在为部分客户办理信用卡业务时，未遵守总授信额度管理制度的违法违规事实，处以责令改正，并处罚款20万元的行政处罚。</w:t>
      </w:r>
    </w:p>
    <w:p w:rsidR="00A460FC" w:rsidRDefault="00C62DCB">
      <w:pPr>
        <w:spacing w:line="360" w:lineRule="auto"/>
        <w:rPr>
          <w:rFonts w:ascii="宋体" w:hAnsi="宋体"/>
          <w:color w:val="000000"/>
          <w:sz w:val="24"/>
          <w:szCs w:val="24"/>
        </w:rPr>
      </w:pPr>
      <w:r>
        <w:rPr>
          <w:rFonts w:ascii="宋体" w:hAnsi="宋体"/>
          <w:color w:val="000000"/>
          <w:sz w:val="24"/>
          <w:szCs w:val="24"/>
        </w:rPr>
        <w:t>本基金投资招商银行的投资决策程序符合公司投资制度的规定。</w:t>
      </w:r>
    </w:p>
    <w:p w:rsidR="00A460FC" w:rsidRDefault="00C62DCB">
      <w:pPr>
        <w:spacing w:line="360" w:lineRule="auto"/>
        <w:rPr>
          <w:rFonts w:ascii="宋体" w:hAnsi="宋体"/>
          <w:color w:val="000000"/>
          <w:sz w:val="24"/>
          <w:szCs w:val="24"/>
        </w:rPr>
      </w:pPr>
      <w:r>
        <w:rPr>
          <w:rFonts w:ascii="宋体" w:hAnsi="宋体"/>
          <w:color w:val="000000"/>
          <w:sz w:val="24"/>
          <w:szCs w:val="24"/>
        </w:rPr>
        <w:t>除招商银行外，本基金投资的前十名证券的发行主体本期没有出现被监管部门立案调查，或在报告编制日前一年内受到公开谴责、处罚</w:t>
      </w:r>
      <w:r>
        <w:rPr>
          <w:rFonts w:ascii="宋体" w:hAnsi="宋体"/>
          <w:color w:val="000000"/>
          <w:sz w:val="24"/>
          <w:szCs w:val="24"/>
        </w:rPr>
        <w:t>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381,380.30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195,432.16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1,384,904.29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778,630.90</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2,740,347.65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1729"/>
        <w:gridCol w:w="1658"/>
        <w:gridCol w:w="1697"/>
        <w:gridCol w:w="1621"/>
      </w:tblGrid>
      <w:tr w:rsidR="00750D48" w:rsidRPr="00264E55" w:rsidTr="00B05049">
        <w:tc>
          <w:tcPr>
            <w:tcW w:w="180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序号</w:t>
            </w:r>
          </w:p>
        </w:tc>
        <w:tc>
          <w:tcPr>
            <w:tcW w:w="1729"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债券代码</w:t>
            </w:r>
          </w:p>
        </w:tc>
        <w:tc>
          <w:tcPr>
            <w:tcW w:w="1658" w:type="dxa"/>
            <w:vAlign w:val="center"/>
          </w:tcPr>
          <w:p w:rsidR="00750D48" w:rsidRPr="00B227EA" w:rsidRDefault="00750D48" w:rsidP="00B05049">
            <w:pPr>
              <w:spacing w:before="29" w:line="360" w:lineRule="auto"/>
              <w:ind w:left="17"/>
              <w:jc w:val="center"/>
              <w:rPr>
                <w:color w:val="000000"/>
                <w:kern w:val="0"/>
                <w:sz w:val="24"/>
                <w:szCs w:val="24"/>
              </w:rPr>
            </w:pPr>
            <w:r w:rsidRPr="00B227EA">
              <w:rPr>
                <w:color w:val="000000"/>
                <w:kern w:val="0"/>
                <w:sz w:val="24"/>
                <w:szCs w:val="24"/>
              </w:rPr>
              <w:t>债券名称</w:t>
            </w:r>
          </w:p>
        </w:tc>
        <w:tc>
          <w:tcPr>
            <w:tcW w:w="1697"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公允价值</w:t>
            </w:r>
            <w:r w:rsidR="005F7917" w:rsidRPr="00B227EA">
              <w:rPr>
                <w:color w:val="000000"/>
                <w:kern w:val="0"/>
                <w:sz w:val="24"/>
                <w:szCs w:val="24"/>
              </w:rPr>
              <w:t>（元）</w:t>
            </w:r>
          </w:p>
        </w:tc>
        <w:tc>
          <w:tcPr>
            <w:tcW w:w="1621" w:type="dxa"/>
            <w:vAlign w:val="center"/>
          </w:tcPr>
          <w:p w:rsidR="00750D48" w:rsidRPr="00B227EA" w:rsidRDefault="00750D48" w:rsidP="005F7917">
            <w:pPr>
              <w:spacing w:before="29" w:line="360" w:lineRule="auto"/>
              <w:ind w:left="17"/>
              <w:jc w:val="center"/>
              <w:rPr>
                <w:color w:val="000000"/>
                <w:kern w:val="0"/>
                <w:sz w:val="24"/>
                <w:szCs w:val="24"/>
              </w:rPr>
            </w:pPr>
            <w:r w:rsidRPr="00B227EA">
              <w:rPr>
                <w:color w:val="000000"/>
                <w:kern w:val="0"/>
                <w:sz w:val="24"/>
                <w:szCs w:val="24"/>
              </w:rPr>
              <w:t>占基金资产净值比例</w:t>
            </w:r>
            <w:r w:rsidR="005F7917" w:rsidRPr="00B227EA">
              <w:rPr>
                <w:color w:val="000000"/>
                <w:kern w:val="0"/>
                <w:sz w:val="24"/>
                <w:szCs w:val="24"/>
              </w:rPr>
              <w:t>（</w:t>
            </w:r>
            <w:r w:rsidR="005F7917" w:rsidRPr="00B227EA">
              <w:rPr>
                <w:color w:val="000000"/>
                <w:kern w:val="0"/>
                <w:sz w:val="24"/>
                <w:szCs w:val="24"/>
              </w:rPr>
              <w:t>%</w:t>
            </w:r>
            <w:r w:rsidR="005F7917" w:rsidRPr="00B227EA">
              <w:rPr>
                <w:color w:val="000000"/>
                <w:kern w:val="0"/>
                <w:sz w:val="24"/>
                <w:szCs w:val="24"/>
              </w:rPr>
              <w:t>）</w:t>
            </w:r>
          </w:p>
        </w:tc>
      </w:tr>
      <w:tr w:rsidR="00A460FC">
        <w:tc>
          <w:tcPr>
            <w:tcW w:w="1808" w:type="dxa"/>
            <w:vAlign w:val="center"/>
          </w:tcPr>
          <w:p w:rsidR="00A460FC" w:rsidRDefault="00C62DCB">
            <w:pPr>
              <w:jc w:val="center"/>
            </w:pPr>
            <w:r>
              <w:rPr>
                <w:color w:val="000000"/>
                <w:kern w:val="0"/>
                <w:sz w:val="24"/>
                <w:szCs w:val="24"/>
              </w:rPr>
              <w:t>1</w:t>
            </w:r>
          </w:p>
        </w:tc>
        <w:tc>
          <w:tcPr>
            <w:tcW w:w="1729" w:type="dxa"/>
            <w:vAlign w:val="center"/>
          </w:tcPr>
          <w:p w:rsidR="00A460FC" w:rsidRDefault="00C62DCB">
            <w:pPr>
              <w:jc w:val="center"/>
            </w:pPr>
            <w:r>
              <w:rPr>
                <w:color w:val="000000"/>
                <w:kern w:val="0"/>
                <w:sz w:val="24"/>
                <w:szCs w:val="24"/>
              </w:rPr>
              <w:t>110054</w:t>
            </w:r>
          </w:p>
        </w:tc>
        <w:tc>
          <w:tcPr>
            <w:tcW w:w="1658" w:type="dxa"/>
            <w:vAlign w:val="center"/>
          </w:tcPr>
          <w:p w:rsidR="00A460FC" w:rsidRDefault="00C62DCB">
            <w:pPr>
              <w:jc w:val="center"/>
            </w:pPr>
            <w:r>
              <w:rPr>
                <w:color w:val="000000"/>
                <w:kern w:val="0"/>
                <w:sz w:val="24"/>
                <w:szCs w:val="24"/>
              </w:rPr>
              <w:t>通威转债</w:t>
            </w:r>
          </w:p>
        </w:tc>
        <w:tc>
          <w:tcPr>
            <w:tcW w:w="1697" w:type="dxa"/>
            <w:vAlign w:val="center"/>
          </w:tcPr>
          <w:p w:rsidR="00A460FC" w:rsidRDefault="00C62DCB">
            <w:pPr>
              <w:jc w:val="right"/>
            </w:pPr>
            <w:r>
              <w:rPr>
                <w:color w:val="000000"/>
                <w:kern w:val="0"/>
                <w:sz w:val="24"/>
                <w:szCs w:val="24"/>
              </w:rPr>
              <w:t>3,776,611.40</w:t>
            </w:r>
          </w:p>
        </w:tc>
        <w:tc>
          <w:tcPr>
            <w:tcW w:w="1621" w:type="dxa"/>
            <w:vAlign w:val="center"/>
          </w:tcPr>
          <w:p w:rsidR="00A460FC" w:rsidRDefault="00C62DCB">
            <w:pPr>
              <w:jc w:val="right"/>
            </w:pPr>
            <w:r>
              <w:rPr>
                <w:color w:val="000000"/>
                <w:kern w:val="0"/>
                <w:sz w:val="24"/>
                <w:szCs w:val="24"/>
              </w:rPr>
              <w:t>0.14</w:t>
            </w:r>
          </w:p>
        </w:tc>
      </w:tr>
      <w:tr w:rsidR="00A460FC">
        <w:tc>
          <w:tcPr>
            <w:tcW w:w="1808" w:type="dxa"/>
            <w:vAlign w:val="center"/>
          </w:tcPr>
          <w:p w:rsidR="00A460FC" w:rsidRDefault="00C62DCB">
            <w:pPr>
              <w:jc w:val="center"/>
            </w:pPr>
            <w:r>
              <w:rPr>
                <w:color w:val="000000"/>
                <w:kern w:val="0"/>
                <w:sz w:val="24"/>
                <w:szCs w:val="24"/>
              </w:rPr>
              <w:t>2</w:t>
            </w:r>
          </w:p>
        </w:tc>
        <w:tc>
          <w:tcPr>
            <w:tcW w:w="1729" w:type="dxa"/>
            <w:vAlign w:val="center"/>
          </w:tcPr>
          <w:p w:rsidR="00A460FC" w:rsidRDefault="00C62DCB">
            <w:pPr>
              <w:jc w:val="center"/>
            </w:pPr>
            <w:r>
              <w:rPr>
                <w:color w:val="000000"/>
                <w:kern w:val="0"/>
                <w:sz w:val="24"/>
                <w:szCs w:val="24"/>
              </w:rPr>
              <w:t>128028</w:t>
            </w:r>
          </w:p>
        </w:tc>
        <w:tc>
          <w:tcPr>
            <w:tcW w:w="1658" w:type="dxa"/>
            <w:vAlign w:val="center"/>
          </w:tcPr>
          <w:p w:rsidR="00A460FC" w:rsidRDefault="00C62DCB">
            <w:pPr>
              <w:jc w:val="center"/>
            </w:pPr>
            <w:r>
              <w:rPr>
                <w:color w:val="000000"/>
                <w:kern w:val="0"/>
                <w:sz w:val="24"/>
                <w:szCs w:val="24"/>
              </w:rPr>
              <w:t>赣锋转债</w:t>
            </w:r>
          </w:p>
        </w:tc>
        <w:tc>
          <w:tcPr>
            <w:tcW w:w="1697" w:type="dxa"/>
            <w:vAlign w:val="center"/>
          </w:tcPr>
          <w:p w:rsidR="00A460FC" w:rsidRDefault="00C62DCB">
            <w:pPr>
              <w:jc w:val="right"/>
            </w:pPr>
            <w:r>
              <w:rPr>
                <w:color w:val="000000"/>
                <w:kern w:val="0"/>
                <w:sz w:val="24"/>
                <w:szCs w:val="24"/>
              </w:rPr>
              <w:t>1,925,801.66</w:t>
            </w:r>
          </w:p>
        </w:tc>
        <w:tc>
          <w:tcPr>
            <w:tcW w:w="1621" w:type="dxa"/>
            <w:vAlign w:val="center"/>
          </w:tcPr>
          <w:p w:rsidR="00A460FC" w:rsidRDefault="00C62DCB">
            <w:pPr>
              <w:jc w:val="right"/>
            </w:pPr>
            <w:r>
              <w:rPr>
                <w:color w:val="000000"/>
                <w:kern w:val="0"/>
                <w:sz w:val="24"/>
                <w:szCs w:val="24"/>
              </w:rPr>
              <w:t>0.07</w:t>
            </w:r>
          </w:p>
        </w:tc>
      </w:tr>
      <w:tr w:rsidR="00A460FC">
        <w:tc>
          <w:tcPr>
            <w:tcW w:w="1808" w:type="dxa"/>
            <w:vAlign w:val="center"/>
          </w:tcPr>
          <w:p w:rsidR="00A460FC" w:rsidRDefault="00C62DCB">
            <w:pPr>
              <w:jc w:val="center"/>
            </w:pPr>
            <w:r>
              <w:rPr>
                <w:color w:val="000000"/>
                <w:kern w:val="0"/>
                <w:sz w:val="24"/>
                <w:szCs w:val="24"/>
              </w:rPr>
              <w:t>3</w:t>
            </w:r>
          </w:p>
        </w:tc>
        <w:tc>
          <w:tcPr>
            <w:tcW w:w="1729" w:type="dxa"/>
            <w:vAlign w:val="center"/>
          </w:tcPr>
          <w:p w:rsidR="00A460FC" w:rsidRDefault="00C62DCB">
            <w:pPr>
              <w:jc w:val="center"/>
            </w:pPr>
            <w:r>
              <w:rPr>
                <w:color w:val="000000"/>
                <w:kern w:val="0"/>
                <w:sz w:val="24"/>
                <w:szCs w:val="24"/>
              </w:rPr>
              <w:t>113021</w:t>
            </w:r>
          </w:p>
        </w:tc>
        <w:tc>
          <w:tcPr>
            <w:tcW w:w="1658" w:type="dxa"/>
            <w:vAlign w:val="center"/>
          </w:tcPr>
          <w:p w:rsidR="00A460FC" w:rsidRDefault="00C62DCB">
            <w:pPr>
              <w:jc w:val="center"/>
            </w:pPr>
            <w:r>
              <w:rPr>
                <w:color w:val="000000"/>
                <w:kern w:val="0"/>
                <w:sz w:val="24"/>
                <w:szCs w:val="24"/>
              </w:rPr>
              <w:t>中信转债</w:t>
            </w:r>
          </w:p>
        </w:tc>
        <w:tc>
          <w:tcPr>
            <w:tcW w:w="1697" w:type="dxa"/>
            <w:vAlign w:val="center"/>
          </w:tcPr>
          <w:p w:rsidR="00A460FC" w:rsidRDefault="00C62DCB">
            <w:pPr>
              <w:jc w:val="right"/>
            </w:pPr>
            <w:r>
              <w:rPr>
                <w:color w:val="000000"/>
                <w:kern w:val="0"/>
                <w:sz w:val="24"/>
                <w:szCs w:val="24"/>
              </w:rPr>
              <w:t>485,059.80</w:t>
            </w:r>
          </w:p>
        </w:tc>
        <w:tc>
          <w:tcPr>
            <w:tcW w:w="1621" w:type="dxa"/>
            <w:vAlign w:val="center"/>
          </w:tcPr>
          <w:p w:rsidR="00A460FC" w:rsidRDefault="00C62DCB">
            <w:pPr>
              <w:jc w:val="right"/>
            </w:pPr>
            <w:r>
              <w:rPr>
                <w:color w:val="000000"/>
                <w:kern w:val="0"/>
                <w:sz w:val="24"/>
                <w:szCs w:val="24"/>
              </w:rPr>
              <w:t>0.02</w:t>
            </w:r>
          </w:p>
        </w:tc>
      </w:tr>
      <w:tr w:rsidR="00A460FC">
        <w:tc>
          <w:tcPr>
            <w:tcW w:w="1808" w:type="dxa"/>
            <w:vAlign w:val="center"/>
          </w:tcPr>
          <w:p w:rsidR="00A460FC" w:rsidRDefault="00C62DCB">
            <w:pPr>
              <w:jc w:val="center"/>
            </w:pPr>
            <w:r>
              <w:rPr>
                <w:color w:val="000000"/>
                <w:kern w:val="0"/>
                <w:sz w:val="24"/>
                <w:szCs w:val="24"/>
              </w:rPr>
              <w:t>4</w:t>
            </w:r>
          </w:p>
        </w:tc>
        <w:tc>
          <w:tcPr>
            <w:tcW w:w="1729" w:type="dxa"/>
            <w:vAlign w:val="center"/>
          </w:tcPr>
          <w:p w:rsidR="00A460FC" w:rsidRDefault="00C62DCB">
            <w:pPr>
              <w:jc w:val="center"/>
            </w:pPr>
            <w:r>
              <w:rPr>
                <w:color w:val="000000"/>
                <w:kern w:val="0"/>
                <w:sz w:val="24"/>
                <w:szCs w:val="24"/>
              </w:rPr>
              <w:t>123021</w:t>
            </w:r>
          </w:p>
        </w:tc>
        <w:tc>
          <w:tcPr>
            <w:tcW w:w="1658" w:type="dxa"/>
            <w:vAlign w:val="center"/>
          </w:tcPr>
          <w:p w:rsidR="00A460FC" w:rsidRDefault="00C62DCB">
            <w:pPr>
              <w:jc w:val="center"/>
            </w:pPr>
            <w:r>
              <w:rPr>
                <w:color w:val="000000"/>
                <w:kern w:val="0"/>
                <w:sz w:val="24"/>
                <w:szCs w:val="24"/>
              </w:rPr>
              <w:t>万信转</w:t>
            </w:r>
            <w:r>
              <w:rPr>
                <w:color w:val="000000"/>
                <w:kern w:val="0"/>
                <w:sz w:val="24"/>
                <w:szCs w:val="24"/>
              </w:rPr>
              <w:t>2</w:t>
            </w:r>
          </w:p>
        </w:tc>
        <w:tc>
          <w:tcPr>
            <w:tcW w:w="1697" w:type="dxa"/>
            <w:vAlign w:val="center"/>
          </w:tcPr>
          <w:p w:rsidR="00A460FC" w:rsidRDefault="00C62DCB">
            <w:pPr>
              <w:jc w:val="right"/>
            </w:pPr>
            <w:r>
              <w:rPr>
                <w:color w:val="000000"/>
                <w:kern w:val="0"/>
                <w:sz w:val="24"/>
                <w:szCs w:val="24"/>
              </w:rPr>
              <w:t>203,209.60</w:t>
            </w:r>
          </w:p>
        </w:tc>
        <w:tc>
          <w:tcPr>
            <w:tcW w:w="1621" w:type="dxa"/>
            <w:vAlign w:val="center"/>
          </w:tcPr>
          <w:p w:rsidR="00A460FC" w:rsidRDefault="00C62DCB">
            <w:pPr>
              <w:jc w:val="right"/>
            </w:pPr>
            <w:r>
              <w:rPr>
                <w:color w:val="000000"/>
                <w:kern w:val="0"/>
                <w:sz w:val="24"/>
                <w:szCs w:val="24"/>
              </w:rPr>
              <w:t>0.01</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6,586,229,101.89</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89,436,797.47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371,090,349.75</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6,304,575,549.61</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A460FC" w:rsidRDefault="00C62DCB">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中国证监会准予易方达新常态灵活配置混合型证券投资基金注册的文件；</w:t>
      </w:r>
    </w:p>
    <w:p w:rsidR="00A460FC" w:rsidRDefault="00C62DCB">
      <w:pPr>
        <w:spacing w:line="360" w:lineRule="auto"/>
        <w:ind w:firstLineChars="200" w:firstLine="480"/>
        <w:rPr>
          <w:color w:val="000000"/>
          <w:sz w:val="24"/>
          <w:szCs w:val="24"/>
        </w:rPr>
      </w:pPr>
      <w:r>
        <w:rPr>
          <w:color w:val="000000"/>
          <w:sz w:val="24"/>
          <w:szCs w:val="24"/>
        </w:rPr>
        <w:t>2.</w:t>
      </w:r>
      <w:r>
        <w:rPr>
          <w:color w:val="000000"/>
          <w:sz w:val="24"/>
          <w:szCs w:val="24"/>
        </w:rPr>
        <w:t>《易方达新常态灵活配置混合型证券投资基金基金合同》；</w:t>
      </w:r>
    </w:p>
    <w:p w:rsidR="00A460FC" w:rsidRDefault="00C62DCB">
      <w:pPr>
        <w:spacing w:line="360" w:lineRule="auto"/>
        <w:ind w:firstLineChars="200" w:firstLine="480"/>
        <w:rPr>
          <w:color w:val="000000"/>
          <w:sz w:val="24"/>
          <w:szCs w:val="24"/>
        </w:rPr>
      </w:pPr>
      <w:r>
        <w:rPr>
          <w:color w:val="000000"/>
          <w:sz w:val="24"/>
          <w:szCs w:val="24"/>
        </w:rPr>
        <w:t>3.</w:t>
      </w:r>
      <w:r>
        <w:rPr>
          <w:color w:val="000000"/>
          <w:sz w:val="24"/>
          <w:szCs w:val="24"/>
        </w:rPr>
        <w:t>《易方达新常态灵活配置混合型证券投资基金托管协议》；</w:t>
      </w:r>
    </w:p>
    <w:p w:rsidR="00A460FC" w:rsidRDefault="00C62DCB">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C62DCB">
      <w:rPr>
        <w:rStyle w:val="a7"/>
        <w:noProof/>
      </w:rPr>
      <w:t>1</w:t>
    </w:r>
    <w:r>
      <w:rPr>
        <w:rStyle w:val="a7"/>
      </w:rPr>
      <w:fldChar w:fldCharType="end"/>
    </w:r>
    <w:r>
      <w:rPr>
        <w:rStyle w:val="a7"/>
        <w:rFonts w:hint="eastAsia"/>
      </w:rPr>
      <w:t>页共</w:t>
    </w:r>
    <w:r w:rsidR="00C62DCB">
      <w:fldChar w:fldCharType="begin"/>
    </w:r>
    <w:r w:rsidR="00C62DCB">
      <w:instrText xml:space="preserve"> NUMPAGES  \* Arabic  \* MERGEFORMAT </w:instrText>
    </w:r>
    <w:r w:rsidR="00C62DCB">
      <w:fldChar w:fldCharType="separate"/>
    </w:r>
    <w:r w:rsidR="00C62DCB" w:rsidRPr="00C62DCB">
      <w:rPr>
        <w:rStyle w:val="a7"/>
        <w:noProof/>
      </w:rPr>
      <w:t>3</w:t>
    </w:r>
    <w:r w:rsidR="00C62DCB">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C62DCB">
      <w:rPr>
        <w:rStyle w:val="a7"/>
        <w:noProof/>
      </w:rPr>
      <w:t>12</w:t>
    </w:r>
    <w:r>
      <w:rPr>
        <w:rStyle w:val="a7"/>
      </w:rPr>
      <w:fldChar w:fldCharType="end"/>
    </w:r>
    <w:r>
      <w:rPr>
        <w:rStyle w:val="a7"/>
        <w:rFonts w:hint="eastAsia"/>
      </w:rPr>
      <w:t>页共</w:t>
    </w:r>
    <w:fldSimple w:instr=" NUMPAGES  \* Arabic  \* MERGEFORMAT ">
      <w:r w:rsidR="00C62DCB" w:rsidRPr="00C62DCB">
        <w:rPr>
          <w:rStyle w:val="a7"/>
          <w:noProof/>
        </w:rPr>
        <w:t>12</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易方达新常态灵活配置混合型证券投资基金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460FC"/>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2DCB"/>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E85D0-1B65-444D-B9F2-1B6B01D5B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1017</Words>
  <Characters>5801</Characters>
  <Application>Microsoft Office Word</Application>
  <DocSecurity>0</DocSecurity>
  <Lines>48</Lines>
  <Paragraphs>13</Paragraphs>
  <ScaleCrop>false</ScaleCrop>
  <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