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易方达裕如灵活配置混合型证券投资基金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杭州银行股份有限公司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811ED1" w:rsidRDefault="001D0036">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811ED1" w:rsidRDefault="001D0036">
      <w:pPr>
        <w:spacing w:line="360" w:lineRule="auto"/>
        <w:ind w:firstLineChars="200" w:firstLine="480"/>
        <w:rPr>
          <w:color w:val="000000"/>
          <w:sz w:val="24"/>
          <w:szCs w:val="24"/>
        </w:rPr>
      </w:pPr>
      <w:r>
        <w:rPr>
          <w:color w:val="000000"/>
          <w:sz w:val="24"/>
          <w:szCs w:val="24"/>
        </w:rPr>
        <w:t>基金托管人杭州银行股份有限公司根据本基金合同规定，于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811ED1" w:rsidRDefault="001D0036">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811ED1" w:rsidRDefault="001D0036">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811ED1" w:rsidRDefault="001D0036">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易方达裕如混合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001136</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001136</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2015</w:t>
            </w:r>
            <w:r w:rsidRPr="00232B03">
              <w:rPr>
                <w:color w:val="000000"/>
                <w:kern w:val="0"/>
                <w:sz w:val="24"/>
                <w:szCs w:val="24"/>
              </w:rPr>
              <w:t>年</w:t>
            </w:r>
            <w:r w:rsidRPr="00232B03">
              <w:rPr>
                <w:color w:val="000000"/>
                <w:kern w:val="0"/>
                <w:sz w:val="24"/>
                <w:szCs w:val="24"/>
              </w:rPr>
              <w:t>3</w:t>
            </w:r>
            <w:r w:rsidRPr="00232B03">
              <w:rPr>
                <w:color w:val="000000"/>
                <w:kern w:val="0"/>
                <w:sz w:val="24"/>
                <w:szCs w:val="24"/>
              </w:rPr>
              <w:t>月</w:t>
            </w:r>
            <w:r w:rsidRPr="00232B03">
              <w:rPr>
                <w:color w:val="000000"/>
                <w:kern w:val="0"/>
                <w:sz w:val="24"/>
                <w:szCs w:val="24"/>
              </w:rPr>
              <w:t>24</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543,646,737.53</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本基金在控制风险的前提下，追求基金资产的稳健增值。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811ED1" w:rsidRDefault="001D0036">
            <w:pPr>
              <w:adjustRightInd w:val="0"/>
              <w:spacing w:before="29" w:line="360" w:lineRule="auto"/>
              <w:ind w:left="17"/>
              <w:jc w:val="left"/>
              <w:rPr>
                <w:color w:val="000000"/>
                <w:sz w:val="24"/>
                <w:szCs w:val="24"/>
              </w:rPr>
            </w:pPr>
            <w:r>
              <w:rPr>
                <w:color w:val="000000"/>
                <w:kern w:val="0"/>
                <w:sz w:val="24"/>
                <w:szCs w:val="24"/>
              </w:rPr>
              <w:t>本基金通过对宏观经济走势、市场估值与流动性、政策导向等因素的分析来确定股票、债券等资产类别的配置比例。</w:t>
            </w:r>
          </w:p>
          <w:p w:rsidR="00811ED1" w:rsidRDefault="001D0036">
            <w:pPr>
              <w:adjustRightInd w:val="0"/>
              <w:spacing w:before="29" w:line="360" w:lineRule="auto"/>
              <w:ind w:left="17"/>
              <w:jc w:val="left"/>
              <w:rPr>
                <w:color w:val="000000"/>
                <w:sz w:val="24"/>
                <w:szCs w:val="24"/>
              </w:rPr>
            </w:pPr>
            <w:r>
              <w:rPr>
                <w:color w:val="000000"/>
                <w:kern w:val="0"/>
                <w:sz w:val="24"/>
                <w:szCs w:val="24"/>
              </w:rPr>
              <w:t>股票投资方面，本基金在行业分析、公司基本面分析及估值水平分析的基础上，进行股票组合的构</w:t>
            </w:r>
            <w:r>
              <w:rPr>
                <w:color w:val="000000"/>
                <w:kern w:val="0"/>
                <w:sz w:val="24"/>
                <w:szCs w:val="24"/>
              </w:rPr>
              <w:lastRenderedPageBreak/>
              <w:t>建。新股（含增发）投资策略上，本基金将根据对新股发行公司的行业景气度、财务稳健性、竞争力、成长性、估值水平等因素的综合分析选择新股。</w:t>
            </w:r>
          </w:p>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债券投资方面。本基金结合对宏观经济、市场利率、供求变化等因素的综合分析，确定类属资产的最优权重。在券种选择上，本基金以长期利率趋势分析为基础，结合经济变化趋势、货币政策及不同债券品种的收益率水平、流动性和信用风险等因素，实施积极主动的债券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一年期人民币定期存款利率（税后）</w:t>
            </w:r>
            <w:r w:rsidRPr="00232B03">
              <w:rPr>
                <w:color w:val="000000"/>
                <w:kern w:val="0"/>
                <w:sz w:val="24"/>
                <w:szCs w:val="24"/>
              </w:rPr>
              <w:t>+2%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杭州银行股份有限公司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7,829,151.42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6,388,205.65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0.0117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600,981,484.85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1.105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811ED1" w:rsidRDefault="001D0036">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811ED1">
        <w:tc>
          <w:tcPr>
            <w:tcW w:w="1395" w:type="dxa"/>
            <w:vAlign w:val="center"/>
          </w:tcPr>
          <w:p w:rsidR="00811ED1" w:rsidRDefault="001D0036">
            <w:pPr>
              <w:jc w:val="left"/>
            </w:pPr>
            <w:r>
              <w:rPr>
                <w:color w:val="000000"/>
                <w:kern w:val="0"/>
                <w:sz w:val="24"/>
                <w:szCs w:val="24"/>
              </w:rPr>
              <w:t>过去三个月</w:t>
            </w:r>
          </w:p>
        </w:tc>
        <w:tc>
          <w:tcPr>
            <w:tcW w:w="1092" w:type="dxa"/>
            <w:vAlign w:val="center"/>
          </w:tcPr>
          <w:p w:rsidR="00811ED1" w:rsidRDefault="001D0036">
            <w:pPr>
              <w:jc w:val="center"/>
            </w:pPr>
            <w:r>
              <w:rPr>
                <w:color w:val="000000"/>
                <w:kern w:val="0"/>
                <w:sz w:val="24"/>
                <w:szCs w:val="24"/>
              </w:rPr>
              <w:t>1.01%</w:t>
            </w:r>
          </w:p>
        </w:tc>
        <w:tc>
          <w:tcPr>
            <w:tcW w:w="1161" w:type="dxa"/>
            <w:vAlign w:val="center"/>
          </w:tcPr>
          <w:p w:rsidR="00811ED1" w:rsidRDefault="001D0036">
            <w:pPr>
              <w:jc w:val="center"/>
            </w:pPr>
            <w:r>
              <w:rPr>
                <w:color w:val="000000"/>
                <w:kern w:val="0"/>
                <w:sz w:val="24"/>
                <w:szCs w:val="24"/>
              </w:rPr>
              <w:t>0.08%</w:t>
            </w:r>
          </w:p>
        </w:tc>
        <w:tc>
          <w:tcPr>
            <w:tcW w:w="1181" w:type="dxa"/>
            <w:vAlign w:val="center"/>
          </w:tcPr>
          <w:p w:rsidR="00811ED1" w:rsidRDefault="001D0036">
            <w:pPr>
              <w:jc w:val="center"/>
            </w:pPr>
            <w:r>
              <w:rPr>
                <w:color w:val="000000"/>
                <w:kern w:val="0"/>
                <w:sz w:val="24"/>
                <w:szCs w:val="24"/>
              </w:rPr>
              <w:t>0.89%</w:t>
            </w:r>
          </w:p>
        </w:tc>
        <w:tc>
          <w:tcPr>
            <w:tcW w:w="1188" w:type="dxa"/>
            <w:vAlign w:val="center"/>
          </w:tcPr>
          <w:p w:rsidR="00811ED1" w:rsidRDefault="001D0036">
            <w:pPr>
              <w:jc w:val="center"/>
            </w:pPr>
            <w:r>
              <w:rPr>
                <w:color w:val="000000"/>
                <w:kern w:val="0"/>
                <w:sz w:val="24"/>
                <w:szCs w:val="24"/>
              </w:rPr>
              <w:t>0.01%</w:t>
            </w:r>
          </w:p>
        </w:tc>
        <w:tc>
          <w:tcPr>
            <w:tcW w:w="1199" w:type="dxa"/>
            <w:vAlign w:val="center"/>
          </w:tcPr>
          <w:p w:rsidR="00811ED1" w:rsidRDefault="001D0036">
            <w:pPr>
              <w:jc w:val="center"/>
            </w:pPr>
            <w:r>
              <w:rPr>
                <w:color w:val="000000"/>
                <w:kern w:val="0"/>
                <w:sz w:val="24"/>
                <w:szCs w:val="24"/>
              </w:rPr>
              <w:t>0.12%</w:t>
            </w:r>
          </w:p>
        </w:tc>
        <w:tc>
          <w:tcPr>
            <w:tcW w:w="1204" w:type="dxa"/>
            <w:vAlign w:val="center"/>
          </w:tcPr>
          <w:p w:rsidR="00811ED1" w:rsidRDefault="001D0036">
            <w:pPr>
              <w:jc w:val="center"/>
            </w:pPr>
            <w:r>
              <w:rPr>
                <w:color w:val="000000"/>
                <w:kern w:val="0"/>
                <w:sz w:val="24"/>
                <w:szCs w:val="24"/>
              </w:rPr>
              <w:t>0.07%</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易方达裕如灵活配置混合型证券投资基金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2015</w:t>
      </w:r>
      <w:r w:rsidRPr="0074694E">
        <w:rPr>
          <w:rFonts w:ascii="Times New Roman" w:hAnsi="Times New Roman"/>
          <w:sz w:val="24"/>
          <w:szCs w:val="24"/>
        </w:rPr>
        <w:t>年</w:t>
      </w:r>
      <w:r w:rsidRPr="0074694E">
        <w:rPr>
          <w:rFonts w:ascii="Times New Roman" w:hAnsi="Times New Roman"/>
          <w:sz w:val="24"/>
          <w:szCs w:val="24"/>
        </w:rPr>
        <w:t>3</w:t>
      </w:r>
      <w:r w:rsidRPr="0074694E">
        <w:rPr>
          <w:rFonts w:ascii="Times New Roman" w:hAnsi="Times New Roman"/>
          <w:sz w:val="24"/>
          <w:szCs w:val="24"/>
        </w:rPr>
        <w:t>月</w:t>
      </w:r>
      <w:r w:rsidRPr="0074694E">
        <w:rPr>
          <w:rFonts w:ascii="Times New Roman" w:hAnsi="Times New Roman"/>
          <w:sz w:val="24"/>
          <w:szCs w:val="24"/>
        </w:rPr>
        <w:t>24</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1D0036"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27.41%</w:t>
      </w:r>
      <w:r w:rsidRPr="006C56AA">
        <w:rPr>
          <w:color w:val="000000"/>
          <w:sz w:val="24"/>
          <w:szCs w:val="24"/>
        </w:rPr>
        <w:t>，同期业绩比较基准收益率为</w:t>
      </w:r>
      <w:r w:rsidRPr="006C56AA">
        <w:rPr>
          <w:color w:val="000000"/>
          <w:sz w:val="24"/>
          <w:szCs w:val="24"/>
        </w:rPr>
        <w:t>16.42%</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811ED1">
        <w:tc>
          <w:tcPr>
            <w:tcW w:w="567" w:type="dxa"/>
            <w:vAlign w:val="center"/>
          </w:tcPr>
          <w:p w:rsidR="00811ED1" w:rsidRDefault="001D0036">
            <w:pPr>
              <w:jc w:val="center"/>
            </w:pPr>
            <w:r>
              <w:rPr>
                <w:color w:val="000000"/>
                <w:sz w:val="24"/>
              </w:rPr>
              <w:t>李一硕</w:t>
            </w:r>
          </w:p>
        </w:tc>
        <w:tc>
          <w:tcPr>
            <w:tcW w:w="2835" w:type="dxa"/>
            <w:vAlign w:val="center"/>
          </w:tcPr>
          <w:p w:rsidR="00811ED1" w:rsidRDefault="001D0036">
            <w:pPr>
              <w:jc w:val="center"/>
            </w:pPr>
            <w:r>
              <w:rPr>
                <w:color w:val="000000"/>
                <w:sz w:val="24"/>
              </w:rPr>
              <w:t>本基金的基金经理、易方达永旭添利定期开放债券型证券投资基金的基金经理、易方达新享灵活配置混合型证券投资基金的基金经理（自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日）、易方达新利灵活配置混合型证券投资基金的基金经理（自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日）、易方达瑞景灵活配置混合型证券投资基金的基金经理（自</w:t>
            </w:r>
            <w:r>
              <w:rPr>
                <w:color w:val="000000"/>
                <w:sz w:val="24"/>
              </w:rPr>
              <w:t>2016</w:t>
            </w:r>
            <w:r>
              <w:rPr>
                <w:color w:val="000000"/>
                <w:sz w:val="24"/>
              </w:rPr>
              <w:t>年</w:t>
            </w:r>
            <w:r>
              <w:rPr>
                <w:color w:val="000000"/>
                <w:sz w:val="24"/>
              </w:rPr>
              <w:t>08</w:t>
            </w:r>
            <w:r>
              <w:rPr>
                <w:color w:val="000000"/>
                <w:sz w:val="24"/>
              </w:rPr>
              <w:t>月</w:t>
            </w:r>
            <w:r>
              <w:rPr>
                <w:color w:val="000000"/>
                <w:sz w:val="24"/>
              </w:rPr>
              <w:t>06</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日）、易方达年年恒夏纯债一年定期开放债券型发起式证券投资基金的基金经理、易方达聚盈分级债券型发起式证券投资基金的基金经理、易方达恒益定期开放债券型发</w:t>
            </w:r>
            <w:r>
              <w:rPr>
                <w:color w:val="000000"/>
                <w:sz w:val="24"/>
              </w:rPr>
              <w:t>起式证券投资基金的基金经理、易方达恒信定期开放债券型发起式证券投资基金的基金经理、易方达恒惠定期开放债券型发起式证券投资基金的基金经理、易方达富惠纯债债券型证券投资基金的基金经理、易方达纯债</w:t>
            </w:r>
            <w:r>
              <w:rPr>
                <w:color w:val="000000"/>
                <w:sz w:val="24"/>
              </w:rPr>
              <w:t>1</w:t>
            </w:r>
            <w:r>
              <w:rPr>
                <w:color w:val="000000"/>
                <w:sz w:val="24"/>
              </w:rPr>
              <w:t>年定期开放债券型证券投资基金的基金经理、易方达安源中短债债券型证券投资基金的基金经理、易方达裕惠回报定期开放式混合型发起式证券投资基金的基金经理助理、易方达信用债债券型证券投资基金的基金经理助理、易方达中债新综合债券指数发起式证券投资基金</w:t>
            </w:r>
            <w:r>
              <w:rPr>
                <w:color w:val="000000"/>
                <w:sz w:val="24"/>
              </w:rPr>
              <w:t>(LOF)</w:t>
            </w:r>
            <w:r>
              <w:rPr>
                <w:color w:val="000000"/>
                <w:sz w:val="24"/>
              </w:rPr>
              <w:t>的基金经理助理、易方达稳健收益债券型证券投资基金的基金经理助理、易方达丰</w:t>
            </w:r>
            <w:r>
              <w:rPr>
                <w:color w:val="000000"/>
                <w:sz w:val="24"/>
              </w:rPr>
              <w:t>惠混合型证券投资基金的基金经理助理、易方达瑞富灵活配置混合型证券投资基金的基金经理助理、易方达瑞祺灵活配置混合型证券投资基金的基金经理助理、易方达恒益定期开放债券型发起式证券投资基金的基金经理助理（自</w:t>
            </w:r>
            <w:r>
              <w:rPr>
                <w:color w:val="000000"/>
                <w:sz w:val="24"/>
              </w:rPr>
              <w:t>2019</w:t>
            </w:r>
            <w:r>
              <w:rPr>
                <w:color w:val="000000"/>
                <w:sz w:val="24"/>
              </w:rPr>
              <w:t>年</w:t>
            </w:r>
            <w:r>
              <w:rPr>
                <w:color w:val="000000"/>
                <w:sz w:val="24"/>
              </w:rPr>
              <w:t>07</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w:t>
            </w:r>
          </w:p>
        </w:tc>
        <w:tc>
          <w:tcPr>
            <w:tcW w:w="851" w:type="dxa"/>
            <w:vAlign w:val="center"/>
          </w:tcPr>
          <w:p w:rsidR="00811ED1" w:rsidRDefault="001D0036">
            <w:pPr>
              <w:jc w:val="center"/>
            </w:pPr>
            <w:r>
              <w:rPr>
                <w:color w:val="000000"/>
                <w:sz w:val="24"/>
              </w:rPr>
              <w:t>2017-12-30</w:t>
            </w:r>
          </w:p>
        </w:tc>
        <w:tc>
          <w:tcPr>
            <w:tcW w:w="850" w:type="dxa"/>
            <w:vAlign w:val="center"/>
          </w:tcPr>
          <w:p w:rsidR="00811ED1" w:rsidRDefault="001D0036">
            <w:pPr>
              <w:jc w:val="center"/>
            </w:pPr>
            <w:r>
              <w:rPr>
                <w:color w:val="000000"/>
                <w:sz w:val="24"/>
              </w:rPr>
              <w:t>-</w:t>
            </w:r>
          </w:p>
        </w:tc>
        <w:tc>
          <w:tcPr>
            <w:tcW w:w="851" w:type="dxa"/>
            <w:vAlign w:val="center"/>
          </w:tcPr>
          <w:p w:rsidR="00811ED1" w:rsidRDefault="001D0036">
            <w:pPr>
              <w:jc w:val="center"/>
            </w:pPr>
            <w:r>
              <w:rPr>
                <w:color w:val="000000"/>
                <w:sz w:val="24"/>
              </w:rPr>
              <w:t>11</w:t>
            </w:r>
            <w:r>
              <w:rPr>
                <w:color w:val="000000"/>
                <w:sz w:val="24"/>
              </w:rPr>
              <w:t>年</w:t>
            </w:r>
          </w:p>
        </w:tc>
        <w:tc>
          <w:tcPr>
            <w:tcW w:w="2977" w:type="dxa"/>
            <w:vAlign w:val="center"/>
          </w:tcPr>
          <w:p w:rsidR="00811ED1" w:rsidRDefault="001D0036">
            <w:r>
              <w:rPr>
                <w:color w:val="000000"/>
                <w:sz w:val="24"/>
              </w:rPr>
              <w:t>硕士研究生，曾任瑞银证券有限公司研究员，中国国际金融有限公司研究员，易方达基金管理有限公司研究员、易方达新利灵活配置混合型证券投资基金基金经理助理、易方达新享灵活配置混合型证券投资基金基金经理助理、易方达裕如灵活配置混合型证券投资基金基金经理助理、易方达瑞祥灵活配置混合型证券投资基金基金经理助理、易方达瑞兴灵活配置混合型证券投资基金基金经理助理、易方达瑞智灵活配置混合型证券投资基金基金经理助理。</w:t>
            </w:r>
          </w:p>
        </w:tc>
      </w:tr>
    </w:tbl>
    <w:p w:rsidR="00811ED1" w:rsidRDefault="001D0036">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w:t>
      </w:r>
      <w:r>
        <w:rPr>
          <w:color w:val="000000"/>
          <w:sz w:val="24"/>
          <w:szCs w:val="24"/>
        </w:rPr>
        <w:t>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811ED1" w:rsidRDefault="001D0036">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811ED1" w:rsidRDefault="001D0036">
      <w:pPr>
        <w:spacing w:line="360" w:lineRule="auto"/>
        <w:ind w:firstLineChars="200" w:firstLine="480"/>
        <w:rPr>
          <w:color w:val="000000"/>
          <w:sz w:val="24"/>
          <w:szCs w:val="24"/>
        </w:rPr>
      </w:pPr>
      <w:r>
        <w:rPr>
          <w:color w:val="000000"/>
          <w:sz w:val="24"/>
          <w:szCs w:val="24"/>
        </w:rPr>
        <w:t>2019</w:t>
      </w:r>
      <w:r>
        <w:rPr>
          <w:color w:val="000000"/>
          <w:sz w:val="24"/>
          <w:szCs w:val="24"/>
        </w:rPr>
        <w:t>年三季度宏观经济维持相对弱势。在经历了</w:t>
      </w:r>
      <w:r>
        <w:rPr>
          <w:color w:val="000000"/>
          <w:sz w:val="24"/>
          <w:szCs w:val="24"/>
        </w:rPr>
        <w:t>6</w:t>
      </w:r>
      <w:r>
        <w:rPr>
          <w:color w:val="000000"/>
          <w:sz w:val="24"/>
          <w:szCs w:val="24"/>
        </w:rPr>
        <w:t>月份超预期的增长数据后，</w:t>
      </w:r>
      <w:r>
        <w:rPr>
          <w:color w:val="000000"/>
          <w:sz w:val="24"/>
          <w:szCs w:val="24"/>
        </w:rPr>
        <w:t>7-8</w:t>
      </w:r>
      <w:r>
        <w:rPr>
          <w:color w:val="000000"/>
          <w:sz w:val="24"/>
          <w:szCs w:val="24"/>
        </w:rPr>
        <w:t>月大部分经济指标均有所回落，低于市场此前的预计水平。其中</w:t>
      </w:r>
      <w:r>
        <w:rPr>
          <w:color w:val="000000"/>
          <w:sz w:val="24"/>
          <w:szCs w:val="24"/>
        </w:rPr>
        <w:t>7</w:t>
      </w:r>
      <w:r>
        <w:rPr>
          <w:color w:val="000000"/>
          <w:sz w:val="24"/>
          <w:szCs w:val="24"/>
        </w:rPr>
        <w:t>月工业增加值同比增速由</w:t>
      </w:r>
      <w:r>
        <w:rPr>
          <w:color w:val="000000"/>
          <w:sz w:val="24"/>
          <w:szCs w:val="24"/>
        </w:rPr>
        <w:t>6</w:t>
      </w:r>
      <w:r>
        <w:rPr>
          <w:color w:val="000000"/>
          <w:sz w:val="24"/>
          <w:szCs w:val="24"/>
        </w:rPr>
        <w:t>月份的</w:t>
      </w:r>
      <w:r>
        <w:rPr>
          <w:color w:val="000000"/>
          <w:sz w:val="24"/>
          <w:szCs w:val="24"/>
        </w:rPr>
        <w:t>6.3%</w:t>
      </w:r>
      <w:r>
        <w:rPr>
          <w:color w:val="000000"/>
          <w:sz w:val="24"/>
          <w:szCs w:val="24"/>
        </w:rPr>
        <w:t>下降至</w:t>
      </w:r>
      <w:r>
        <w:rPr>
          <w:color w:val="000000"/>
          <w:sz w:val="24"/>
          <w:szCs w:val="24"/>
        </w:rPr>
        <w:t>4.8%</w:t>
      </w:r>
      <w:r>
        <w:rPr>
          <w:color w:val="000000"/>
          <w:sz w:val="24"/>
          <w:szCs w:val="24"/>
        </w:rPr>
        <w:t>，</w:t>
      </w:r>
      <w:r>
        <w:rPr>
          <w:color w:val="000000"/>
          <w:sz w:val="24"/>
          <w:szCs w:val="24"/>
        </w:rPr>
        <w:t>8</w:t>
      </w:r>
      <w:r>
        <w:rPr>
          <w:color w:val="000000"/>
          <w:sz w:val="24"/>
          <w:szCs w:val="24"/>
        </w:rPr>
        <w:t>月份进一步回落至</w:t>
      </w:r>
      <w:r>
        <w:rPr>
          <w:color w:val="000000"/>
          <w:sz w:val="24"/>
          <w:szCs w:val="24"/>
        </w:rPr>
        <w:t>4.4%</w:t>
      </w:r>
      <w:r>
        <w:rPr>
          <w:color w:val="000000"/>
          <w:sz w:val="24"/>
          <w:szCs w:val="24"/>
        </w:rPr>
        <w:t>；</w:t>
      </w:r>
      <w:r>
        <w:rPr>
          <w:color w:val="000000"/>
          <w:sz w:val="24"/>
          <w:szCs w:val="24"/>
        </w:rPr>
        <w:t>7</w:t>
      </w:r>
      <w:r>
        <w:rPr>
          <w:color w:val="000000"/>
          <w:sz w:val="24"/>
          <w:szCs w:val="24"/>
        </w:rPr>
        <w:t>月份社会销售品零售总额同比增长</w:t>
      </w:r>
      <w:r>
        <w:rPr>
          <w:color w:val="000000"/>
          <w:sz w:val="24"/>
          <w:szCs w:val="24"/>
        </w:rPr>
        <w:t>7.6%</w:t>
      </w:r>
      <w:r>
        <w:rPr>
          <w:color w:val="000000"/>
          <w:sz w:val="24"/>
          <w:szCs w:val="24"/>
        </w:rPr>
        <w:t>，增速相较</w:t>
      </w:r>
      <w:r>
        <w:rPr>
          <w:color w:val="000000"/>
          <w:sz w:val="24"/>
          <w:szCs w:val="24"/>
        </w:rPr>
        <w:t>6</w:t>
      </w:r>
      <w:r>
        <w:rPr>
          <w:color w:val="000000"/>
          <w:sz w:val="24"/>
          <w:szCs w:val="24"/>
        </w:rPr>
        <w:t>月份回落</w:t>
      </w:r>
      <w:r>
        <w:rPr>
          <w:color w:val="000000"/>
          <w:sz w:val="24"/>
          <w:szCs w:val="24"/>
        </w:rPr>
        <w:t>2.2</w:t>
      </w:r>
      <w:r>
        <w:rPr>
          <w:color w:val="000000"/>
          <w:sz w:val="24"/>
          <w:szCs w:val="24"/>
        </w:rPr>
        <w:t>个百分点，</w:t>
      </w:r>
      <w:r>
        <w:rPr>
          <w:color w:val="000000"/>
          <w:sz w:val="24"/>
          <w:szCs w:val="24"/>
        </w:rPr>
        <w:t>8</w:t>
      </w:r>
      <w:r>
        <w:rPr>
          <w:color w:val="000000"/>
          <w:sz w:val="24"/>
          <w:szCs w:val="24"/>
        </w:rPr>
        <w:t>月份小幅放缓至</w:t>
      </w:r>
      <w:r>
        <w:rPr>
          <w:color w:val="000000"/>
          <w:sz w:val="24"/>
          <w:szCs w:val="24"/>
        </w:rPr>
        <w:t>7.5%</w:t>
      </w:r>
      <w:r>
        <w:rPr>
          <w:color w:val="000000"/>
          <w:sz w:val="24"/>
          <w:szCs w:val="24"/>
        </w:rPr>
        <w:t>；固定资产投资增速在</w:t>
      </w:r>
      <w:r>
        <w:rPr>
          <w:color w:val="000000"/>
          <w:sz w:val="24"/>
          <w:szCs w:val="24"/>
        </w:rPr>
        <w:t>6</w:t>
      </w:r>
      <w:r>
        <w:rPr>
          <w:color w:val="000000"/>
          <w:sz w:val="24"/>
          <w:szCs w:val="24"/>
        </w:rPr>
        <w:t>月份冲高之后同样连续两个月有所回落。三季度海外主要经济体同样面临经济增速下行的风险，叠加中美贸易谈判继续出现诸多波折，未来全球经济的增速预期仍不明朗。</w:t>
      </w:r>
    </w:p>
    <w:p w:rsidR="00811ED1" w:rsidRDefault="001D0036">
      <w:pPr>
        <w:spacing w:line="360" w:lineRule="auto"/>
        <w:ind w:firstLineChars="200" w:firstLine="480"/>
        <w:rPr>
          <w:color w:val="000000"/>
          <w:sz w:val="24"/>
          <w:szCs w:val="24"/>
        </w:rPr>
      </w:pPr>
      <w:r>
        <w:rPr>
          <w:color w:val="000000"/>
          <w:sz w:val="24"/>
          <w:szCs w:val="24"/>
        </w:rPr>
        <w:t>在宏观基本面不确定性</w:t>
      </w:r>
      <w:r>
        <w:rPr>
          <w:color w:val="000000"/>
          <w:sz w:val="24"/>
          <w:szCs w:val="24"/>
        </w:rPr>
        <w:t>上升的背景下，货币政策宽松的预期增加，海外债券市场收益率不断回落，共同带动三季度我国债券市场收益率总体呈现下行态势。但</w:t>
      </w:r>
      <w:r>
        <w:rPr>
          <w:color w:val="000000"/>
          <w:sz w:val="24"/>
          <w:szCs w:val="24"/>
        </w:rPr>
        <w:t>9</w:t>
      </w:r>
      <w:r>
        <w:rPr>
          <w:color w:val="000000"/>
          <w:sz w:val="24"/>
          <w:szCs w:val="24"/>
        </w:rPr>
        <w:t>月份以来，随着央行全面下调金融机构存款准备金率的政策公布，债券市场收益率开始出现回升，尤其是长端品种调整较为明显。</w:t>
      </w:r>
    </w:p>
    <w:p w:rsidR="00811ED1" w:rsidRDefault="001D0036">
      <w:pPr>
        <w:spacing w:line="360" w:lineRule="auto"/>
        <w:ind w:firstLineChars="200" w:firstLine="480"/>
        <w:rPr>
          <w:color w:val="000000"/>
          <w:sz w:val="24"/>
          <w:szCs w:val="24"/>
        </w:rPr>
      </w:pPr>
      <w:r>
        <w:rPr>
          <w:color w:val="000000"/>
          <w:sz w:val="24"/>
          <w:szCs w:val="24"/>
        </w:rPr>
        <w:t>三季度权益市场维持震荡走势，沪深</w:t>
      </w:r>
      <w:r>
        <w:rPr>
          <w:color w:val="000000"/>
          <w:sz w:val="24"/>
          <w:szCs w:val="24"/>
        </w:rPr>
        <w:t>300</w:t>
      </w:r>
      <w:r>
        <w:rPr>
          <w:color w:val="000000"/>
          <w:sz w:val="24"/>
          <w:szCs w:val="24"/>
        </w:rPr>
        <w:t>指数基本持平，上证指数小幅回落</w:t>
      </w:r>
      <w:r>
        <w:rPr>
          <w:color w:val="000000"/>
          <w:sz w:val="24"/>
          <w:szCs w:val="24"/>
        </w:rPr>
        <w:t>2.47%</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操作上，三季度债券部分维持了较高的组合流动性，权益部分持仓以盈利基本面较好的价值型股票为主。</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1.105</w:t>
      </w:r>
      <w:r w:rsidRPr="006C56AA">
        <w:rPr>
          <w:color w:val="000000"/>
          <w:sz w:val="24"/>
          <w:szCs w:val="24"/>
        </w:rPr>
        <w:t>元，本报告期份额净值增长率为</w:t>
      </w:r>
      <w:r w:rsidRPr="006C56AA">
        <w:rPr>
          <w:color w:val="000000"/>
          <w:sz w:val="24"/>
          <w:szCs w:val="24"/>
        </w:rPr>
        <w:t>1.01%</w:t>
      </w:r>
      <w:r w:rsidRPr="006C56AA">
        <w:rPr>
          <w:color w:val="000000"/>
          <w:sz w:val="24"/>
          <w:szCs w:val="24"/>
        </w:rPr>
        <w:t>，同期业绩比较基准收益率为</w:t>
      </w:r>
      <w:r w:rsidRPr="006C56AA">
        <w:rPr>
          <w:color w:val="000000"/>
          <w:sz w:val="24"/>
          <w:szCs w:val="24"/>
        </w:rPr>
        <w:t>0.89%</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74,238,958.35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10.62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74,238,958.35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10.62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584,826,945.90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83.69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574,814,945.90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82.26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10,012,000.00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1.43</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19,980,229.97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2.86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5,582,863.40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0.80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14,145,723.97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2.02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698,774,721.59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6,732,361.00</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1.12</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26,114,691.44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3,775,205.28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0.63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3,464,038.40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0.58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4,432,320.75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0.74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434,672.24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28,920,689.24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4.81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364,980.00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74,238,958.35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12.35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811ED1">
        <w:tc>
          <w:tcPr>
            <w:tcW w:w="851" w:type="dxa"/>
            <w:vAlign w:val="center"/>
          </w:tcPr>
          <w:p w:rsidR="00811ED1" w:rsidRDefault="001D0036">
            <w:pPr>
              <w:jc w:val="center"/>
            </w:pPr>
            <w:r>
              <w:rPr>
                <w:color w:val="000000"/>
                <w:kern w:val="0"/>
                <w:sz w:val="24"/>
                <w:szCs w:val="24"/>
              </w:rPr>
              <w:t>1</w:t>
            </w:r>
          </w:p>
        </w:tc>
        <w:tc>
          <w:tcPr>
            <w:tcW w:w="1276" w:type="dxa"/>
            <w:vAlign w:val="center"/>
          </w:tcPr>
          <w:p w:rsidR="00811ED1" w:rsidRDefault="001D0036">
            <w:pPr>
              <w:jc w:val="center"/>
            </w:pPr>
            <w:r>
              <w:rPr>
                <w:color w:val="000000"/>
                <w:kern w:val="0"/>
                <w:sz w:val="24"/>
                <w:szCs w:val="24"/>
              </w:rPr>
              <w:t>601328</w:t>
            </w:r>
          </w:p>
        </w:tc>
        <w:tc>
          <w:tcPr>
            <w:tcW w:w="1418" w:type="dxa"/>
            <w:vAlign w:val="center"/>
          </w:tcPr>
          <w:p w:rsidR="00811ED1" w:rsidRDefault="001D0036">
            <w:pPr>
              <w:jc w:val="center"/>
            </w:pPr>
            <w:r>
              <w:rPr>
                <w:color w:val="000000"/>
                <w:kern w:val="0"/>
                <w:sz w:val="24"/>
                <w:szCs w:val="24"/>
              </w:rPr>
              <w:t>交通银行</w:t>
            </w:r>
          </w:p>
        </w:tc>
        <w:tc>
          <w:tcPr>
            <w:tcW w:w="1701" w:type="dxa"/>
            <w:vAlign w:val="center"/>
          </w:tcPr>
          <w:p w:rsidR="00811ED1" w:rsidRDefault="001D0036">
            <w:pPr>
              <w:jc w:val="right"/>
            </w:pPr>
            <w:r>
              <w:rPr>
                <w:color w:val="000000"/>
                <w:kern w:val="0"/>
                <w:sz w:val="24"/>
                <w:szCs w:val="24"/>
              </w:rPr>
              <w:t>1,819,700</w:t>
            </w:r>
          </w:p>
        </w:tc>
        <w:tc>
          <w:tcPr>
            <w:tcW w:w="1984" w:type="dxa"/>
            <w:vAlign w:val="center"/>
          </w:tcPr>
          <w:p w:rsidR="00811ED1" w:rsidRDefault="001D0036">
            <w:pPr>
              <w:jc w:val="right"/>
            </w:pPr>
            <w:r>
              <w:rPr>
                <w:color w:val="000000"/>
                <w:kern w:val="0"/>
                <w:sz w:val="24"/>
                <w:szCs w:val="24"/>
              </w:rPr>
              <w:t>9,917,365.00</w:t>
            </w:r>
          </w:p>
        </w:tc>
        <w:tc>
          <w:tcPr>
            <w:tcW w:w="1559" w:type="dxa"/>
            <w:vAlign w:val="center"/>
          </w:tcPr>
          <w:p w:rsidR="00811ED1" w:rsidRDefault="001D0036">
            <w:pPr>
              <w:jc w:val="right"/>
            </w:pPr>
            <w:r>
              <w:rPr>
                <w:color w:val="000000"/>
                <w:kern w:val="0"/>
                <w:sz w:val="24"/>
                <w:szCs w:val="24"/>
              </w:rPr>
              <w:t>1.65</w:t>
            </w:r>
          </w:p>
        </w:tc>
      </w:tr>
      <w:tr w:rsidR="00811ED1">
        <w:tc>
          <w:tcPr>
            <w:tcW w:w="851" w:type="dxa"/>
            <w:vAlign w:val="center"/>
          </w:tcPr>
          <w:p w:rsidR="00811ED1" w:rsidRDefault="001D0036">
            <w:pPr>
              <w:jc w:val="center"/>
            </w:pPr>
            <w:r>
              <w:rPr>
                <w:color w:val="000000"/>
                <w:kern w:val="0"/>
                <w:sz w:val="24"/>
                <w:szCs w:val="24"/>
              </w:rPr>
              <w:t>2</w:t>
            </w:r>
          </w:p>
        </w:tc>
        <w:tc>
          <w:tcPr>
            <w:tcW w:w="1276" w:type="dxa"/>
            <w:vAlign w:val="center"/>
          </w:tcPr>
          <w:p w:rsidR="00811ED1" w:rsidRDefault="001D0036">
            <w:pPr>
              <w:jc w:val="center"/>
            </w:pPr>
            <w:r>
              <w:rPr>
                <w:color w:val="000000"/>
                <w:kern w:val="0"/>
                <w:sz w:val="24"/>
                <w:szCs w:val="24"/>
              </w:rPr>
              <w:t>601398</w:t>
            </w:r>
          </w:p>
        </w:tc>
        <w:tc>
          <w:tcPr>
            <w:tcW w:w="1418" w:type="dxa"/>
            <w:vAlign w:val="center"/>
          </w:tcPr>
          <w:p w:rsidR="00811ED1" w:rsidRDefault="001D0036">
            <w:pPr>
              <w:jc w:val="center"/>
            </w:pPr>
            <w:r>
              <w:rPr>
                <w:color w:val="000000"/>
                <w:kern w:val="0"/>
                <w:sz w:val="24"/>
                <w:szCs w:val="24"/>
              </w:rPr>
              <w:t>工商银行</w:t>
            </w:r>
          </w:p>
        </w:tc>
        <w:tc>
          <w:tcPr>
            <w:tcW w:w="1701" w:type="dxa"/>
            <w:vAlign w:val="center"/>
          </w:tcPr>
          <w:p w:rsidR="00811ED1" w:rsidRDefault="001D0036">
            <w:pPr>
              <w:jc w:val="right"/>
            </w:pPr>
            <w:r>
              <w:rPr>
                <w:color w:val="000000"/>
                <w:kern w:val="0"/>
                <w:sz w:val="24"/>
                <w:szCs w:val="24"/>
              </w:rPr>
              <w:t>1,420,800</w:t>
            </w:r>
          </w:p>
        </w:tc>
        <w:tc>
          <w:tcPr>
            <w:tcW w:w="1984" w:type="dxa"/>
            <w:vAlign w:val="center"/>
          </w:tcPr>
          <w:p w:rsidR="00811ED1" w:rsidRDefault="001D0036">
            <w:pPr>
              <w:jc w:val="right"/>
            </w:pPr>
            <w:r>
              <w:rPr>
                <w:color w:val="000000"/>
                <w:kern w:val="0"/>
                <w:sz w:val="24"/>
                <w:szCs w:val="24"/>
              </w:rPr>
              <w:t>7,857,024.00</w:t>
            </w:r>
          </w:p>
        </w:tc>
        <w:tc>
          <w:tcPr>
            <w:tcW w:w="1559" w:type="dxa"/>
            <w:vAlign w:val="center"/>
          </w:tcPr>
          <w:p w:rsidR="00811ED1" w:rsidRDefault="001D0036">
            <w:pPr>
              <w:jc w:val="right"/>
            </w:pPr>
            <w:r>
              <w:rPr>
                <w:color w:val="000000"/>
                <w:kern w:val="0"/>
                <w:sz w:val="24"/>
                <w:szCs w:val="24"/>
              </w:rPr>
              <w:t>1.31</w:t>
            </w:r>
          </w:p>
        </w:tc>
      </w:tr>
      <w:tr w:rsidR="00811ED1">
        <w:tc>
          <w:tcPr>
            <w:tcW w:w="851" w:type="dxa"/>
            <w:vAlign w:val="center"/>
          </w:tcPr>
          <w:p w:rsidR="00811ED1" w:rsidRDefault="001D0036">
            <w:pPr>
              <w:jc w:val="center"/>
            </w:pPr>
            <w:r>
              <w:rPr>
                <w:color w:val="000000"/>
                <w:kern w:val="0"/>
                <w:sz w:val="24"/>
                <w:szCs w:val="24"/>
              </w:rPr>
              <w:t>3</w:t>
            </w:r>
          </w:p>
        </w:tc>
        <w:tc>
          <w:tcPr>
            <w:tcW w:w="1276" w:type="dxa"/>
            <w:vAlign w:val="center"/>
          </w:tcPr>
          <w:p w:rsidR="00811ED1" w:rsidRDefault="001D0036">
            <w:pPr>
              <w:jc w:val="center"/>
            </w:pPr>
            <w:r>
              <w:rPr>
                <w:color w:val="000000"/>
                <w:kern w:val="0"/>
                <w:sz w:val="24"/>
                <w:szCs w:val="24"/>
              </w:rPr>
              <w:t>603806</w:t>
            </w:r>
          </w:p>
        </w:tc>
        <w:tc>
          <w:tcPr>
            <w:tcW w:w="1418" w:type="dxa"/>
            <w:vAlign w:val="center"/>
          </w:tcPr>
          <w:p w:rsidR="00811ED1" w:rsidRDefault="001D0036">
            <w:pPr>
              <w:jc w:val="center"/>
            </w:pPr>
            <w:r>
              <w:rPr>
                <w:color w:val="000000"/>
                <w:kern w:val="0"/>
                <w:sz w:val="24"/>
                <w:szCs w:val="24"/>
              </w:rPr>
              <w:t>福斯特</w:t>
            </w:r>
          </w:p>
        </w:tc>
        <w:tc>
          <w:tcPr>
            <w:tcW w:w="1701" w:type="dxa"/>
            <w:vAlign w:val="center"/>
          </w:tcPr>
          <w:p w:rsidR="00811ED1" w:rsidRDefault="001D0036">
            <w:pPr>
              <w:jc w:val="right"/>
            </w:pPr>
            <w:r>
              <w:rPr>
                <w:color w:val="000000"/>
                <w:kern w:val="0"/>
                <w:sz w:val="24"/>
                <w:szCs w:val="24"/>
              </w:rPr>
              <w:t>130,617</w:t>
            </w:r>
          </w:p>
        </w:tc>
        <w:tc>
          <w:tcPr>
            <w:tcW w:w="1984" w:type="dxa"/>
            <w:vAlign w:val="center"/>
          </w:tcPr>
          <w:p w:rsidR="00811ED1" w:rsidRDefault="001D0036">
            <w:pPr>
              <w:jc w:val="right"/>
            </w:pPr>
            <w:r>
              <w:rPr>
                <w:color w:val="000000"/>
                <w:kern w:val="0"/>
                <w:sz w:val="24"/>
                <w:szCs w:val="24"/>
              </w:rPr>
              <w:t>5,930,011.80</w:t>
            </w:r>
          </w:p>
        </w:tc>
        <w:tc>
          <w:tcPr>
            <w:tcW w:w="1559" w:type="dxa"/>
            <w:vAlign w:val="center"/>
          </w:tcPr>
          <w:p w:rsidR="00811ED1" w:rsidRDefault="001D0036">
            <w:pPr>
              <w:jc w:val="right"/>
            </w:pPr>
            <w:r>
              <w:rPr>
                <w:color w:val="000000"/>
                <w:kern w:val="0"/>
                <w:sz w:val="24"/>
                <w:szCs w:val="24"/>
              </w:rPr>
              <w:t>0.99</w:t>
            </w:r>
          </w:p>
        </w:tc>
      </w:tr>
      <w:tr w:rsidR="00811ED1">
        <w:tc>
          <w:tcPr>
            <w:tcW w:w="851" w:type="dxa"/>
            <w:vAlign w:val="center"/>
          </w:tcPr>
          <w:p w:rsidR="00811ED1" w:rsidRDefault="001D0036">
            <w:pPr>
              <w:jc w:val="center"/>
            </w:pPr>
            <w:r>
              <w:rPr>
                <w:color w:val="000000"/>
                <w:kern w:val="0"/>
                <w:sz w:val="24"/>
                <w:szCs w:val="24"/>
              </w:rPr>
              <w:t>4</w:t>
            </w:r>
          </w:p>
        </w:tc>
        <w:tc>
          <w:tcPr>
            <w:tcW w:w="1276" w:type="dxa"/>
            <w:vAlign w:val="center"/>
          </w:tcPr>
          <w:p w:rsidR="00811ED1" w:rsidRDefault="001D0036">
            <w:pPr>
              <w:jc w:val="center"/>
            </w:pPr>
            <w:r>
              <w:rPr>
                <w:color w:val="000000"/>
                <w:kern w:val="0"/>
                <w:sz w:val="24"/>
                <w:szCs w:val="24"/>
              </w:rPr>
              <w:t>601318</w:t>
            </w:r>
          </w:p>
        </w:tc>
        <w:tc>
          <w:tcPr>
            <w:tcW w:w="1418" w:type="dxa"/>
            <w:vAlign w:val="center"/>
          </w:tcPr>
          <w:p w:rsidR="00811ED1" w:rsidRDefault="001D0036">
            <w:pPr>
              <w:jc w:val="center"/>
            </w:pPr>
            <w:r>
              <w:rPr>
                <w:color w:val="000000"/>
                <w:kern w:val="0"/>
                <w:sz w:val="24"/>
                <w:szCs w:val="24"/>
              </w:rPr>
              <w:t>中国平安</w:t>
            </w:r>
          </w:p>
        </w:tc>
        <w:tc>
          <w:tcPr>
            <w:tcW w:w="1701" w:type="dxa"/>
            <w:vAlign w:val="center"/>
          </w:tcPr>
          <w:p w:rsidR="00811ED1" w:rsidRDefault="001D0036">
            <w:pPr>
              <w:jc w:val="right"/>
            </w:pPr>
            <w:r>
              <w:rPr>
                <w:color w:val="000000"/>
                <w:kern w:val="0"/>
                <w:sz w:val="24"/>
                <w:szCs w:val="24"/>
              </w:rPr>
              <w:t>66,600</w:t>
            </w:r>
          </w:p>
        </w:tc>
        <w:tc>
          <w:tcPr>
            <w:tcW w:w="1984" w:type="dxa"/>
            <w:vAlign w:val="center"/>
          </w:tcPr>
          <w:p w:rsidR="00811ED1" w:rsidRDefault="001D0036">
            <w:pPr>
              <w:jc w:val="right"/>
            </w:pPr>
            <w:r>
              <w:rPr>
                <w:color w:val="000000"/>
                <w:kern w:val="0"/>
                <w:sz w:val="24"/>
                <w:szCs w:val="24"/>
              </w:rPr>
              <w:t>5,796,864.00</w:t>
            </w:r>
          </w:p>
        </w:tc>
        <w:tc>
          <w:tcPr>
            <w:tcW w:w="1559" w:type="dxa"/>
            <w:vAlign w:val="center"/>
          </w:tcPr>
          <w:p w:rsidR="00811ED1" w:rsidRDefault="001D0036">
            <w:pPr>
              <w:jc w:val="right"/>
            </w:pPr>
            <w:r>
              <w:rPr>
                <w:color w:val="000000"/>
                <w:kern w:val="0"/>
                <w:sz w:val="24"/>
                <w:szCs w:val="24"/>
              </w:rPr>
              <w:t>0.96</w:t>
            </w:r>
          </w:p>
        </w:tc>
      </w:tr>
      <w:tr w:rsidR="00811ED1">
        <w:tc>
          <w:tcPr>
            <w:tcW w:w="851" w:type="dxa"/>
            <w:vAlign w:val="center"/>
          </w:tcPr>
          <w:p w:rsidR="00811ED1" w:rsidRDefault="001D0036">
            <w:pPr>
              <w:jc w:val="center"/>
            </w:pPr>
            <w:r>
              <w:rPr>
                <w:color w:val="000000"/>
                <w:kern w:val="0"/>
                <w:sz w:val="24"/>
                <w:szCs w:val="24"/>
              </w:rPr>
              <w:t>5</w:t>
            </w:r>
          </w:p>
        </w:tc>
        <w:tc>
          <w:tcPr>
            <w:tcW w:w="1276" w:type="dxa"/>
            <w:vAlign w:val="center"/>
          </w:tcPr>
          <w:p w:rsidR="00811ED1" w:rsidRDefault="001D0036">
            <w:pPr>
              <w:jc w:val="center"/>
            </w:pPr>
            <w:r>
              <w:rPr>
                <w:color w:val="000000"/>
                <w:kern w:val="0"/>
                <w:sz w:val="24"/>
                <w:szCs w:val="24"/>
              </w:rPr>
              <w:t>600028</w:t>
            </w:r>
          </w:p>
        </w:tc>
        <w:tc>
          <w:tcPr>
            <w:tcW w:w="1418" w:type="dxa"/>
            <w:vAlign w:val="center"/>
          </w:tcPr>
          <w:p w:rsidR="00811ED1" w:rsidRDefault="001D0036">
            <w:pPr>
              <w:jc w:val="center"/>
            </w:pPr>
            <w:r>
              <w:rPr>
                <w:color w:val="000000"/>
                <w:kern w:val="0"/>
                <w:sz w:val="24"/>
                <w:szCs w:val="24"/>
              </w:rPr>
              <w:t>中国石化</w:t>
            </w:r>
          </w:p>
        </w:tc>
        <w:tc>
          <w:tcPr>
            <w:tcW w:w="1701" w:type="dxa"/>
            <w:vAlign w:val="center"/>
          </w:tcPr>
          <w:p w:rsidR="00811ED1" w:rsidRDefault="001D0036">
            <w:pPr>
              <w:jc w:val="right"/>
            </w:pPr>
            <w:r>
              <w:rPr>
                <w:color w:val="000000"/>
                <w:kern w:val="0"/>
                <w:sz w:val="24"/>
                <w:szCs w:val="24"/>
              </w:rPr>
              <w:t>1,105,000</w:t>
            </w:r>
          </w:p>
        </w:tc>
        <w:tc>
          <w:tcPr>
            <w:tcW w:w="1984" w:type="dxa"/>
            <w:vAlign w:val="center"/>
          </w:tcPr>
          <w:p w:rsidR="00811ED1" w:rsidRDefault="001D0036">
            <w:pPr>
              <w:jc w:val="right"/>
            </w:pPr>
            <w:r>
              <w:rPr>
                <w:color w:val="000000"/>
                <w:kern w:val="0"/>
                <w:sz w:val="24"/>
                <w:szCs w:val="24"/>
              </w:rPr>
              <w:t>5,547,100.00</w:t>
            </w:r>
          </w:p>
        </w:tc>
        <w:tc>
          <w:tcPr>
            <w:tcW w:w="1559" w:type="dxa"/>
            <w:vAlign w:val="center"/>
          </w:tcPr>
          <w:p w:rsidR="00811ED1" w:rsidRDefault="001D0036">
            <w:pPr>
              <w:jc w:val="right"/>
            </w:pPr>
            <w:r>
              <w:rPr>
                <w:color w:val="000000"/>
                <w:kern w:val="0"/>
                <w:sz w:val="24"/>
                <w:szCs w:val="24"/>
              </w:rPr>
              <w:t>0.92</w:t>
            </w:r>
          </w:p>
        </w:tc>
      </w:tr>
      <w:tr w:rsidR="00811ED1">
        <w:tc>
          <w:tcPr>
            <w:tcW w:w="851" w:type="dxa"/>
            <w:vAlign w:val="center"/>
          </w:tcPr>
          <w:p w:rsidR="00811ED1" w:rsidRDefault="001D0036">
            <w:pPr>
              <w:jc w:val="center"/>
            </w:pPr>
            <w:r>
              <w:rPr>
                <w:color w:val="000000"/>
                <w:kern w:val="0"/>
                <w:sz w:val="24"/>
                <w:szCs w:val="24"/>
              </w:rPr>
              <w:t>6</w:t>
            </w:r>
          </w:p>
        </w:tc>
        <w:tc>
          <w:tcPr>
            <w:tcW w:w="1276" w:type="dxa"/>
            <w:vAlign w:val="center"/>
          </w:tcPr>
          <w:p w:rsidR="00811ED1" w:rsidRDefault="001D0036">
            <w:pPr>
              <w:jc w:val="center"/>
            </w:pPr>
            <w:r>
              <w:rPr>
                <w:color w:val="000000"/>
                <w:kern w:val="0"/>
                <w:sz w:val="24"/>
                <w:szCs w:val="24"/>
              </w:rPr>
              <w:t>600585</w:t>
            </w:r>
          </w:p>
        </w:tc>
        <w:tc>
          <w:tcPr>
            <w:tcW w:w="1418" w:type="dxa"/>
            <w:vAlign w:val="center"/>
          </w:tcPr>
          <w:p w:rsidR="00811ED1" w:rsidRDefault="001D0036">
            <w:pPr>
              <w:jc w:val="center"/>
            </w:pPr>
            <w:r>
              <w:rPr>
                <w:color w:val="000000"/>
                <w:kern w:val="0"/>
                <w:sz w:val="24"/>
                <w:szCs w:val="24"/>
              </w:rPr>
              <w:t>海螺水泥</w:t>
            </w:r>
          </w:p>
        </w:tc>
        <w:tc>
          <w:tcPr>
            <w:tcW w:w="1701" w:type="dxa"/>
            <w:vAlign w:val="center"/>
          </w:tcPr>
          <w:p w:rsidR="00811ED1" w:rsidRDefault="001D0036">
            <w:pPr>
              <w:jc w:val="right"/>
            </w:pPr>
            <w:r>
              <w:rPr>
                <w:color w:val="000000"/>
                <w:kern w:val="0"/>
                <w:sz w:val="24"/>
                <w:szCs w:val="24"/>
              </w:rPr>
              <w:t>115,600</w:t>
            </w:r>
          </w:p>
        </w:tc>
        <w:tc>
          <w:tcPr>
            <w:tcW w:w="1984" w:type="dxa"/>
            <w:vAlign w:val="center"/>
          </w:tcPr>
          <w:p w:rsidR="00811ED1" w:rsidRDefault="001D0036">
            <w:pPr>
              <w:jc w:val="right"/>
            </w:pPr>
            <w:r>
              <w:rPr>
                <w:color w:val="000000"/>
                <w:kern w:val="0"/>
                <w:sz w:val="24"/>
                <w:szCs w:val="24"/>
              </w:rPr>
              <w:t>4,778,904.00</w:t>
            </w:r>
          </w:p>
        </w:tc>
        <w:tc>
          <w:tcPr>
            <w:tcW w:w="1559" w:type="dxa"/>
            <w:vAlign w:val="center"/>
          </w:tcPr>
          <w:p w:rsidR="00811ED1" w:rsidRDefault="001D0036">
            <w:pPr>
              <w:jc w:val="right"/>
            </w:pPr>
            <w:r>
              <w:rPr>
                <w:color w:val="000000"/>
                <w:kern w:val="0"/>
                <w:sz w:val="24"/>
                <w:szCs w:val="24"/>
              </w:rPr>
              <w:t>0.80</w:t>
            </w:r>
          </w:p>
        </w:tc>
      </w:tr>
      <w:tr w:rsidR="00811ED1">
        <w:tc>
          <w:tcPr>
            <w:tcW w:w="851" w:type="dxa"/>
            <w:vAlign w:val="center"/>
          </w:tcPr>
          <w:p w:rsidR="00811ED1" w:rsidRDefault="001D0036">
            <w:pPr>
              <w:jc w:val="center"/>
            </w:pPr>
            <w:r>
              <w:rPr>
                <w:color w:val="000000"/>
                <w:kern w:val="0"/>
                <w:sz w:val="24"/>
                <w:szCs w:val="24"/>
              </w:rPr>
              <w:t>7</w:t>
            </w:r>
          </w:p>
        </w:tc>
        <w:tc>
          <w:tcPr>
            <w:tcW w:w="1276" w:type="dxa"/>
            <w:vAlign w:val="center"/>
          </w:tcPr>
          <w:p w:rsidR="00811ED1" w:rsidRDefault="001D0036">
            <w:pPr>
              <w:jc w:val="center"/>
            </w:pPr>
            <w:r>
              <w:rPr>
                <w:color w:val="000000"/>
                <w:kern w:val="0"/>
                <w:sz w:val="24"/>
                <w:szCs w:val="24"/>
              </w:rPr>
              <w:t>600029</w:t>
            </w:r>
          </w:p>
        </w:tc>
        <w:tc>
          <w:tcPr>
            <w:tcW w:w="1418" w:type="dxa"/>
            <w:vAlign w:val="center"/>
          </w:tcPr>
          <w:p w:rsidR="00811ED1" w:rsidRDefault="001D0036">
            <w:pPr>
              <w:jc w:val="center"/>
            </w:pPr>
            <w:r>
              <w:rPr>
                <w:color w:val="000000"/>
                <w:kern w:val="0"/>
                <w:sz w:val="24"/>
                <w:szCs w:val="24"/>
              </w:rPr>
              <w:t>南方航空</w:t>
            </w:r>
          </w:p>
        </w:tc>
        <w:tc>
          <w:tcPr>
            <w:tcW w:w="1701" w:type="dxa"/>
            <w:vAlign w:val="center"/>
          </w:tcPr>
          <w:p w:rsidR="00811ED1" w:rsidRDefault="001D0036">
            <w:pPr>
              <w:jc w:val="right"/>
            </w:pPr>
            <w:r>
              <w:rPr>
                <w:color w:val="000000"/>
                <w:kern w:val="0"/>
                <w:sz w:val="24"/>
                <w:szCs w:val="24"/>
              </w:rPr>
              <w:t>668,525</w:t>
            </w:r>
          </w:p>
        </w:tc>
        <w:tc>
          <w:tcPr>
            <w:tcW w:w="1984" w:type="dxa"/>
            <w:vAlign w:val="center"/>
          </w:tcPr>
          <w:p w:rsidR="00811ED1" w:rsidRDefault="001D0036">
            <w:pPr>
              <w:jc w:val="right"/>
            </w:pPr>
            <w:r>
              <w:rPr>
                <w:color w:val="000000"/>
                <w:kern w:val="0"/>
                <w:sz w:val="24"/>
                <w:szCs w:val="24"/>
              </w:rPr>
              <w:t>4,432,320.75</w:t>
            </w:r>
          </w:p>
        </w:tc>
        <w:tc>
          <w:tcPr>
            <w:tcW w:w="1559" w:type="dxa"/>
            <w:vAlign w:val="center"/>
          </w:tcPr>
          <w:p w:rsidR="00811ED1" w:rsidRDefault="001D0036">
            <w:pPr>
              <w:jc w:val="right"/>
            </w:pPr>
            <w:r>
              <w:rPr>
                <w:color w:val="000000"/>
                <w:kern w:val="0"/>
                <w:sz w:val="24"/>
                <w:szCs w:val="24"/>
              </w:rPr>
              <w:t>0.74</w:t>
            </w:r>
          </w:p>
        </w:tc>
      </w:tr>
      <w:tr w:rsidR="00811ED1">
        <w:tc>
          <w:tcPr>
            <w:tcW w:w="851" w:type="dxa"/>
            <w:vAlign w:val="center"/>
          </w:tcPr>
          <w:p w:rsidR="00811ED1" w:rsidRDefault="001D0036">
            <w:pPr>
              <w:jc w:val="center"/>
            </w:pPr>
            <w:r>
              <w:rPr>
                <w:color w:val="000000"/>
                <w:kern w:val="0"/>
                <w:sz w:val="24"/>
                <w:szCs w:val="24"/>
              </w:rPr>
              <w:t>8</w:t>
            </w:r>
          </w:p>
        </w:tc>
        <w:tc>
          <w:tcPr>
            <w:tcW w:w="1276" w:type="dxa"/>
            <w:vAlign w:val="center"/>
          </w:tcPr>
          <w:p w:rsidR="00811ED1" w:rsidRDefault="001D0036">
            <w:pPr>
              <w:jc w:val="center"/>
            </w:pPr>
            <w:r>
              <w:rPr>
                <w:color w:val="000000"/>
                <w:kern w:val="0"/>
                <w:sz w:val="24"/>
                <w:szCs w:val="24"/>
              </w:rPr>
              <w:t>601117</w:t>
            </w:r>
          </w:p>
        </w:tc>
        <w:tc>
          <w:tcPr>
            <w:tcW w:w="1418" w:type="dxa"/>
            <w:vAlign w:val="center"/>
          </w:tcPr>
          <w:p w:rsidR="00811ED1" w:rsidRDefault="001D0036">
            <w:pPr>
              <w:jc w:val="center"/>
            </w:pPr>
            <w:r>
              <w:rPr>
                <w:color w:val="000000"/>
                <w:kern w:val="0"/>
                <w:sz w:val="24"/>
                <w:szCs w:val="24"/>
              </w:rPr>
              <w:t>中国化学</w:t>
            </w:r>
          </w:p>
        </w:tc>
        <w:tc>
          <w:tcPr>
            <w:tcW w:w="1701" w:type="dxa"/>
            <w:vAlign w:val="center"/>
          </w:tcPr>
          <w:p w:rsidR="00811ED1" w:rsidRDefault="001D0036">
            <w:pPr>
              <w:jc w:val="right"/>
            </w:pPr>
            <w:r>
              <w:rPr>
                <w:color w:val="000000"/>
                <w:kern w:val="0"/>
                <w:sz w:val="24"/>
                <w:szCs w:val="24"/>
              </w:rPr>
              <w:t>597,248</w:t>
            </w:r>
          </w:p>
        </w:tc>
        <w:tc>
          <w:tcPr>
            <w:tcW w:w="1984" w:type="dxa"/>
            <w:vAlign w:val="center"/>
          </w:tcPr>
          <w:p w:rsidR="00811ED1" w:rsidRDefault="001D0036">
            <w:pPr>
              <w:jc w:val="right"/>
            </w:pPr>
            <w:r>
              <w:rPr>
                <w:color w:val="000000"/>
                <w:kern w:val="0"/>
                <w:sz w:val="24"/>
                <w:szCs w:val="24"/>
              </w:rPr>
              <w:t>3,464,038.40</w:t>
            </w:r>
          </w:p>
        </w:tc>
        <w:tc>
          <w:tcPr>
            <w:tcW w:w="1559" w:type="dxa"/>
            <w:vAlign w:val="center"/>
          </w:tcPr>
          <w:p w:rsidR="00811ED1" w:rsidRDefault="001D0036">
            <w:pPr>
              <w:jc w:val="right"/>
            </w:pPr>
            <w:r>
              <w:rPr>
                <w:color w:val="000000"/>
                <w:kern w:val="0"/>
                <w:sz w:val="24"/>
                <w:szCs w:val="24"/>
              </w:rPr>
              <w:t>0.58</w:t>
            </w:r>
          </w:p>
        </w:tc>
      </w:tr>
      <w:tr w:rsidR="00811ED1">
        <w:tc>
          <w:tcPr>
            <w:tcW w:w="851" w:type="dxa"/>
            <w:vAlign w:val="center"/>
          </w:tcPr>
          <w:p w:rsidR="00811ED1" w:rsidRDefault="001D0036">
            <w:pPr>
              <w:jc w:val="center"/>
            </w:pPr>
            <w:r>
              <w:rPr>
                <w:color w:val="000000"/>
                <w:kern w:val="0"/>
                <w:sz w:val="24"/>
                <w:szCs w:val="24"/>
              </w:rPr>
              <w:t>9</w:t>
            </w:r>
          </w:p>
        </w:tc>
        <w:tc>
          <w:tcPr>
            <w:tcW w:w="1276" w:type="dxa"/>
            <w:vAlign w:val="center"/>
          </w:tcPr>
          <w:p w:rsidR="00811ED1" w:rsidRDefault="001D0036">
            <w:pPr>
              <w:jc w:val="center"/>
            </w:pPr>
            <w:r>
              <w:rPr>
                <w:color w:val="000000"/>
                <w:kern w:val="0"/>
                <w:sz w:val="24"/>
                <w:szCs w:val="24"/>
              </w:rPr>
              <w:t>000001</w:t>
            </w:r>
          </w:p>
        </w:tc>
        <w:tc>
          <w:tcPr>
            <w:tcW w:w="1418" w:type="dxa"/>
            <w:vAlign w:val="center"/>
          </w:tcPr>
          <w:p w:rsidR="00811ED1" w:rsidRDefault="001D0036">
            <w:pPr>
              <w:jc w:val="center"/>
            </w:pPr>
            <w:r>
              <w:rPr>
                <w:color w:val="000000"/>
                <w:kern w:val="0"/>
                <w:sz w:val="24"/>
                <w:szCs w:val="24"/>
              </w:rPr>
              <w:t>平安银行</w:t>
            </w:r>
          </w:p>
        </w:tc>
        <w:tc>
          <w:tcPr>
            <w:tcW w:w="1701" w:type="dxa"/>
            <w:vAlign w:val="center"/>
          </w:tcPr>
          <w:p w:rsidR="00811ED1" w:rsidRDefault="001D0036">
            <w:pPr>
              <w:jc w:val="right"/>
            </w:pPr>
            <w:r>
              <w:rPr>
                <w:color w:val="000000"/>
                <w:kern w:val="0"/>
                <w:sz w:val="24"/>
                <w:szCs w:val="24"/>
              </w:rPr>
              <w:t>204,400</w:t>
            </w:r>
          </w:p>
        </w:tc>
        <w:tc>
          <w:tcPr>
            <w:tcW w:w="1984" w:type="dxa"/>
            <w:vAlign w:val="center"/>
          </w:tcPr>
          <w:p w:rsidR="00811ED1" w:rsidRDefault="001D0036">
            <w:pPr>
              <w:jc w:val="right"/>
            </w:pPr>
            <w:r>
              <w:rPr>
                <w:color w:val="000000"/>
                <w:kern w:val="0"/>
                <w:sz w:val="24"/>
                <w:szCs w:val="24"/>
              </w:rPr>
              <w:t>3,186,596.00</w:t>
            </w:r>
          </w:p>
        </w:tc>
        <w:tc>
          <w:tcPr>
            <w:tcW w:w="1559" w:type="dxa"/>
            <w:vAlign w:val="center"/>
          </w:tcPr>
          <w:p w:rsidR="00811ED1" w:rsidRDefault="001D0036">
            <w:pPr>
              <w:jc w:val="right"/>
            </w:pPr>
            <w:r>
              <w:rPr>
                <w:color w:val="000000"/>
                <w:kern w:val="0"/>
                <w:sz w:val="24"/>
                <w:szCs w:val="24"/>
              </w:rPr>
              <w:t>0.53</w:t>
            </w:r>
          </w:p>
        </w:tc>
      </w:tr>
      <w:tr w:rsidR="00811ED1">
        <w:tc>
          <w:tcPr>
            <w:tcW w:w="851" w:type="dxa"/>
            <w:vAlign w:val="center"/>
          </w:tcPr>
          <w:p w:rsidR="00811ED1" w:rsidRDefault="001D0036">
            <w:pPr>
              <w:jc w:val="center"/>
            </w:pPr>
            <w:r>
              <w:rPr>
                <w:color w:val="000000"/>
                <w:kern w:val="0"/>
                <w:sz w:val="24"/>
                <w:szCs w:val="24"/>
              </w:rPr>
              <w:t>10</w:t>
            </w:r>
          </w:p>
        </w:tc>
        <w:tc>
          <w:tcPr>
            <w:tcW w:w="1276" w:type="dxa"/>
            <w:vAlign w:val="center"/>
          </w:tcPr>
          <w:p w:rsidR="00811ED1" w:rsidRDefault="001D0036">
            <w:pPr>
              <w:jc w:val="center"/>
            </w:pPr>
            <w:r>
              <w:rPr>
                <w:color w:val="000000"/>
                <w:kern w:val="0"/>
                <w:sz w:val="24"/>
                <w:szCs w:val="24"/>
              </w:rPr>
              <w:t>601877</w:t>
            </w:r>
          </w:p>
        </w:tc>
        <w:tc>
          <w:tcPr>
            <w:tcW w:w="1418" w:type="dxa"/>
            <w:vAlign w:val="center"/>
          </w:tcPr>
          <w:p w:rsidR="00811ED1" w:rsidRDefault="001D0036">
            <w:pPr>
              <w:jc w:val="center"/>
            </w:pPr>
            <w:r>
              <w:rPr>
                <w:color w:val="000000"/>
                <w:kern w:val="0"/>
                <w:sz w:val="24"/>
                <w:szCs w:val="24"/>
              </w:rPr>
              <w:t>正泰电器</w:t>
            </w:r>
          </w:p>
        </w:tc>
        <w:tc>
          <w:tcPr>
            <w:tcW w:w="1701" w:type="dxa"/>
            <w:vAlign w:val="center"/>
          </w:tcPr>
          <w:p w:rsidR="00811ED1" w:rsidRDefault="001D0036">
            <w:pPr>
              <w:jc w:val="right"/>
            </w:pPr>
            <w:r>
              <w:rPr>
                <w:color w:val="000000"/>
                <w:kern w:val="0"/>
                <w:sz w:val="24"/>
                <w:szCs w:val="24"/>
              </w:rPr>
              <w:t>123,164</w:t>
            </w:r>
          </w:p>
        </w:tc>
        <w:tc>
          <w:tcPr>
            <w:tcW w:w="1984" w:type="dxa"/>
            <w:vAlign w:val="center"/>
          </w:tcPr>
          <w:p w:rsidR="00811ED1" w:rsidRDefault="001D0036">
            <w:pPr>
              <w:jc w:val="right"/>
            </w:pPr>
            <w:r>
              <w:rPr>
                <w:color w:val="000000"/>
                <w:kern w:val="0"/>
                <w:sz w:val="24"/>
                <w:szCs w:val="24"/>
              </w:rPr>
              <w:t>2,688,670.12</w:t>
            </w:r>
          </w:p>
        </w:tc>
        <w:tc>
          <w:tcPr>
            <w:tcW w:w="1559" w:type="dxa"/>
            <w:vAlign w:val="center"/>
          </w:tcPr>
          <w:p w:rsidR="00811ED1" w:rsidRDefault="001D0036">
            <w:pPr>
              <w:jc w:val="right"/>
            </w:pPr>
            <w:r>
              <w:rPr>
                <w:color w:val="000000"/>
                <w:kern w:val="0"/>
                <w:sz w:val="24"/>
                <w:szCs w:val="24"/>
              </w:rPr>
              <w:t>0.45</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8,926,200.00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110,264,000.00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18.35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110,264,000.00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18.35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329,561,990.60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54.84</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20,080,000.00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3.34</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101,083,000.00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16.82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4,899,755.30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0.82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574,814,945.90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95.65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811ED1">
        <w:tc>
          <w:tcPr>
            <w:tcW w:w="959" w:type="dxa"/>
            <w:vAlign w:val="center"/>
          </w:tcPr>
          <w:p w:rsidR="00811ED1" w:rsidRDefault="001D0036">
            <w:pPr>
              <w:jc w:val="center"/>
            </w:pPr>
            <w:r>
              <w:rPr>
                <w:color w:val="000000"/>
                <w:kern w:val="0"/>
                <w:sz w:val="24"/>
                <w:szCs w:val="24"/>
              </w:rPr>
              <w:t>1</w:t>
            </w:r>
          </w:p>
        </w:tc>
        <w:tc>
          <w:tcPr>
            <w:tcW w:w="1276" w:type="dxa"/>
            <w:vAlign w:val="center"/>
          </w:tcPr>
          <w:p w:rsidR="00811ED1" w:rsidRDefault="001D0036">
            <w:pPr>
              <w:jc w:val="center"/>
            </w:pPr>
            <w:r>
              <w:rPr>
                <w:color w:val="000000"/>
                <w:kern w:val="0"/>
                <w:sz w:val="24"/>
                <w:szCs w:val="24"/>
              </w:rPr>
              <w:t>190208</w:t>
            </w:r>
          </w:p>
        </w:tc>
        <w:tc>
          <w:tcPr>
            <w:tcW w:w="1275" w:type="dxa"/>
            <w:vAlign w:val="center"/>
          </w:tcPr>
          <w:p w:rsidR="00811ED1" w:rsidRDefault="001D0036">
            <w:pPr>
              <w:jc w:val="center"/>
            </w:pPr>
            <w:r>
              <w:rPr>
                <w:color w:val="000000"/>
                <w:kern w:val="0"/>
                <w:sz w:val="24"/>
                <w:szCs w:val="24"/>
              </w:rPr>
              <w:t>19</w:t>
            </w:r>
            <w:r>
              <w:rPr>
                <w:color w:val="000000"/>
                <w:kern w:val="0"/>
                <w:sz w:val="24"/>
                <w:szCs w:val="24"/>
              </w:rPr>
              <w:t>国开</w:t>
            </w:r>
            <w:r>
              <w:rPr>
                <w:color w:val="000000"/>
                <w:kern w:val="0"/>
                <w:sz w:val="24"/>
                <w:szCs w:val="24"/>
              </w:rPr>
              <w:t>08</w:t>
            </w:r>
          </w:p>
        </w:tc>
        <w:tc>
          <w:tcPr>
            <w:tcW w:w="1560" w:type="dxa"/>
            <w:vAlign w:val="center"/>
          </w:tcPr>
          <w:p w:rsidR="00811ED1" w:rsidRDefault="001D0036">
            <w:pPr>
              <w:jc w:val="right"/>
            </w:pPr>
            <w:r>
              <w:rPr>
                <w:color w:val="000000"/>
                <w:kern w:val="0"/>
                <w:sz w:val="24"/>
                <w:szCs w:val="24"/>
              </w:rPr>
              <w:t>600,000</w:t>
            </w:r>
          </w:p>
        </w:tc>
        <w:tc>
          <w:tcPr>
            <w:tcW w:w="1984" w:type="dxa"/>
            <w:vAlign w:val="center"/>
          </w:tcPr>
          <w:p w:rsidR="00811ED1" w:rsidRDefault="001D0036">
            <w:pPr>
              <w:jc w:val="right"/>
            </w:pPr>
            <w:r>
              <w:rPr>
                <w:color w:val="000000"/>
                <w:kern w:val="0"/>
                <w:sz w:val="24"/>
                <w:szCs w:val="24"/>
              </w:rPr>
              <w:t>60,108,000.00</w:t>
            </w:r>
          </w:p>
        </w:tc>
        <w:tc>
          <w:tcPr>
            <w:tcW w:w="1474" w:type="dxa"/>
            <w:vAlign w:val="center"/>
          </w:tcPr>
          <w:p w:rsidR="00811ED1" w:rsidRDefault="001D0036">
            <w:pPr>
              <w:jc w:val="right"/>
            </w:pPr>
            <w:r>
              <w:rPr>
                <w:color w:val="000000"/>
                <w:kern w:val="0"/>
                <w:sz w:val="24"/>
                <w:szCs w:val="24"/>
              </w:rPr>
              <w:t>10.00</w:t>
            </w:r>
          </w:p>
        </w:tc>
      </w:tr>
      <w:tr w:rsidR="00811ED1">
        <w:tc>
          <w:tcPr>
            <w:tcW w:w="959" w:type="dxa"/>
            <w:vAlign w:val="center"/>
          </w:tcPr>
          <w:p w:rsidR="00811ED1" w:rsidRDefault="001D0036">
            <w:pPr>
              <w:jc w:val="center"/>
            </w:pPr>
            <w:r>
              <w:rPr>
                <w:color w:val="000000"/>
                <w:kern w:val="0"/>
                <w:sz w:val="24"/>
                <w:szCs w:val="24"/>
              </w:rPr>
              <w:t>2</w:t>
            </w:r>
          </w:p>
        </w:tc>
        <w:tc>
          <w:tcPr>
            <w:tcW w:w="1276" w:type="dxa"/>
            <w:vAlign w:val="center"/>
          </w:tcPr>
          <w:p w:rsidR="00811ED1" w:rsidRDefault="001D0036">
            <w:pPr>
              <w:jc w:val="center"/>
            </w:pPr>
            <w:r>
              <w:rPr>
                <w:color w:val="000000"/>
                <w:kern w:val="0"/>
                <w:sz w:val="24"/>
                <w:szCs w:val="24"/>
              </w:rPr>
              <w:t>190201</w:t>
            </w:r>
          </w:p>
        </w:tc>
        <w:tc>
          <w:tcPr>
            <w:tcW w:w="1275" w:type="dxa"/>
            <w:vAlign w:val="center"/>
          </w:tcPr>
          <w:p w:rsidR="00811ED1" w:rsidRDefault="001D0036">
            <w:pPr>
              <w:jc w:val="center"/>
            </w:pPr>
            <w:r>
              <w:rPr>
                <w:color w:val="000000"/>
                <w:kern w:val="0"/>
                <w:sz w:val="24"/>
                <w:szCs w:val="24"/>
              </w:rPr>
              <w:t>19</w:t>
            </w:r>
            <w:r>
              <w:rPr>
                <w:color w:val="000000"/>
                <w:kern w:val="0"/>
                <w:sz w:val="24"/>
                <w:szCs w:val="24"/>
              </w:rPr>
              <w:t>国开</w:t>
            </w:r>
            <w:r>
              <w:rPr>
                <w:color w:val="000000"/>
                <w:kern w:val="0"/>
                <w:sz w:val="24"/>
                <w:szCs w:val="24"/>
              </w:rPr>
              <w:t>01</w:t>
            </w:r>
          </w:p>
        </w:tc>
        <w:tc>
          <w:tcPr>
            <w:tcW w:w="1560" w:type="dxa"/>
            <w:vAlign w:val="center"/>
          </w:tcPr>
          <w:p w:rsidR="00811ED1" w:rsidRDefault="001D0036">
            <w:pPr>
              <w:jc w:val="right"/>
            </w:pPr>
            <w:r>
              <w:rPr>
                <w:color w:val="000000"/>
                <w:kern w:val="0"/>
                <w:sz w:val="24"/>
                <w:szCs w:val="24"/>
              </w:rPr>
              <w:t>400,000</w:t>
            </w:r>
          </w:p>
        </w:tc>
        <w:tc>
          <w:tcPr>
            <w:tcW w:w="1984" w:type="dxa"/>
            <w:vAlign w:val="center"/>
          </w:tcPr>
          <w:p w:rsidR="00811ED1" w:rsidRDefault="001D0036">
            <w:pPr>
              <w:jc w:val="right"/>
            </w:pPr>
            <w:r>
              <w:rPr>
                <w:color w:val="000000"/>
                <w:kern w:val="0"/>
                <w:sz w:val="24"/>
                <w:szCs w:val="24"/>
              </w:rPr>
              <w:t>40,004,000.00</w:t>
            </w:r>
          </w:p>
        </w:tc>
        <w:tc>
          <w:tcPr>
            <w:tcW w:w="1474" w:type="dxa"/>
            <w:vAlign w:val="center"/>
          </w:tcPr>
          <w:p w:rsidR="00811ED1" w:rsidRDefault="001D0036">
            <w:pPr>
              <w:jc w:val="right"/>
            </w:pPr>
            <w:r>
              <w:rPr>
                <w:color w:val="000000"/>
                <w:kern w:val="0"/>
                <w:sz w:val="24"/>
                <w:szCs w:val="24"/>
              </w:rPr>
              <w:t>6.66</w:t>
            </w:r>
          </w:p>
        </w:tc>
      </w:tr>
      <w:tr w:rsidR="00811ED1">
        <w:tc>
          <w:tcPr>
            <w:tcW w:w="959" w:type="dxa"/>
            <w:vAlign w:val="center"/>
          </w:tcPr>
          <w:p w:rsidR="00811ED1" w:rsidRDefault="001D0036">
            <w:pPr>
              <w:jc w:val="center"/>
            </w:pPr>
            <w:r>
              <w:rPr>
                <w:color w:val="000000"/>
                <w:kern w:val="0"/>
                <w:sz w:val="24"/>
                <w:szCs w:val="24"/>
              </w:rPr>
              <w:t>3</w:t>
            </w:r>
          </w:p>
        </w:tc>
        <w:tc>
          <w:tcPr>
            <w:tcW w:w="1276" w:type="dxa"/>
            <w:vAlign w:val="center"/>
          </w:tcPr>
          <w:p w:rsidR="00811ED1" w:rsidRDefault="001D0036">
            <w:pPr>
              <w:jc w:val="center"/>
            </w:pPr>
            <w:r>
              <w:rPr>
                <w:color w:val="000000"/>
                <w:kern w:val="0"/>
                <w:sz w:val="24"/>
                <w:szCs w:val="24"/>
              </w:rPr>
              <w:t>136143</w:t>
            </w:r>
          </w:p>
        </w:tc>
        <w:tc>
          <w:tcPr>
            <w:tcW w:w="1275" w:type="dxa"/>
            <w:vAlign w:val="center"/>
          </w:tcPr>
          <w:p w:rsidR="00811ED1" w:rsidRDefault="001D0036">
            <w:pPr>
              <w:jc w:val="center"/>
            </w:pPr>
            <w:r>
              <w:rPr>
                <w:color w:val="000000"/>
                <w:kern w:val="0"/>
                <w:sz w:val="24"/>
                <w:szCs w:val="24"/>
              </w:rPr>
              <w:t>16</w:t>
            </w:r>
            <w:r>
              <w:rPr>
                <w:color w:val="000000"/>
                <w:kern w:val="0"/>
                <w:sz w:val="24"/>
                <w:szCs w:val="24"/>
              </w:rPr>
              <w:t>万达</w:t>
            </w:r>
            <w:r>
              <w:rPr>
                <w:color w:val="000000"/>
                <w:kern w:val="0"/>
                <w:sz w:val="24"/>
                <w:szCs w:val="24"/>
              </w:rPr>
              <w:t>01</w:t>
            </w:r>
          </w:p>
        </w:tc>
        <w:tc>
          <w:tcPr>
            <w:tcW w:w="1560" w:type="dxa"/>
            <w:vAlign w:val="center"/>
          </w:tcPr>
          <w:p w:rsidR="00811ED1" w:rsidRDefault="001D0036">
            <w:pPr>
              <w:jc w:val="right"/>
            </w:pPr>
            <w:r>
              <w:rPr>
                <w:color w:val="000000"/>
                <w:kern w:val="0"/>
                <w:sz w:val="24"/>
                <w:szCs w:val="24"/>
              </w:rPr>
              <w:t>380,000</w:t>
            </w:r>
          </w:p>
        </w:tc>
        <w:tc>
          <w:tcPr>
            <w:tcW w:w="1984" w:type="dxa"/>
            <w:vAlign w:val="center"/>
          </w:tcPr>
          <w:p w:rsidR="00811ED1" w:rsidRDefault="001D0036">
            <w:pPr>
              <w:jc w:val="right"/>
            </w:pPr>
            <w:r>
              <w:rPr>
                <w:color w:val="000000"/>
                <w:kern w:val="0"/>
                <w:sz w:val="24"/>
                <w:szCs w:val="24"/>
              </w:rPr>
              <w:t>38,760,000.00</w:t>
            </w:r>
          </w:p>
        </w:tc>
        <w:tc>
          <w:tcPr>
            <w:tcW w:w="1474" w:type="dxa"/>
            <w:vAlign w:val="center"/>
          </w:tcPr>
          <w:p w:rsidR="00811ED1" w:rsidRDefault="001D0036">
            <w:pPr>
              <w:jc w:val="right"/>
            </w:pPr>
            <w:r>
              <w:rPr>
                <w:color w:val="000000"/>
                <w:kern w:val="0"/>
                <w:sz w:val="24"/>
                <w:szCs w:val="24"/>
              </w:rPr>
              <w:t>6.45</w:t>
            </w:r>
          </w:p>
        </w:tc>
      </w:tr>
      <w:tr w:rsidR="00811ED1">
        <w:tc>
          <w:tcPr>
            <w:tcW w:w="959" w:type="dxa"/>
            <w:vAlign w:val="center"/>
          </w:tcPr>
          <w:p w:rsidR="00811ED1" w:rsidRDefault="001D0036">
            <w:pPr>
              <w:jc w:val="center"/>
            </w:pPr>
            <w:r>
              <w:rPr>
                <w:color w:val="000000"/>
                <w:kern w:val="0"/>
                <w:sz w:val="24"/>
                <w:szCs w:val="24"/>
              </w:rPr>
              <w:t>4</w:t>
            </w:r>
          </w:p>
        </w:tc>
        <w:tc>
          <w:tcPr>
            <w:tcW w:w="1276" w:type="dxa"/>
            <w:vAlign w:val="center"/>
          </w:tcPr>
          <w:p w:rsidR="00811ED1" w:rsidRDefault="001D0036">
            <w:pPr>
              <w:jc w:val="center"/>
            </w:pPr>
            <w:r>
              <w:rPr>
                <w:color w:val="000000"/>
                <w:kern w:val="0"/>
                <w:sz w:val="24"/>
                <w:szCs w:val="24"/>
              </w:rPr>
              <w:t>122724</w:t>
            </w:r>
          </w:p>
        </w:tc>
        <w:tc>
          <w:tcPr>
            <w:tcW w:w="1275" w:type="dxa"/>
            <w:vAlign w:val="center"/>
          </w:tcPr>
          <w:p w:rsidR="00811ED1" w:rsidRDefault="001D0036">
            <w:pPr>
              <w:jc w:val="center"/>
            </w:pPr>
            <w:r>
              <w:rPr>
                <w:color w:val="000000"/>
                <w:kern w:val="0"/>
                <w:sz w:val="24"/>
                <w:szCs w:val="24"/>
              </w:rPr>
              <w:t>PR</w:t>
            </w:r>
            <w:r>
              <w:rPr>
                <w:color w:val="000000"/>
                <w:kern w:val="0"/>
                <w:sz w:val="24"/>
                <w:szCs w:val="24"/>
              </w:rPr>
              <w:t>攀国</w:t>
            </w:r>
            <w:r>
              <w:rPr>
                <w:color w:val="000000"/>
                <w:kern w:val="0"/>
                <w:sz w:val="24"/>
                <w:szCs w:val="24"/>
              </w:rPr>
              <w:t>02</w:t>
            </w:r>
          </w:p>
        </w:tc>
        <w:tc>
          <w:tcPr>
            <w:tcW w:w="1560" w:type="dxa"/>
            <w:vAlign w:val="center"/>
          </w:tcPr>
          <w:p w:rsidR="00811ED1" w:rsidRDefault="001D0036">
            <w:pPr>
              <w:jc w:val="right"/>
            </w:pPr>
            <w:r>
              <w:rPr>
                <w:color w:val="000000"/>
                <w:kern w:val="0"/>
                <w:sz w:val="24"/>
                <w:szCs w:val="24"/>
              </w:rPr>
              <w:t>500,000</w:t>
            </w:r>
          </w:p>
        </w:tc>
        <w:tc>
          <w:tcPr>
            <w:tcW w:w="1984" w:type="dxa"/>
            <w:vAlign w:val="center"/>
          </w:tcPr>
          <w:p w:rsidR="00811ED1" w:rsidRDefault="001D0036">
            <w:pPr>
              <w:jc w:val="right"/>
            </w:pPr>
            <w:r>
              <w:rPr>
                <w:color w:val="000000"/>
                <w:kern w:val="0"/>
                <w:sz w:val="24"/>
                <w:szCs w:val="24"/>
              </w:rPr>
              <w:t>31,490,000.00</w:t>
            </w:r>
          </w:p>
        </w:tc>
        <w:tc>
          <w:tcPr>
            <w:tcW w:w="1474" w:type="dxa"/>
            <w:vAlign w:val="center"/>
          </w:tcPr>
          <w:p w:rsidR="00811ED1" w:rsidRDefault="001D0036">
            <w:pPr>
              <w:jc w:val="right"/>
            </w:pPr>
            <w:r>
              <w:rPr>
                <w:color w:val="000000"/>
                <w:kern w:val="0"/>
                <w:sz w:val="24"/>
                <w:szCs w:val="24"/>
              </w:rPr>
              <w:t>5.24</w:t>
            </w:r>
          </w:p>
        </w:tc>
      </w:tr>
      <w:tr w:rsidR="00811ED1">
        <w:tc>
          <w:tcPr>
            <w:tcW w:w="959" w:type="dxa"/>
            <w:vAlign w:val="center"/>
          </w:tcPr>
          <w:p w:rsidR="00811ED1" w:rsidRDefault="001D0036">
            <w:pPr>
              <w:jc w:val="center"/>
            </w:pPr>
            <w:r>
              <w:rPr>
                <w:color w:val="000000"/>
                <w:kern w:val="0"/>
                <w:sz w:val="24"/>
                <w:szCs w:val="24"/>
              </w:rPr>
              <w:t>5</w:t>
            </w:r>
          </w:p>
        </w:tc>
        <w:tc>
          <w:tcPr>
            <w:tcW w:w="1276" w:type="dxa"/>
            <w:vAlign w:val="center"/>
          </w:tcPr>
          <w:p w:rsidR="00811ED1" w:rsidRDefault="001D0036">
            <w:pPr>
              <w:jc w:val="center"/>
            </w:pPr>
            <w:r>
              <w:rPr>
                <w:color w:val="000000"/>
                <w:kern w:val="0"/>
                <w:sz w:val="24"/>
                <w:szCs w:val="24"/>
              </w:rPr>
              <w:t>143366</w:t>
            </w:r>
          </w:p>
        </w:tc>
        <w:tc>
          <w:tcPr>
            <w:tcW w:w="1275" w:type="dxa"/>
            <w:vAlign w:val="center"/>
          </w:tcPr>
          <w:p w:rsidR="00811ED1" w:rsidRDefault="001D0036">
            <w:pPr>
              <w:jc w:val="center"/>
            </w:pPr>
            <w:r>
              <w:rPr>
                <w:color w:val="000000"/>
                <w:kern w:val="0"/>
                <w:sz w:val="24"/>
                <w:szCs w:val="24"/>
              </w:rPr>
              <w:t>17</w:t>
            </w:r>
            <w:r>
              <w:rPr>
                <w:color w:val="000000"/>
                <w:kern w:val="0"/>
                <w:sz w:val="24"/>
                <w:szCs w:val="24"/>
              </w:rPr>
              <w:t>环能</w:t>
            </w:r>
            <w:r>
              <w:rPr>
                <w:color w:val="000000"/>
                <w:kern w:val="0"/>
                <w:sz w:val="24"/>
                <w:szCs w:val="24"/>
              </w:rPr>
              <w:t>01</w:t>
            </w:r>
          </w:p>
        </w:tc>
        <w:tc>
          <w:tcPr>
            <w:tcW w:w="1560" w:type="dxa"/>
            <w:vAlign w:val="center"/>
          </w:tcPr>
          <w:p w:rsidR="00811ED1" w:rsidRDefault="001D0036">
            <w:pPr>
              <w:jc w:val="right"/>
            </w:pPr>
            <w:r>
              <w:rPr>
                <w:color w:val="000000"/>
                <w:kern w:val="0"/>
                <w:sz w:val="24"/>
                <w:szCs w:val="24"/>
              </w:rPr>
              <w:t>300,000</w:t>
            </w:r>
          </w:p>
        </w:tc>
        <w:tc>
          <w:tcPr>
            <w:tcW w:w="1984" w:type="dxa"/>
            <w:vAlign w:val="center"/>
          </w:tcPr>
          <w:p w:rsidR="00811ED1" w:rsidRDefault="001D0036">
            <w:pPr>
              <w:jc w:val="right"/>
            </w:pPr>
            <w:r>
              <w:rPr>
                <w:color w:val="000000"/>
                <w:kern w:val="0"/>
                <w:sz w:val="24"/>
                <w:szCs w:val="24"/>
              </w:rPr>
              <w:t>31,257,000.00</w:t>
            </w:r>
          </w:p>
        </w:tc>
        <w:tc>
          <w:tcPr>
            <w:tcW w:w="1474" w:type="dxa"/>
            <w:vAlign w:val="center"/>
          </w:tcPr>
          <w:p w:rsidR="00811ED1" w:rsidRDefault="001D0036">
            <w:pPr>
              <w:jc w:val="right"/>
            </w:pPr>
            <w:r>
              <w:rPr>
                <w:color w:val="000000"/>
                <w:kern w:val="0"/>
                <w:sz w:val="24"/>
                <w:szCs w:val="24"/>
              </w:rPr>
              <w:t>5.20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802"/>
        <w:gridCol w:w="1742"/>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证券代码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证券名称</w:t>
            </w:r>
          </w:p>
        </w:tc>
        <w:tc>
          <w:tcPr>
            <w:tcW w:w="1802"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（份）</w:t>
            </w:r>
          </w:p>
        </w:tc>
        <w:tc>
          <w:tcPr>
            <w:tcW w:w="1742"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811ED1">
        <w:tc>
          <w:tcPr>
            <w:tcW w:w="959" w:type="dxa"/>
            <w:vAlign w:val="center"/>
          </w:tcPr>
          <w:p w:rsidR="00811ED1" w:rsidRDefault="001D0036">
            <w:pPr>
              <w:jc w:val="center"/>
            </w:pPr>
            <w:r>
              <w:rPr>
                <w:color w:val="000000"/>
                <w:kern w:val="0"/>
                <w:sz w:val="24"/>
                <w:szCs w:val="24"/>
              </w:rPr>
              <w:t>1</w:t>
            </w:r>
          </w:p>
        </w:tc>
        <w:tc>
          <w:tcPr>
            <w:tcW w:w="1276" w:type="dxa"/>
            <w:vAlign w:val="center"/>
          </w:tcPr>
          <w:p w:rsidR="00811ED1" w:rsidRDefault="001D0036">
            <w:pPr>
              <w:jc w:val="center"/>
            </w:pPr>
            <w:r>
              <w:rPr>
                <w:color w:val="000000"/>
                <w:kern w:val="0"/>
                <w:sz w:val="24"/>
                <w:szCs w:val="24"/>
              </w:rPr>
              <w:t>156445</w:t>
            </w:r>
          </w:p>
        </w:tc>
        <w:tc>
          <w:tcPr>
            <w:tcW w:w="1275" w:type="dxa"/>
            <w:vAlign w:val="center"/>
          </w:tcPr>
          <w:p w:rsidR="00811ED1" w:rsidRDefault="001D0036">
            <w:pPr>
              <w:jc w:val="center"/>
            </w:pPr>
            <w:r>
              <w:rPr>
                <w:color w:val="000000"/>
                <w:kern w:val="0"/>
                <w:sz w:val="24"/>
                <w:szCs w:val="24"/>
              </w:rPr>
              <w:t>18</w:t>
            </w:r>
            <w:r>
              <w:rPr>
                <w:color w:val="000000"/>
                <w:kern w:val="0"/>
                <w:sz w:val="24"/>
                <w:szCs w:val="24"/>
              </w:rPr>
              <w:t>裕源</w:t>
            </w:r>
            <w:r>
              <w:rPr>
                <w:color w:val="000000"/>
                <w:kern w:val="0"/>
                <w:sz w:val="24"/>
                <w:szCs w:val="24"/>
              </w:rPr>
              <w:t>02</w:t>
            </w:r>
          </w:p>
        </w:tc>
        <w:tc>
          <w:tcPr>
            <w:tcW w:w="1802" w:type="dxa"/>
            <w:vAlign w:val="center"/>
          </w:tcPr>
          <w:p w:rsidR="00811ED1" w:rsidRDefault="001D0036">
            <w:pPr>
              <w:jc w:val="right"/>
            </w:pPr>
            <w:r>
              <w:rPr>
                <w:color w:val="000000"/>
                <w:kern w:val="0"/>
                <w:sz w:val="24"/>
                <w:szCs w:val="24"/>
              </w:rPr>
              <w:t>100,000</w:t>
            </w:r>
          </w:p>
        </w:tc>
        <w:tc>
          <w:tcPr>
            <w:tcW w:w="1742" w:type="dxa"/>
            <w:vAlign w:val="center"/>
          </w:tcPr>
          <w:p w:rsidR="00811ED1" w:rsidRDefault="001D0036">
            <w:pPr>
              <w:jc w:val="right"/>
            </w:pPr>
            <w:r>
              <w:rPr>
                <w:color w:val="000000"/>
                <w:kern w:val="0"/>
                <w:sz w:val="24"/>
                <w:szCs w:val="24"/>
              </w:rPr>
              <w:t>10,012,000.00</w:t>
            </w:r>
          </w:p>
        </w:tc>
        <w:tc>
          <w:tcPr>
            <w:tcW w:w="1474" w:type="dxa"/>
            <w:vAlign w:val="center"/>
          </w:tcPr>
          <w:p w:rsidR="00811ED1" w:rsidRDefault="001D0036">
            <w:pPr>
              <w:jc w:val="right"/>
            </w:pPr>
            <w:r>
              <w:rPr>
                <w:color w:val="000000"/>
                <w:kern w:val="0"/>
                <w:sz w:val="24"/>
                <w:szCs w:val="24"/>
              </w:rPr>
              <w:t>1.67</w:t>
            </w:r>
          </w:p>
        </w:tc>
      </w:tr>
    </w:tbl>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138,327.67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38,672.96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13,968,723.34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14,145,723.97</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811ED1">
        <w:tc>
          <w:tcPr>
            <w:tcW w:w="1808" w:type="dxa"/>
            <w:vAlign w:val="center"/>
          </w:tcPr>
          <w:p w:rsidR="00811ED1" w:rsidRDefault="001D0036">
            <w:pPr>
              <w:jc w:val="center"/>
            </w:pPr>
            <w:r>
              <w:rPr>
                <w:color w:val="000000"/>
                <w:kern w:val="0"/>
                <w:sz w:val="24"/>
                <w:szCs w:val="24"/>
              </w:rPr>
              <w:t>1</w:t>
            </w:r>
          </w:p>
        </w:tc>
        <w:tc>
          <w:tcPr>
            <w:tcW w:w="1729" w:type="dxa"/>
            <w:vAlign w:val="center"/>
          </w:tcPr>
          <w:p w:rsidR="00811ED1" w:rsidRDefault="001D0036">
            <w:pPr>
              <w:jc w:val="center"/>
            </w:pPr>
            <w:r>
              <w:rPr>
                <w:color w:val="000000"/>
                <w:kern w:val="0"/>
                <w:sz w:val="24"/>
                <w:szCs w:val="24"/>
              </w:rPr>
              <w:t>110031</w:t>
            </w:r>
          </w:p>
        </w:tc>
        <w:tc>
          <w:tcPr>
            <w:tcW w:w="1658" w:type="dxa"/>
            <w:vAlign w:val="center"/>
          </w:tcPr>
          <w:p w:rsidR="00811ED1" w:rsidRDefault="001D0036">
            <w:pPr>
              <w:jc w:val="center"/>
            </w:pPr>
            <w:r>
              <w:rPr>
                <w:color w:val="000000"/>
                <w:kern w:val="0"/>
                <w:sz w:val="24"/>
                <w:szCs w:val="24"/>
              </w:rPr>
              <w:t>航信转债</w:t>
            </w:r>
          </w:p>
        </w:tc>
        <w:tc>
          <w:tcPr>
            <w:tcW w:w="1697" w:type="dxa"/>
            <w:vAlign w:val="center"/>
          </w:tcPr>
          <w:p w:rsidR="00811ED1" w:rsidRDefault="001D0036">
            <w:pPr>
              <w:jc w:val="right"/>
            </w:pPr>
            <w:r>
              <w:rPr>
                <w:color w:val="000000"/>
                <w:kern w:val="0"/>
                <w:sz w:val="24"/>
                <w:szCs w:val="24"/>
              </w:rPr>
              <w:t>4,899,755.30</w:t>
            </w:r>
          </w:p>
        </w:tc>
        <w:tc>
          <w:tcPr>
            <w:tcW w:w="1621" w:type="dxa"/>
            <w:vAlign w:val="center"/>
          </w:tcPr>
          <w:p w:rsidR="00811ED1" w:rsidRDefault="001D0036">
            <w:pPr>
              <w:jc w:val="right"/>
            </w:pPr>
            <w:r>
              <w:rPr>
                <w:color w:val="000000"/>
                <w:kern w:val="0"/>
                <w:sz w:val="24"/>
                <w:szCs w:val="24"/>
              </w:rPr>
              <w:t>0.82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543,961,113.51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314,375.98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543,646,737.53</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811ED1">
        <w:trPr>
          <w:jc w:val="center"/>
        </w:trPr>
        <w:tc>
          <w:tcPr>
            <w:tcW w:w="1798" w:type="dxa"/>
            <w:vMerge w:val="restart"/>
            <w:vAlign w:val="center"/>
          </w:tcPr>
          <w:p w:rsidR="00811ED1" w:rsidRDefault="001D0036">
            <w:r>
              <w:rPr>
                <w:rFonts w:eastAsiaTheme="minorEastAsia"/>
                <w:bCs/>
                <w:color w:val="000000" w:themeColor="text1"/>
                <w:sz w:val="24"/>
                <w:szCs w:val="24"/>
              </w:rPr>
              <w:t>机构</w:t>
            </w:r>
          </w:p>
        </w:tc>
        <w:tc>
          <w:tcPr>
            <w:tcW w:w="709" w:type="dxa"/>
            <w:vAlign w:val="center"/>
          </w:tcPr>
          <w:p w:rsidR="00811ED1" w:rsidRDefault="001D0036">
            <w:pPr>
              <w:jc w:val="center"/>
            </w:pPr>
            <w:r>
              <w:rPr>
                <w:sz w:val="24"/>
                <w:szCs w:val="24"/>
              </w:rPr>
              <w:t>1</w:t>
            </w:r>
          </w:p>
        </w:tc>
        <w:tc>
          <w:tcPr>
            <w:tcW w:w="1985" w:type="dxa"/>
            <w:vAlign w:val="center"/>
          </w:tcPr>
          <w:p w:rsidR="00811ED1" w:rsidRDefault="001D0036">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811ED1" w:rsidRDefault="001D0036">
            <w:pPr>
              <w:jc w:val="center"/>
            </w:pPr>
            <w:r>
              <w:rPr>
                <w:sz w:val="24"/>
                <w:szCs w:val="24"/>
              </w:rPr>
              <w:t>536,000,000.00</w:t>
            </w:r>
          </w:p>
        </w:tc>
        <w:tc>
          <w:tcPr>
            <w:tcW w:w="992" w:type="dxa"/>
            <w:vAlign w:val="center"/>
          </w:tcPr>
          <w:p w:rsidR="00811ED1" w:rsidRDefault="001D0036">
            <w:pPr>
              <w:jc w:val="center"/>
            </w:pPr>
            <w:r>
              <w:rPr>
                <w:sz w:val="24"/>
                <w:szCs w:val="24"/>
              </w:rPr>
              <w:t>-</w:t>
            </w:r>
          </w:p>
        </w:tc>
        <w:tc>
          <w:tcPr>
            <w:tcW w:w="1134" w:type="dxa"/>
            <w:vAlign w:val="center"/>
          </w:tcPr>
          <w:p w:rsidR="00811ED1" w:rsidRDefault="001D0036">
            <w:pPr>
              <w:jc w:val="center"/>
            </w:pPr>
            <w:r>
              <w:rPr>
                <w:sz w:val="24"/>
                <w:szCs w:val="24"/>
              </w:rPr>
              <w:t>-</w:t>
            </w:r>
          </w:p>
        </w:tc>
        <w:tc>
          <w:tcPr>
            <w:tcW w:w="1037" w:type="dxa"/>
            <w:vAlign w:val="center"/>
          </w:tcPr>
          <w:p w:rsidR="00811ED1" w:rsidRDefault="001D0036">
            <w:pPr>
              <w:jc w:val="center"/>
            </w:pPr>
            <w:r>
              <w:rPr>
                <w:sz w:val="24"/>
                <w:szCs w:val="24"/>
              </w:rPr>
              <w:t>536,000,000.00</w:t>
            </w:r>
          </w:p>
        </w:tc>
        <w:tc>
          <w:tcPr>
            <w:tcW w:w="851" w:type="dxa"/>
            <w:vAlign w:val="center"/>
          </w:tcPr>
          <w:p w:rsidR="00811ED1" w:rsidRDefault="001D0036">
            <w:pPr>
              <w:jc w:val="center"/>
            </w:pPr>
            <w:r>
              <w:rPr>
                <w:sz w:val="24"/>
                <w:szCs w:val="24"/>
              </w:rPr>
              <w:t>98.59%</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811ED1" w:rsidRDefault="001D0036">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中国证监会准予易方达裕如灵活配置混合型证券投资基金注册的文件；</w:t>
      </w:r>
    </w:p>
    <w:p w:rsidR="00811ED1" w:rsidRDefault="001D0036">
      <w:pPr>
        <w:spacing w:line="360" w:lineRule="auto"/>
        <w:ind w:firstLineChars="200" w:firstLine="480"/>
        <w:rPr>
          <w:color w:val="000000"/>
          <w:sz w:val="24"/>
          <w:szCs w:val="24"/>
        </w:rPr>
      </w:pPr>
      <w:r>
        <w:rPr>
          <w:color w:val="000000"/>
          <w:sz w:val="24"/>
          <w:szCs w:val="24"/>
        </w:rPr>
        <w:t>2.</w:t>
      </w:r>
      <w:r>
        <w:rPr>
          <w:color w:val="000000"/>
          <w:sz w:val="24"/>
          <w:szCs w:val="24"/>
        </w:rPr>
        <w:t>《易方达裕如灵活配置混合型证券投资基金基金合同》；</w:t>
      </w:r>
    </w:p>
    <w:p w:rsidR="00811ED1" w:rsidRDefault="001D0036">
      <w:pPr>
        <w:spacing w:line="360" w:lineRule="auto"/>
        <w:ind w:firstLineChars="200" w:firstLine="480"/>
        <w:rPr>
          <w:color w:val="000000"/>
          <w:sz w:val="24"/>
          <w:szCs w:val="24"/>
        </w:rPr>
      </w:pPr>
      <w:r>
        <w:rPr>
          <w:color w:val="000000"/>
          <w:sz w:val="24"/>
          <w:szCs w:val="24"/>
        </w:rPr>
        <w:t>3.</w:t>
      </w:r>
      <w:r>
        <w:rPr>
          <w:color w:val="000000"/>
          <w:sz w:val="24"/>
          <w:szCs w:val="24"/>
        </w:rPr>
        <w:t>《易方达裕如灵活配置混合型证券投资基金托管协议》；</w:t>
      </w:r>
    </w:p>
    <w:p w:rsidR="00811ED1" w:rsidRDefault="001D0036">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D0036">
      <w:rPr>
        <w:rStyle w:val="a7"/>
        <w:noProof/>
      </w:rPr>
      <w:t>1</w:t>
    </w:r>
    <w:r>
      <w:rPr>
        <w:rStyle w:val="a7"/>
      </w:rPr>
      <w:fldChar w:fldCharType="end"/>
    </w:r>
    <w:r>
      <w:rPr>
        <w:rStyle w:val="a7"/>
        <w:rFonts w:hint="eastAsia"/>
      </w:rPr>
      <w:t>页共</w:t>
    </w:r>
    <w:r w:rsidR="001D0036">
      <w:fldChar w:fldCharType="begin"/>
    </w:r>
    <w:r w:rsidR="001D0036">
      <w:instrText xml:space="preserve"> NUMPAGES  \* Arabic  \* MERGEFORMAT </w:instrText>
    </w:r>
    <w:r w:rsidR="001D0036">
      <w:fldChar w:fldCharType="separate"/>
    </w:r>
    <w:r w:rsidR="001D0036" w:rsidRPr="001D0036">
      <w:rPr>
        <w:rStyle w:val="a7"/>
        <w:noProof/>
      </w:rPr>
      <w:t>3</w:t>
    </w:r>
    <w:r w:rsidR="001D0036">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D0036">
      <w:rPr>
        <w:rStyle w:val="a7"/>
        <w:noProof/>
      </w:rPr>
      <w:t>13</w:t>
    </w:r>
    <w:r>
      <w:rPr>
        <w:rStyle w:val="a7"/>
      </w:rPr>
      <w:fldChar w:fldCharType="end"/>
    </w:r>
    <w:r>
      <w:rPr>
        <w:rStyle w:val="a7"/>
        <w:rFonts w:hint="eastAsia"/>
      </w:rPr>
      <w:t>页共</w:t>
    </w:r>
    <w:fldSimple w:instr=" NUMPAGES  \* Arabic  \* MERGEFORMAT ">
      <w:r w:rsidR="001D0036" w:rsidRPr="001D0036">
        <w:rPr>
          <w:rStyle w:val="a7"/>
          <w:noProof/>
        </w:rPr>
        <w:t>13</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易方达裕如灵活配置混合型证券投资基金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036"/>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1ED1"/>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80B43-8938-4601-99B5-A8CFD090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