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易方达改革红利混合型证券投资基金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中国邮政储蓄银行股份有限公司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2813D2" w:rsidRDefault="00C76893">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2813D2" w:rsidRDefault="00C76893">
      <w:pPr>
        <w:spacing w:line="360" w:lineRule="auto"/>
        <w:ind w:firstLineChars="200" w:firstLine="480"/>
        <w:rPr>
          <w:color w:val="000000"/>
          <w:sz w:val="24"/>
          <w:szCs w:val="24"/>
        </w:rPr>
      </w:pPr>
      <w:r>
        <w:rPr>
          <w:color w:val="000000"/>
          <w:sz w:val="24"/>
          <w:szCs w:val="24"/>
        </w:rPr>
        <w:t>基金托管人中国邮政储蓄银行股份有限公司根据本基金合同规定，于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2813D2" w:rsidRDefault="00C76893">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2813D2" w:rsidRDefault="00C76893">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2813D2" w:rsidRDefault="00C76893">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易方达改革红利混合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001076</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001076</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23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1,404,563,847.45</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密切关注各项改革举措及其对相关产业和公司的影响，包括国企改革、财税金融改革、公用事业价格改革、土地改革、户籍制度改革以及逐步推进的各项经济、政治、社会、文化等方面的改革，捕捉改革红利释放带来的投资机会。基金将通</w:t>
            </w:r>
            <w:r w:rsidRPr="00232B03">
              <w:rPr>
                <w:color w:val="000000"/>
                <w:kern w:val="0"/>
                <w:sz w:val="24"/>
                <w:szCs w:val="24"/>
              </w:rPr>
              <w:lastRenderedPageBreak/>
              <w:t>过研究各类行业和公司受益于改革红利的程度，选择直接受益于改革红利、或在全面深化改革推动下预期盈利水平将显著提升的行业和公司。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×70%+</w:t>
            </w:r>
            <w:r w:rsidRPr="00232B03">
              <w:rPr>
                <w:color w:val="000000"/>
                <w:kern w:val="0"/>
                <w:sz w:val="24"/>
                <w:szCs w:val="24"/>
              </w:rPr>
              <w:t>一年期人民币定期存款利率（税后）</w:t>
            </w:r>
            <w:r w:rsidRPr="00232B03">
              <w:rPr>
                <w:color w:val="000000"/>
                <w:kern w:val="0"/>
                <w:sz w:val="24"/>
                <w:szCs w:val="24"/>
              </w:rPr>
              <w:t>×30%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中国邮政储蓄银行股份有限公司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86,757,415.17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63,952,288.83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0.0421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1,604,472,171.11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1.142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2813D2" w:rsidRDefault="00C76893">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2813D2">
        <w:tc>
          <w:tcPr>
            <w:tcW w:w="1395" w:type="dxa"/>
            <w:vAlign w:val="center"/>
          </w:tcPr>
          <w:p w:rsidR="002813D2" w:rsidRDefault="00C76893">
            <w:pPr>
              <w:jc w:val="left"/>
            </w:pPr>
            <w:r>
              <w:rPr>
                <w:color w:val="000000"/>
                <w:kern w:val="0"/>
                <w:sz w:val="24"/>
                <w:szCs w:val="24"/>
              </w:rPr>
              <w:t>过去三个月</w:t>
            </w:r>
          </w:p>
        </w:tc>
        <w:tc>
          <w:tcPr>
            <w:tcW w:w="1092" w:type="dxa"/>
            <w:vAlign w:val="center"/>
          </w:tcPr>
          <w:p w:rsidR="002813D2" w:rsidRDefault="00C76893">
            <w:pPr>
              <w:jc w:val="center"/>
            </w:pPr>
            <w:r>
              <w:rPr>
                <w:color w:val="000000"/>
                <w:kern w:val="0"/>
                <w:sz w:val="24"/>
                <w:szCs w:val="24"/>
              </w:rPr>
              <w:t>3.54%</w:t>
            </w:r>
          </w:p>
        </w:tc>
        <w:tc>
          <w:tcPr>
            <w:tcW w:w="1161" w:type="dxa"/>
            <w:vAlign w:val="center"/>
          </w:tcPr>
          <w:p w:rsidR="002813D2" w:rsidRDefault="00C76893">
            <w:pPr>
              <w:jc w:val="center"/>
            </w:pPr>
            <w:r>
              <w:rPr>
                <w:color w:val="000000"/>
                <w:kern w:val="0"/>
                <w:sz w:val="24"/>
                <w:szCs w:val="24"/>
              </w:rPr>
              <w:t>1.18%</w:t>
            </w:r>
          </w:p>
        </w:tc>
        <w:tc>
          <w:tcPr>
            <w:tcW w:w="1181" w:type="dxa"/>
            <w:vAlign w:val="center"/>
          </w:tcPr>
          <w:p w:rsidR="002813D2" w:rsidRDefault="00C76893">
            <w:pPr>
              <w:jc w:val="center"/>
            </w:pPr>
            <w:r>
              <w:rPr>
                <w:color w:val="000000"/>
                <w:kern w:val="0"/>
                <w:sz w:val="24"/>
                <w:szCs w:val="24"/>
              </w:rPr>
              <w:t>-0.03%</w:t>
            </w:r>
          </w:p>
        </w:tc>
        <w:tc>
          <w:tcPr>
            <w:tcW w:w="1188" w:type="dxa"/>
            <w:vAlign w:val="center"/>
          </w:tcPr>
          <w:p w:rsidR="002813D2" w:rsidRDefault="00C76893">
            <w:pPr>
              <w:jc w:val="center"/>
            </w:pPr>
            <w:r>
              <w:rPr>
                <w:color w:val="000000"/>
                <w:kern w:val="0"/>
                <w:sz w:val="24"/>
                <w:szCs w:val="24"/>
              </w:rPr>
              <w:t>0.67%</w:t>
            </w:r>
          </w:p>
        </w:tc>
        <w:tc>
          <w:tcPr>
            <w:tcW w:w="1199" w:type="dxa"/>
            <w:vAlign w:val="center"/>
          </w:tcPr>
          <w:p w:rsidR="002813D2" w:rsidRDefault="00C76893">
            <w:pPr>
              <w:jc w:val="center"/>
            </w:pPr>
            <w:r>
              <w:rPr>
                <w:color w:val="000000"/>
                <w:kern w:val="0"/>
                <w:sz w:val="24"/>
                <w:szCs w:val="24"/>
              </w:rPr>
              <w:t>3.57%</w:t>
            </w:r>
          </w:p>
        </w:tc>
        <w:tc>
          <w:tcPr>
            <w:tcW w:w="1204" w:type="dxa"/>
            <w:vAlign w:val="center"/>
          </w:tcPr>
          <w:p w:rsidR="002813D2" w:rsidRDefault="00C76893">
            <w:pPr>
              <w:jc w:val="center"/>
            </w:pPr>
            <w:r>
              <w:rPr>
                <w:color w:val="000000"/>
                <w:kern w:val="0"/>
                <w:sz w:val="24"/>
                <w:szCs w:val="24"/>
              </w:rPr>
              <w:t>0.51%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易方达改革红利混合型证券投资基金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23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C76893"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14.20%</w:t>
      </w:r>
      <w:r w:rsidRPr="006C56AA">
        <w:rPr>
          <w:color w:val="000000"/>
          <w:sz w:val="24"/>
          <w:szCs w:val="24"/>
        </w:rPr>
        <w:t>，同期业绩比较基准收益率为</w:t>
      </w:r>
      <w:r w:rsidRPr="006C56AA">
        <w:rPr>
          <w:color w:val="000000"/>
          <w:sz w:val="24"/>
          <w:szCs w:val="24"/>
        </w:rPr>
        <w:t>-9.77%</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2813D2">
        <w:tc>
          <w:tcPr>
            <w:tcW w:w="567" w:type="dxa"/>
            <w:vAlign w:val="center"/>
          </w:tcPr>
          <w:p w:rsidR="002813D2" w:rsidRDefault="00C76893">
            <w:pPr>
              <w:jc w:val="center"/>
            </w:pPr>
            <w:r>
              <w:rPr>
                <w:color w:val="000000"/>
                <w:sz w:val="24"/>
              </w:rPr>
              <w:t>郭杰</w:t>
            </w:r>
          </w:p>
        </w:tc>
        <w:tc>
          <w:tcPr>
            <w:tcW w:w="2835" w:type="dxa"/>
            <w:vAlign w:val="center"/>
          </w:tcPr>
          <w:p w:rsidR="002813D2" w:rsidRDefault="00C76893">
            <w:pPr>
              <w:jc w:val="center"/>
            </w:pPr>
            <w:r>
              <w:rPr>
                <w:color w:val="000000"/>
                <w:sz w:val="24"/>
              </w:rPr>
              <w:t>本基金的基金经理、易方达国企改革混合型证券投资基金的基金经理、易方达</w:t>
            </w:r>
            <w:r>
              <w:rPr>
                <w:color w:val="000000"/>
                <w:sz w:val="24"/>
              </w:rPr>
              <w:t>ESG</w:t>
            </w:r>
            <w:r>
              <w:rPr>
                <w:color w:val="000000"/>
                <w:sz w:val="24"/>
              </w:rPr>
              <w:t>责任投资股票型发起式证券投资基金的基金经理</w:t>
            </w:r>
          </w:p>
        </w:tc>
        <w:tc>
          <w:tcPr>
            <w:tcW w:w="851" w:type="dxa"/>
            <w:vAlign w:val="center"/>
          </w:tcPr>
          <w:p w:rsidR="002813D2" w:rsidRDefault="00C76893">
            <w:pPr>
              <w:jc w:val="center"/>
            </w:pPr>
            <w:r>
              <w:rPr>
                <w:color w:val="000000"/>
                <w:sz w:val="24"/>
              </w:rPr>
              <w:t>2015-04-23</w:t>
            </w:r>
          </w:p>
        </w:tc>
        <w:tc>
          <w:tcPr>
            <w:tcW w:w="850" w:type="dxa"/>
            <w:vAlign w:val="center"/>
          </w:tcPr>
          <w:p w:rsidR="002813D2" w:rsidRDefault="00C76893">
            <w:pPr>
              <w:jc w:val="center"/>
            </w:pPr>
            <w:r>
              <w:rPr>
                <w:color w:val="000000"/>
                <w:sz w:val="24"/>
              </w:rPr>
              <w:t>-</w:t>
            </w:r>
          </w:p>
        </w:tc>
        <w:tc>
          <w:tcPr>
            <w:tcW w:w="851" w:type="dxa"/>
            <w:vAlign w:val="center"/>
          </w:tcPr>
          <w:p w:rsidR="002813D2" w:rsidRDefault="00C76893">
            <w:pPr>
              <w:jc w:val="center"/>
            </w:pPr>
            <w:r>
              <w:rPr>
                <w:color w:val="000000"/>
                <w:sz w:val="24"/>
              </w:rPr>
              <w:t>11</w:t>
            </w:r>
            <w:r>
              <w:rPr>
                <w:color w:val="000000"/>
                <w:sz w:val="24"/>
              </w:rPr>
              <w:t>年</w:t>
            </w:r>
          </w:p>
        </w:tc>
        <w:tc>
          <w:tcPr>
            <w:tcW w:w="2977" w:type="dxa"/>
            <w:vAlign w:val="center"/>
          </w:tcPr>
          <w:p w:rsidR="002813D2" w:rsidRDefault="00C76893">
            <w:r>
              <w:rPr>
                <w:color w:val="000000"/>
                <w:sz w:val="24"/>
              </w:rPr>
              <w:t>硕士研究生，曾任易方达基金管理有限公司行业研究员、基金经理助理、易方达资源行业股票型证券投资基金基金经理、易方达科汇灵活配置混合型证券投资基金基金经理、易方达新丝路灵活配置混合型证券投资基金基金经理。</w:t>
            </w:r>
          </w:p>
        </w:tc>
      </w:tr>
    </w:tbl>
    <w:p w:rsidR="002813D2" w:rsidRDefault="00C76893">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2813D2" w:rsidRDefault="00C76893">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2813D2" w:rsidRDefault="00C76893">
      <w:pPr>
        <w:spacing w:line="360" w:lineRule="auto"/>
        <w:ind w:firstLineChars="200" w:firstLine="480"/>
        <w:rPr>
          <w:color w:val="000000"/>
          <w:sz w:val="24"/>
          <w:szCs w:val="24"/>
        </w:rPr>
      </w:pPr>
      <w:r>
        <w:rPr>
          <w:color w:val="000000"/>
          <w:sz w:val="24"/>
          <w:szCs w:val="24"/>
        </w:rPr>
        <w:t>三季度数据显示经济继续下行的压力仍在。政府在调控政策上保持定力，明确不走大幅刺激经济的老路。地产新开工同比下行的压力会在下半年逐步显现，地产销售端也受到调控影响复苏缓慢。中美贸易摩擦对市场的影响逐步钝化，而美联储重回货币宽松通道，给我们的货币政策带来了空间；同时国内的通胀情况值得密切关注，特别近期猪价的涨幅较大，一旦通胀预期上来，对市场的负面影响会较大。总体而言，宏观经济仍面临较大的下行压力，但政策的应对工具丰富，经济不存在断崖式下行的风险。市场对此预期比较充分，总体估值处于合理偏低的水平，但结构性行情让有</w:t>
      </w:r>
      <w:r>
        <w:rPr>
          <w:color w:val="000000"/>
          <w:sz w:val="24"/>
          <w:szCs w:val="24"/>
        </w:rPr>
        <w:t>些行业个股的估值出现泡沫化倾向。到季末沪深</w:t>
      </w:r>
      <w:r>
        <w:rPr>
          <w:color w:val="000000"/>
          <w:sz w:val="24"/>
          <w:szCs w:val="24"/>
        </w:rPr>
        <w:t>300</w:t>
      </w:r>
      <w:r>
        <w:rPr>
          <w:color w:val="000000"/>
          <w:sz w:val="24"/>
          <w:szCs w:val="24"/>
        </w:rPr>
        <w:t>指数收于</w:t>
      </w:r>
      <w:r>
        <w:rPr>
          <w:color w:val="000000"/>
          <w:sz w:val="24"/>
          <w:szCs w:val="24"/>
        </w:rPr>
        <w:t>3815</w:t>
      </w:r>
      <w:r>
        <w:rPr>
          <w:color w:val="000000"/>
          <w:sz w:val="24"/>
          <w:szCs w:val="24"/>
        </w:rPr>
        <w:t>点，下跌</w:t>
      </w:r>
      <w:r>
        <w:rPr>
          <w:color w:val="000000"/>
          <w:sz w:val="24"/>
          <w:szCs w:val="24"/>
        </w:rPr>
        <w:t>0.29%</w:t>
      </w:r>
      <w:r>
        <w:rPr>
          <w:color w:val="000000"/>
          <w:sz w:val="24"/>
          <w:szCs w:val="24"/>
        </w:rPr>
        <w:t>，处于震荡波动状态。</w:t>
      </w:r>
    </w:p>
    <w:p w:rsidR="002813D2" w:rsidRDefault="00C76893">
      <w:pPr>
        <w:spacing w:line="360" w:lineRule="auto"/>
        <w:ind w:firstLineChars="200" w:firstLine="480"/>
        <w:rPr>
          <w:color w:val="000000"/>
          <w:sz w:val="24"/>
          <w:szCs w:val="24"/>
        </w:rPr>
      </w:pPr>
      <w:r>
        <w:rPr>
          <w:color w:val="000000"/>
          <w:sz w:val="24"/>
          <w:szCs w:val="24"/>
        </w:rPr>
        <w:t>今年以来某些行业个股的涨幅非常可观，甚至一定程度上出现了泡沫化的倾向。本基金将对于这类股票保持高度关注，适当调整组合中估值明显过高股票的权重，优化组合结构，适当关注那些短期失速、但中长期前景和竞争优势不改的个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本基金秉承一贯坚持的理念，长期持有具有突出竞争优势的优秀企业，分享企业的盈利和增长。</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1.142</w:t>
      </w:r>
      <w:r w:rsidRPr="006C56AA">
        <w:rPr>
          <w:color w:val="000000"/>
          <w:sz w:val="24"/>
          <w:szCs w:val="24"/>
        </w:rPr>
        <w:t>元，本报告期份额净值增长率为</w:t>
      </w:r>
      <w:r w:rsidRPr="006C56AA">
        <w:rPr>
          <w:color w:val="000000"/>
          <w:sz w:val="24"/>
          <w:szCs w:val="24"/>
        </w:rPr>
        <w:t>3.54%</w:t>
      </w:r>
      <w:r w:rsidRPr="006C56AA">
        <w:rPr>
          <w:color w:val="000000"/>
          <w:sz w:val="24"/>
          <w:szCs w:val="24"/>
        </w:rPr>
        <w:t>，同期业绩比较基准收益率为</w:t>
      </w:r>
      <w:r w:rsidRPr="006C56AA">
        <w:rPr>
          <w:color w:val="000000"/>
          <w:sz w:val="24"/>
          <w:szCs w:val="24"/>
        </w:rPr>
        <w:t>-0.03%</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1,487,941,431.59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92.18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1,487,941,431.59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92.18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70,199,000.00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4.35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70,199,000.00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4.35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39,439,885.21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2.44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16,587,152.73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1,614,167,469.53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1,067,550,269.11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66.54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243,802,637.96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15.20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93,795,752.28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82,358,100.00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5.13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1,487,941,431.59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92.74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813D2">
        <w:tc>
          <w:tcPr>
            <w:tcW w:w="851" w:type="dxa"/>
            <w:vAlign w:val="center"/>
          </w:tcPr>
          <w:p w:rsidR="002813D2" w:rsidRDefault="00C76893">
            <w:pPr>
              <w:jc w:val="center"/>
            </w:pPr>
            <w:r>
              <w:rPr>
                <w:color w:val="000000"/>
                <w:kern w:val="0"/>
                <w:sz w:val="24"/>
                <w:szCs w:val="24"/>
              </w:rPr>
              <w:t>1</w:t>
            </w:r>
          </w:p>
        </w:tc>
        <w:tc>
          <w:tcPr>
            <w:tcW w:w="1276" w:type="dxa"/>
            <w:vAlign w:val="center"/>
          </w:tcPr>
          <w:p w:rsidR="002813D2" w:rsidRDefault="00C76893">
            <w:pPr>
              <w:jc w:val="center"/>
            </w:pPr>
            <w:r>
              <w:rPr>
                <w:color w:val="000000"/>
                <w:kern w:val="0"/>
                <w:sz w:val="24"/>
                <w:szCs w:val="24"/>
              </w:rPr>
              <w:t>000651</w:t>
            </w:r>
          </w:p>
        </w:tc>
        <w:tc>
          <w:tcPr>
            <w:tcW w:w="1418" w:type="dxa"/>
            <w:vAlign w:val="center"/>
          </w:tcPr>
          <w:p w:rsidR="002813D2" w:rsidRDefault="00C76893">
            <w:pPr>
              <w:jc w:val="center"/>
            </w:pPr>
            <w:r>
              <w:rPr>
                <w:color w:val="000000"/>
                <w:kern w:val="0"/>
                <w:sz w:val="24"/>
                <w:szCs w:val="24"/>
              </w:rPr>
              <w:t>格力电器</w:t>
            </w:r>
          </w:p>
        </w:tc>
        <w:tc>
          <w:tcPr>
            <w:tcW w:w="1701" w:type="dxa"/>
            <w:vAlign w:val="center"/>
          </w:tcPr>
          <w:p w:rsidR="002813D2" w:rsidRDefault="00C76893">
            <w:pPr>
              <w:jc w:val="right"/>
            </w:pPr>
            <w:r>
              <w:rPr>
                <w:color w:val="000000"/>
                <w:kern w:val="0"/>
                <w:sz w:val="24"/>
                <w:szCs w:val="24"/>
              </w:rPr>
              <w:t>2,784,796</w:t>
            </w:r>
          </w:p>
        </w:tc>
        <w:tc>
          <w:tcPr>
            <w:tcW w:w="1984" w:type="dxa"/>
            <w:vAlign w:val="center"/>
          </w:tcPr>
          <w:p w:rsidR="002813D2" w:rsidRDefault="00C76893">
            <w:pPr>
              <w:jc w:val="right"/>
            </w:pPr>
            <w:r>
              <w:rPr>
                <w:color w:val="000000"/>
                <w:kern w:val="0"/>
                <w:sz w:val="24"/>
                <w:szCs w:val="24"/>
              </w:rPr>
              <w:t>159,568,810.80</w:t>
            </w:r>
          </w:p>
        </w:tc>
        <w:tc>
          <w:tcPr>
            <w:tcW w:w="1559" w:type="dxa"/>
            <w:vAlign w:val="center"/>
          </w:tcPr>
          <w:p w:rsidR="002813D2" w:rsidRDefault="00C76893">
            <w:pPr>
              <w:jc w:val="right"/>
            </w:pPr>
            <w:r>
              <w:rPr>
                <w:color w:val="000000"/>
                <w:kern w:val="0"/>
                <w:sz w:val="24"/>
                <w:szCs w:val="24"/>
              </w:rPr>
              <w:t>9.95</w:t>
            </w:r>
          </w:p>
        </w:tc>
      </w:tr>
      <w:tr w:rsidR="002813D2">
        <w:tc>
          <w:tcPr>
            <w:tcW w:w="851" w:type="dxa"/>
            <w:vAlign w:val="center"/>
          </w:tcPr>
          <w:p w:rsidR="002813D2" w:rsidRDefault="00C76893">
            <w:pPr>
              <w:jc w:val="center"/>
            </w:pPr>
            <w:r>
              <w:rPr>
                <w:color w:val="000000"/>
                <w:kern w:val="0"/>
                <w:sz w:val="24"/>
                <w:szCs w:val="24"/>
              </w:rPr>
              <w:t>2</w:t>
            </w:r>
          </w:p>
        </w:tc>
        <w:tc>
          <w:tcPr>
            <w:tcW w:w="1276" w:type="dxa"/>
            <w:vAlign w:val="center"/>
          </w:tcPr>
          <w:p w:rsidR="002813D2" w:rsidRDefault="00C76893">
            <w:pPr>
              <w:jc w:val="center"/>
            </w:pPr>
            <w:r>
              <w:rPr>
                <w:color w:val="000000"/>
                <w:kern w:val="0"/>
                <w:sz w:val="24"/>
                <w:szCs w:val="24"/>
              </w:rPr>
              <w:t>600519</w:t>
            </w:r>
          </w:p>
        </w:tc>
        <w:tc>
          <w:tcPr>
            <w:tcW w:w="1418" w:type="dxa"/>
            <w:vAlign w:val="center"/>
          </w:tcPr>
          <w:p w:rsidR="002813D2" w:rsidRDefault="00C76893">
            <w:pPr>
              <w:jc w:val="center"/>
            </w:pPr>
            <w:r>
              <w:rPr>
                <w:color w:val="000000"/>
                <w:kern w:val="0"/>
                <w:sz w:val="24"/>
                <w:szCs w:val="24"/>
              </w:rPr>
              <w:t>贵州茅台</w:t>
            </w:r>
          </w:p>
        </w:tc>
        <w:tc>
          <w:tcPr>
            <w:tcW w:w="1701" w:type="dxa"/>
            <w:vAlign w:val="center"/>
          </w:tcPr>
          <w:p w:rsidR="002813D2" w:rsidRDefault="00C76893">
            <w:pPr>
              <w:jc w:val="right"/>
            </w:pPr>
            <w:r>
              <w:rPr>
                <w:color w:val="000000"/>
                <w:kern w:val="0"/>
                <w:sz w:val="24"/>
                <w:szCs w:val="24"/>
              </w:rPr>
              <w:t>136,098</w:t>
            </w:r>
          </w:p>
        </w:tc>
        <w:tc>
          <w:tcPr>
            <w:tcW w:w="1984" w:type="dxa"/>
            <w:vAlign w:val="center"/>
          </w:tcPr>
          <w:p w:rsidR="002813D2" w:rsidRDefault="00C76893">
            <w:pPr>
              <w:jc w:val="right"/>
            </w:pPr>
            <w:r>
              <w:rPr>
                <w:color w:val="000000"/>
                <w:kern w:val="0"/>
                <w:sz w:val="24"/>
                <w:szCs w:val="24"/>
              </w:rPr>
              <w:t>156,512,700.00</w:t>
            </w:r>
          </w:p>
        </w:tc>
        <w:tc>
          <w:tcPr>
            <w:tcW w:w="1559" w:type="dxa"/>
            <w:vAlign w:val="center"/>
          </w:tcPr>
          <w:p w:rsidR="002813D2" w:rsidRDefault="00C76893">
            <w:pPr>
              <w:jc w:val="right"/>
            </w:pPr>
            <w:r>
              <w:rPr>
                <w:color w:val="000000"/>
                <w:kern w:val="0"/>
                <w:sz w:val="24"/>
                <w:szCs w:val="24"/>
              </w:rPr>
              <w:t>9.75</w:t>
            </w:r>
          </w:p>
        </w:tc>
      </w:tr>
      <w:tr w:rsidR="002813D2">
        <w:tc>
          <w:tcPr>
            <w:tcW w:w="851" w:type="dxa"/>
            <w:vAlign w:val="center"/>
          </w:tcPr>
          <w:p w:rsidR="002813D2" w:rsidRDefault="00C76893">
            <w:pPr>
              <w:jc w:val="center"/>
            </w:pPr>
            <w:r>
              <w:rPr>
                <w:color w:val="000000"/>
                <w:kern w:val="0"/>
                <w:sz w:val="24"/>
                <w:szCs w:val="24"/>
              </w:rPr>
              <w:t>3</w:t>
            </w:r>
          </w:p>
        </w:tc>
        <w:tc>
          <w:tcPr>
            <w:tcW w:w="1276" w:type="dxa"/>
            <w:vAlign w:val="center"/>
          </w:tcPr>
          <w:p w:rsidR="002813D2" w:rsidRDefault="00C76893">
            <w:pPr>
              <w:jc w:val="center"/>
            </w:pPr>
            <w:r>
              <w:rPr>
                <w:color w:val="000000"/>
                <w:kern w:val="0"/>
                <w:sz w:val="24"/>
                <w:szCs w:val="24"/>
              </w:rPr>
              <w:t>000858</w:t>
            </w:r>
          </w:p>
        </w:tc>
        <w:tc>
          <w:tcPr>
            <w:tcW w:w="1418" w:type="dxa"/>
            <w:vAlign w:val="center"/>
          </w:tcPr>
          <w:p w:rsidR="002813D2" w:rsidRDefault="00C76893">
            <w:pPr>
              <w:jc w:val="center"/>
            </w:pPr>
            <w:r>
              <w:rPr>
                <w:color w:val="000000"/>
                <w:kern w:val="0"/>
                <w:sz w:val="24"/>
                <w:szCs w:val="24"/>
              </w:rPr>
              <w:t>五粮液</w:t>
            </w:r>
          </w:p>
        </w:tc>
        <w:tc>
          <w:tcPr>
            <w:tcW w:w="1701" w:type="dxa"/>
            <w:vAlign w:val="center"/>
          </w:tcPr>
          <w:p w:rsidR="002813D2" w:rsidRDefault="00C76893">
            <w:pPr>
              <w:jc w:val="right"/>
            </w:pPr>
            <w:r>
              <w:rPr>
                <w:color w:val="000000"/>
                <w:kern w:val="0"/>
                <w:sz w:val="24"/>
                <w:szCs w:val="24"/>
              </w:rPr>
              <w:t>1,205,018</w:t>
            </w:r>
          </w:p>
        </w:tc>
        <w:tc>
          <w:tcPr>
            <w:tcW w:w="1984" w:type="dxa"/>
            <w:vAlign w:val="center"/>
          </w:tcPr>
          <w:p w:rsidR="002813D2" w:rsidRDefault="00C76893">
            <w:pPr>
              <w:jc w:val="right"/>
            </w:pPr>
            <w:r>
              <w:rPr>
                <w:color w:val="000000"/>
                <w:kern w:val="0"/>
                <w:sz w:val="24"/>
                <w:szCs w:val="24"/>
              </w:rPr>
              <w:t>156,411,336.40</w:t>
            </w:r>
          </w:p>
        </w:tc>
        <w:tc>
          <w:tcPr>
            <w:tcW w:w="1559" w:type="dxa"/>
            <w:vAlign w:val="center"/>
          </w:tcPr>
          <w:p w:rsidR="002813D2" w:rsidRDefault="00C76893">
            <w:pPr>
              <w:jc w:val="right"/>
            </w:pPr>
            <w:r>
              <w:rPr>
                <w:color w:val="000000"/>
                <w:kern w:val="0"/>
                <w:sz w:val="24"/>
                <w:szCs w:val="24"/>
              </w:rPr>
              <w:t>9.75</w:t>
            </w:r>
          </w:p>
        </w:tc>
      </w:tr>
      <w:tr w:rsidR="002813D2">
        <w:tc>
          <w:tcPr>
            <w:tcW w:w="851" w:type="dxa"/>
            <w:vAlign w:val="center"/>
          </w:tcPr>
          <w:p w:rsidR="002813D2" w:rsidRDefault="00C76893">
            <w:pPr>
              <w:jc w:val="center"/>
            </w:pPr>
            <w:r>
              <w:rPr>
                <w:color w:val="000000"/>
                <w:kern w:val="0"/>
                <w:sz w:val="24"/>
                <w:szCs w:val="24"/>
              </w:rPr>
              <w:t>4</w:t>
            </w:r>
          </w:p>
        </w:tc>
        <w:tc>
          <w:tcPr>
            <w:tcW w:w="1276" w:type="dxa"/>
            <w:vAlign w:val="center"/>
          </w:tcPr>
          <w:p w:rsidR="002813D2" w:rsidRDefault="00C76893">
            <w:pPr>
              <w:jc w:val="center"/>
            </w:pPr>
            <w:r>
              <w:rPr>
                <w:color w:val="000000"/>
                <w:kern w:val="0"/>
                <w:sz w:val="24"/>
                <w:szCs w:val="24"/>
              </w:rPr>
              <w:t>000568</w:t>
            </w:r>
          </w:p>
        </w:tc>
        <w:tc>
          <w:tcPr>
            <w:tcW w:w="1418" w:type="dxa"/>
            <w:vAlign w:val="center"/>
          </w:tcPr>
          <w:p w:rsidR="002813D2" w:rsidRDefault="00C76893">
            <w:pPr>
              <w:jc w:val="center"/>
            </w:pPr>
            <w:r>
              <w:rPr>
                <w:color w:val="000000"/>
                <w:kern w:val="0"/>
                <w:sz w:val="24"/>
                <w:szCs w:val="24"/>
              </w:rPr>
              <w:t>泸州老窖</w:t>
            </w:r>
          </w:p>
        </w:tc>
        <w:tc>
          <w:tcPr>
            <w:tcW w:w="1701" w:type="dxa"/>
            <w:vAlign w:val="center"/>
          </w:tcPr>
          <w:p w:rsidR="002813D2" w:rsidRDefault="00C76893">
            <w:pPr>
              <w:jc w:val="right"/>
            </w:pPr>
            <w:r>
              <w:rPr>
                <w:color w:val="000000"/>
                <w:kern w:val="0"/>
                <w:sz w:val="24"/>
                <w:szCs w:val="24"/>
              </w:rPr>
              <w:t>1,662,935</w:t>
            </w:r>
          </w:p>
        </w:tc>
        <w:tc>
          <w:tcPr>
            <w:tcW w:w="1984" w:type="dxa"/>
            <w:vAlign w:val="center"/>
          </w:tcPr>
          <w:p w:rsidR="002813D2" w:rsidRDefault="00C76893">
            <w:pPr>
              <w:jc w:val="right"/>
            </w:pPr>
            <w:r>
              <w:rPr>
                <w:color w:val="000000"/>
                <w:kern w:val="0"/>
                <w:sz w:val="24"/>
                <w:szCs w:val="24"/>
              </w:rPr>
              <w:t>141,715,320.70</w:t>
            </w:r>
          </w:p>
        </w:tc>
        <w:tc>
          <w:tcPr>
            <w:tcW w:w="1559" w:type="dxa"/>
            <w:vAlign w:val="center"/>
          </w:tcPr>
          <w:p w:rsidR="002813D2" w:rsidRDefault="00C76893">
            <w:pPr>
              <w:jc w:val="right"/>
            </w:pPr>
            <w:r>
              <w:rPr>
                <w:color w:val="000000"/>
                <w:kern w:val="0"/>
                <w:sz w:val="24"/>
                <w:szCs w:val="24"/>
              </w:rPr>
              <w:t>8.83</w:t>
            </w:r>
          </w:p>
        </w:tc>
      </w:tr>
      <w:tr w:rsidR="002813D2">
        <w:tc>
          <w:tcPr>
            <w:tcW w:w="851" w:type="dxa"/>
            <w:vAlign w:val="center"/>
          </w:tcPr>
          <w:p w:rsidR="002813D2" w:rsidRDefault="00C76893">
            <w:pPr>
              <w:jc w:val="center"/>
            </w:pPr>
            <w:r>
              <w:rPr>
                <w:color w:val="000000"/>
                <w:kern w:val="0"/>
                <w:sz w:val="24"/>
                <w:szCs w:val="24"/>
              </w:rPr>
              <w:t>5</w:t>
            </w:r>
          </w:p>
        </w:tc>
        <w:tc>
          <w:tcPr>
            <w:tcW w:w="1276" w:type="dxa"/>
            <w:vAlign w:val="center"/>
          </w:tcPr>
          <w:p w:rsidR="002813D2" w:rsidRDefault="00C76893">
            <w:pPr>
              <w:jc w:val="center"/>
            </w:pPr>
            <w:r>
              <w:rPr>
                <w:color w:val="000000"/>
                <w:kern w:val="0"/>
                <w:sz w:val="24"/>
                <w:szCs w:val="24"/>
              </w:rPr>
              <w:t>002304</w:t>
            </w:r>
          </w:p>
        </w:tc>
        <w:tc>
          <w:tcPr>
            <w:tcW w:w="1418" w:type="dxa"/>
            <w:vAlign w:val="center"/>
          </w:tcPr>
          <w:p w:rsidR="002813D2" w:rsidRDefault="00C76893">
            <w:pPr>
              <w:jc w:val="center"/>
            </w:pPr>
            <w:r>
              <w:rPr>
                <w:color w:val="000000"/>
                <w:kern w:val="0"/>
                <w:sz w:val="24"/>
                <w:szCs w:val="24"/>
              </w:rPr>
              <w:t>洋河股份</w:t>
            </w:r>
          </w:p>
        </w:tc>
        <w:tc>
          <w:tcPr>
            <w:tcW w:w="1701" w:type="dxa"/>
            <w:vAlign w:val="center"/>
          </w:tcPr>
          <w:p w:rsidR="002813D2" w:rsidRDefault="00C76893">
            <w:pPr>
              <w:jc w:val="right"/>
            </w:pPr>
            <w:r>
              <w:rPr>
                <w:color w:val="000000"/>
                <w:kern w:val="0"/>
                <w:sz w:val="24"/>
                <w:szCs w:val="24"/>
              </w:rPr>
              <w:t>1,288,307</w:t>
            </w:r>
          </w:p>
        </w:tc>
        <w:tc>
          <w:tcPr>
            <w:tcW w:w="1984" w:type="dxa"/>
            <w:vAlign w:val="center"/>
          </w:tcPr>
          <w:p w:rsidR="002813D2" w:rsidRDefault="00C76893">
            <w:pPr>
              <w:jc w:val="right"/>
            </w:pPr>
            <w:r>
              <w:rPr>
                <w:color w:val="000000"/>
                <w:kern w:val="0"/>
                <w:sz w:val="24"/>
                <w:szCs w:val="24"/>
              </w:rPr>
              <w:t>133,983,928.00</w:t>
            </w:r>
          </w:p>
        </w:tc>
        <w:tc>
          <w:tcPr>
            <w:tcW w:w="1559" w:type="dxa"/>
            <w:vAlign w:val="center"/>
          </w:tcPr>
          <w:p w:rsidR="002813D2" w:rsidRDefault="00C76893">
            <w:pPr>
              <w:jc w:val="right"/>
            </w:pPr>
            <w:r>
              <w:rPr>
                <w:color w:val="000000"/>
                <w:kern w:val="0"/>
                <w:sz w:val="24"/>
                <w:szCs w:val="24"/>
              </w:rPr>
              <w:t>8.35</w:t>
            </w:r>
          </w:p>
        </w:tc>
      </w:tr>
      <w:tr w:rsidR="002813D2">
        <w:tc>
          <w:tcPr>
            <w:tcW w:w="851" w:type="dxa"/>
            <w:vAlign w:val="center"/>
          </w:tcPr>
          <w:p w:rsidR="002813D2" w:rsidRDefault="00C76893">
            <w:pPr>
              <w:jc w:val="center"/>
            </w:pPr>
            <w:r>
              <w:rPr>
                <w:color w:val="000000"/>
                <w:kern w:val="0"/>
                <w:sz w:val="24"/>
                <w:szCs w:val="24"/>
              </w:rPr>
              <w:t>6</w:t>
            </w:r>
          </w:p>
        </w:tc>
        <w:tc>
          <w:tcPr>
            <w:tcW w:w="1276" w:type="dxa"/>
            <w:vAlign w:val="center"/>
          </w:tcPr>
          <w:p w:rsidR="002813D2" w:rsidRDefault="00C76893">
            <w:pPr>
              <w:jc w:val="center"/>
            </w:pPr>
            <w:r>
              <w:rPr>
                <w:color w:val="000000"/>
                <w:kern w:val="0"/>
                <w:sz w:val="24"/>
                <w:szCs w:val="24"/>
              </w:rPr>
              <w:t>600009</w:t>
            </w:r>
          </w:p>
        </w:tc>
        <w:tc>
          <w:tcPr>
            <w:tcW w:w="1418" w:type="dxa"/>
            <w:vAlign w:val="center"/>
          </w:tcPr>
          <w:p w:rsidR="002813D2" w:rsidRDefault="00C76893">
            <w:pPr>
              <w:jc w:val="center"/>
            </w:pPr>
            <w:r>
              <w:rPr>
                <w:color w:val="000000"/>
                <w:kern w:val="0"/>
                <w:sz w:val="24"/>
                <w:szCs w:val="24"/>
              </w:rPr>
              <w:t>上海机场</w:t>
            </w:r>
          </w:p>
        </w:tc>
        <w:tc>
          <w:tcPr>
            <w:tcW w:w="1701" w:type="dxa"/>
            <w:vAlign w:val="center"/>
          </w:tcPr>
          <w:p w:rsidR="002813D2" w:rsidRDefault="00C76893">
            <w:pPr>
              <w:jc w:val="right"/>
            </w:pPr>
            <w:r>
              <w:rPr>
                <w:color w:val="000000"/>
                <w:kern w:val="0"/>
                <w:sz w:val="24"/>
                <w:szCs w:val="24"/>
              </w:rPr>
              <w:t>1,629,557</w:t>
            </w:r>
          </w:p>
        </w:tc>
        <w:tc>
          <w:tcPr>
            <w:tcW w:w="1984" w:type="dxa"/>
            <w:vAlign w:val="center"/>
          </w:tcPr>
          <w:p w:rsidR="002813D2" w:rsidRDefault="00C76893">
            <w:pPr>
              <w:jc w:val="right"/>
            </w:pPr>
            <w:r>
              <w:rPr>
                <w:color w:val="000000"/>
                <w:kern w:val="0"/>
                <w:sz w:val="24"/>
                <w:szCs w:val="24"/>
              </w:rPr>
              <w:t>130,006,057.46</w:t>
            </w:r>
          </w:p>
        </w:tc>
        <w:tc>
          <w:tcPr>
            <w:tcW w:w="1559" w:type="dxa"/>
            <w:vAlign w:val="center"/>
          </w:tcPr>
          <w:p w:rsidR="002813D2" w:rsidRDefault="00C76893">
            <w:pPr>
              <w:jc w:val="right"/>
            </w:pPr>
            <w:r>
              <w:rPr>
                <w:color w:val="000000"/>
                <w:kern w:val="0"/>
                <w:sz w:val="24"/>
                <w:szCs w:val="24"/>
              </w:rPr>
              <w:t>8.10</w:t>
            </w:r>
          </w:p>
        </w:tc>
      </w:tr>
      <w:tr w:rsidR="002813D2">
        <w:tc>
          <w:tcPr>
            <w:tcW w:w="851" w:type="dxa"/>
            <w:vAlign w:val="center"/>
          </w:tcPr>
          <w:p w:rsidR="002813D2" w:rsidRDefault="00C76893">
            <w:pPr>
              <w:jc w:val="center"/>
            </w:pPr>
            <w:r>
              <w:rPr>
                <w:color w:val="000000"/>
                <w:kern w:val="0"/>
                <w:sz w:val="24"/>
                <w:szCs w:val="24"/>
              </w:rPr>
              <w:t>7</w:t>
            </w:r>
          </w:p>
        </w:tc>
        <w:tc>
          <w:tcPr>
            <w:tcW w:w="1276" w:type="dxa"/>
            <w:vAlign w:val="center"/>
          </w:tcPr>
          <w:p w:rsidR="002813D2" w:rsidRDefault="00C76893">
            <w:pPr>
              <w:jc w:val="center"/>
            </w:pPr>
            <w:r>
              <w:rPr>
                <w:color w:val="000000"/>
                <w:kern w:val="0"/>
                <w:sz w:val="24"/>
                <w:szCs w:val="24"/>
              </w:rPr>
              <w:t>000333</w:t>
            </w:r>
          </w:p>
        </w:tc>
        <w:tc>
          <w:tcPr>
            <w:tcW w:w="1418" w:type="dxa"/>
            <w:vAlign w:val="center"/>
          </w:tcPr>
          <w:p w:rsidR="002813D2" w:rsidRDefault="00C76893">
            <w:pPr>
              <w:jc w:val="center"/>
            </w:pPr>
            <w:r>
              <w:rPr>
                <w:color w:val="000000"/>
                <w:kern w:val="0"/>
                <w:sz w:val="24"/>
                <w:szCs w:val="24"/>
              </w:rPr>
              <w:t>美的集团</w:t>
            </w:r>
          </w:p>
        </w:tc>
        <w:tc>
          <w:tcPr>
            <w:tcW w:w="1701" w:type="dxa"/>
            <w:vAlign w:val="center"/>
          </w:tcPr>
          <w:p w:rsidR="002813D2" w:rsidRDefault="00C76893">
            <w:pPr>
              <w:jc w:val="right"/>
            </w:pPr>
            <w:r>
              <w:rPr>
                <w:color w:val="000000"/>
                <w:kern w:val="0"/>
                <w:sz w:val="24"/>
                <w:szCs w:val="24"/>
              </w:rPr>
              <w:t>2,324,023</w:t>
            </w:r>
          </w:p>
        </w:tc>
        <w:tc>
          <w:tcPr>
            <w:tcW w:w="1984" w:type="dxa"/>
            <w:vAlign w:val="center"/>
          </w:tcPr>
          <w:p w:rsidR="002813D2" w:rsidRDefault="00C76893">
            <w:pPr>
              <w:jc w:val="right"/>
            </w:pPr>
            <w:r>
              <w:rPr>
                <w:color w:val="000000"/>
                <w:kern w:val="0"/>
                <w:sz w:val="24"/>
                <w:szCs w:val="24"/>
              </w:rPr>
              <w:t>118,757,575.30</w:t>
            </w:r>
          </w:p>
        </w:tc>
        <w:tc>
          <w:tcPr>
            <w:tcW w:w="1559" w:type="dxa"/>
            <w:vAlign w:val="center"/>
          </w:tcPr>
          <w:p w:rsidR="002813D2" w:rsidRDefault="00C76893">
            <w:pPr>
              <w:jc w:val="right"/>
            </w:pPr>
            <w:r>
              <w:rPr>
                <w:color w:val="000000"/>
                <w:kern w:val="0"/>
                <w:sz w:val="24"/>
                <w:szCs w:val="24"/>
              </w:rPr>
              <w:t>7.40</w:t>
            </w:r>
          </w:p>
        </w:tc>
      </w:tr>
      <w:tr w:rsidR="002813D2">
        <w:tc>
          <w:tcPr>
            <w:tcW w:w="851" w:type="dxa"/>
            <w:vAlign w:val="center"/>
          </w:tcPr>
          <w:p w:rsidR="002813D2" w:rsidRDefault="00C76893">
            <w:pPr>
              <w:jc w:val="center"/>
            </w:pPr>
            <w:r>
              <w:rPr>
                <w:color w:val="000000"/>
                <w:kern w:val="0"/>
                <w:sz w:val="24"/>
                <w:szCs w:val="24"/>
              </w:rPr>
              <w:t>8</w:t>
            </w:r>
          </w:p>
        </w:tc>
        <w:tc>
          <w:tcPr>
            <w:tcW w:w="1276" w:type="dxa"/>
            <w:vAlign w:val="center"/>
          </w:tcPr>
          <w:p w:rsidR="002813D2" w:rsidRDefault="00C76893">
            <w:pPr>
              <w:jc w:val="center"/>
            </w:pPr>
            <w:r>
              <w:rPr>
                <w:color w:val="000000"/>
                <w:kern w:val="0"/>
                <w:sz w:val="24"/>
                <w:szCs w:val="24"/>
              </w:rPr>
              <w:t>600004</w:t>
            </w:r>
          </w:p>
        </w:tc>
        <w:tc>
          <w:tcPr>
            <w:tcW w:w="1418" w:type="dxa"/>
            <w:vAlign w:val="center"/>
          </w:tcPr>
          <w:p w:rsidR="002813D2" w:rsidRDefault="00C76893">
            <w:pPr>
              <w:jc w:val="center"/>
            </w:pPr>
            <w:r>
              <w:rPr>
                <w:color w:val="000000"/>
                <w:kern w:val="0"/>
                <w:sz w:val="24"/>
                <w:szCs w:val="24"/>
              </w:rPr>
              <w:t>白云机场</w:t>
            </w:r>
          </w:p>
        </w:tc>
        <w:tc>
          <w:tcPr>
            <w:tcW w:w="1701" w:type="dxa"/>
            <w:vAlign w:val="center"/>
          </w:tcPr>
          <w:p w:rsidR="002813D2" w:rsidRDefault="00C76893">
            <w:pPr>
              <w:jc w:val="right"/>
            </w:pPr>
            <w:r>
              <w:rPr>
                <w:color w:val="000000"/>
                <w:kern w:val="0"/>
                <w:sz w:val="24"/>
                <w:szCs w:val="24"/>
              </w:rPr>
              <w:t>5,068,890</w:t>
            </w:r>
          </w:p>
        </w:tc>
        <w:tc>
          <w:tcPr>
            <w:tcW w:w="1984" w:type="dxa"/>
            <w:vAlign w:val="center"/>
          </w:tcPr>
          <w:p w:rsidR="002813D2" w:rsidRDefault="00C76893">
            <w:pPr>
              <w:jc w:val="right"/>
            </w:pPr>
            <w:r>
              <w:rPr>
                <w:color w:val="000000"/>
                <w:kern w:val="0"/>
                <w:sz w:val="24"/>
                <w:szCs w:val="24"/>
              </w:rPr>
              <w:t>113,796,580.50</w:t>
            </w:r>
          </w:p>
        </w:tc>
        <w:tc>
          <w:tcPr>
            <w:tcW w:w="1559" w:type="dxa"/>
            <w:vAlign w:val="center"/>
          </w:tcPr>
          <w:p w:rsidR="002813D2" w:rsidRDefault="00C76893">
            <w:pPr>
              <w:jc w:val="right"/>
            </w:pPr>
            <w:r>
              <w:rPr>
                <w:color w:val="000000"/>
                <w:kern w:val="0"/>
                <w:sz w:val="24"/>
                <w:szCs w:val="24"/>
              </w:rPr>
              <w:t>7.09</w:t>
            </w:r>
          </w:p>
        </w:tc>
      </w:tr>
      <w:tr w:rsidR="002813D2">
        <w:tc>
          <w:tcPr>
            <w:tcW w:w="851" w:type="dxa"/>
            <w:vAlign w:val="center"/>
          </w:tcPr>
          <w:p w:rsidR="002813D2" w:rsidRDefault="00C76893">
            <w:pPr>
              <w:jc w:val="center"/>
            </w:pPr>
            <w:r>
              <w:rPr>
                <w:color w:val="000000"/>
                <w:kern w:val="0"/>
                <w:sz w:val="24"/>
                <w:szCs w:val="24"/>
              </w:rPr>
              <w:t>9</w:t>
            </w:r>
          </w:p>
        </w:tc>
        <w:tc>
          <w:tcPr>
            <w:tcW w:w="1276" w:type="dxa"/>
            <w:vAlign w:val="center"/>
          </w:tcPr>
          <w:p w:rsidR="002813D2" w:rsidRDefault="00C76893">
            <w:pPr>
              <w:jc w:val="center"/>
            </w:pPr>
            <w:r>
              <w:rPr>
                <w:color w:val="000000"/>
                <w:kern w:val="0"/>
                <w:sz w:val="24"/>
                <w:szCs w:val="24"/>
              </w:rPr>
              <w:t>601318</w:t>
            </w:r>
          </w:p>
        </w:tc>
        <w:tc>
          <w:tcPr>
            <w:tcW w:w="1418" w:type="dxa"/>
            <w:vAlign w:val="center"/>
          </w:tcPr>
          <w:p w:rsidR="002813D2" w:rsidRDefault="00C76893">
            <w:pPr>
              <w:jc w:val="center"/>
            </w:pPr>
            <w:r>
              <w:rPr>
                <w:color w:val="000000"/>
                <w:kern w:val="0"/>
                <w:sz w:val="24"/>
                <w:szCs w:val="24"/>
              </w:rPr>
              <w:t>中国平安</w:t>
            </w:r>
          </w:p>
        </w:tc>
        <w:tc>
          <w:tcPr>
            <w:tcW w:w="1701" w:type="dxa"/>
            <w:vAlign w:val="center"/>
          </w:tcPr>
          <w:p w:rsidR="002813D2" w:rsidRDefault="00C76893">
            <w:pPr>
              <w:jc w:val="right"/>
            </w:pPr>
            <w:r>
              <w:rPr>
                <w:color w:val="000000"/>
                <w:kern w:val="0"/>
                <w:sz w:val="24"/>
                <w:szCs w:val="24"/>
              </w:rPr>
              <w:t>1,077,177</w:t>
            </w:r>
          </w:p>
        </w:tc>
        <w:tc>
          <w:tcPr>
            <w:tcW w:w="1984" w:type="dxa"/>
            <w:vAlign w:val="center"/>
          </w:tcPr>
          <w:p w:rsidR="002813D2" w:rsidRDefault="00C76893">
            <w:pPr>
              <w:jc w:val="right"/>
            </w:pPr>
            <w:r>
              <w:rPr>
                <w:color w:val="000000"/>
                <w:kern w:val="0"/>
                <w:sz w:val="24"/>
                <w:szCs w:val="24"/>
              </w:rPr>
              <w:t>93,757,486.08</w:t>
            </w:r>
          </w:p>
        </w:tc>
        <w:tc>
          <w:tcPr>
            <w:tcW w:w="1559" w:type="dxa"/>
            <w:vAlign w:val="center"/>
          </w:tcPr>
          <w:p w:rsidR="002813D2" w:rsidRDefault="00C76893">
            <w:pPr>
              <w:jc w:val="right"/>
            </w:pPr>
            <w:r>
              <w:rPr>
                <w:color w:val="000000"/>
                <w:kern w:val="0"/>
                <w:sz w:val="24"/>
                <w:szCs w:val="24"/>
              </w:rPr>
              <w:t>5.84</w:t>
            </w:r>
          </w:p>
        </w:tc>
      </w:tr>
      <w:tr w:rsidR="002813D2">
        <w:tc>
          <w:tcPr>
            <w:tcW w:w="851" w:type="dxa"/>
            <w:vAlign w:val="center"/>
          </w:tcPr>
          <w:p w:rsidR="002813D2" w:rsidRDefault="00C76893">
            <w:pPr>
              <w:jc w:val="center"/>
            </w:pPr>
            <w:r>
              <w:rPr>
                <w:color w:val="000000"/>
                <w:kern w:val="0"/>
                <w:sz w:val="24"/>
                <w:szCs w:val="24"/>
              </w:rPr>
              <w:t>10</w:t>
            </w:r>
          </w:p>
        </w:tc>
        <w:tc>
          <w:tcPr>
            <w:tcW w:w="1276" w:type="dxa"/>
            <w:vAlign w:val="center"/>
          </w:tcPr>
          <w:p w:rsidR="002813D2" w:rsidRDefault="00C76893">
            <w:pPr>
              <w:jc w:val="center"/>
            </w:pPr>
            <w:r>
              <w:rPr>
                <w:color w:val="000000"/>
                <w:kern w:val="0"/>
                <w:sz w:val="24"/>
                <w:szCs w:val="24"/>
              </w:rPr>
              <w:t>601888</w:t>
            </w:r>
          </w:p>
        </w:tc>
        <w:tc>
          <w:tcPr>
            <w:tcW w:w="1418" w:type="dxa"/>
            <w:vAlign w:val="center"/>
          </w:tcPr>
          <w:p w:rsidR="002813D2" w:rsidRDefault="00C76893">
            <w:pPr>
              <w:jc w:val="center"/>
            </w:pPr>
            <w:r>
              <w:rPr>
                <w:color w:val="000000"/>
                <w:kern w:val="0"/>
                <w:sz w:val="24"/>
                <w:szCs w:val="24"/>
              </w:rPr>
              <w:t>中国国旅</w:t>
            </w:r>
          </w:p>
        </w:tc>
        <w:tc>
          <w:tcPr>
            <w:tcW w:w="1701" w:type="dxa"/>
            <w:vAlign w:val="center"/>
          </w:tcPr>
          <w:p w:rsidR="002813D2" w:rsidRDefault="00C76893">
            <w:pPr>
              <w:jc w:val="right"/>
            </w:pPr>
            <w:r>
              <w:rPr>
                <w:color w:val="000000"/>
                <w:kern w:val="0"/>
                <w:sz w:val="24"/>
                <w:szCs w:val="24"/>
              </w:rPr>
              <w:t>885,000</w:t>
            </w:r>
          </w:p>
        </w:tc>
        <w:tc>
          <w:tcPr>
            <w:tcW w:w="1984" w:type="dxa"/>
            <w:vAlign w:val="center"/>
          </w:tcPr>
          <w:p w:rsidR="002813D2" w:rsidRDefault="00C76893">
            <w:pPr>
              <w:jc w:val="right"/>
            </w:pPr>
            <w:r>
              <w:rPr>
                <w:color w:val="000000"/>
                <w:kern w:val="0"/>
                <w:sz w:val="24"/>
                <w:szCs w:val="24"/>
              </w:rPr>
              <w:t>82,358,100.00</w:t>
            </w:r>
          </w:p>
        </w:tc>
        <w:tc>
          <w:tcPr>
            <w:tcW w:w="1559" w:type="dxa"/>
            <w:vAlign w:val="center"/>
          </w:tcPr>
          <w:p w:rsidR="002813D2" w:rsidRDefault="00C76893">
            <w:pPr>
              <w:jc w:val="right"/>
            </w:pPr>
            <w:r>
              <w:rPr>
                <w:color w:val="000000"/>
                <w:kern w:val="0"/>
                <w:sz w:val="24"/>
                <w:szCs w:val="24"/>
              </w:rPr>
              <w:t>5.13</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70,199,000.00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4.38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70,199,000.00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4.38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70,199,000.00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4.38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813D2">
        <w:tc>
          <w:tcPr>
            <w:tcW w:w="959" w:type="dxa"/>
            <w:vAlign w:val="center"/>
          </w:tcPr>
          <w:p w:rsidR="002813D2" w:rsidRDefault="00C76893">
            <w:pPr>
              <w:jc w:val="center"/>
            </w:pPr>
            <w:r>
              <w:rPr>
                <w:color w:val="000000"/>
                <w:kern w:val="0"/>
                <w:sz w:val="24"/>
                <w:szCs w:val="24"/>
              </w:rPr>
              <w:t>1</w:t>
            </w:r>
          </w:p>
        </w:tc>
        <w:tc>
          <w:tcPr>
            <w:tcW w:w="1276" w:type="dxa"/>
            <w:vAlign w:val="center"/>
          </w:tcPr>
          <w:p w:rsidR="002813D2" w:rsidRDefault="00C76893">
            <w:pPr>
              <w:jc w:val="center"/>
            </w:pPr>
            <w:r>
              <w:rPr>
                <w:color w:val="000000"/>
                <w:kern w:val="0"/>
                <w:sz w:val="24"/>
                <w:szCs w:val="24"/>
              </w:rPr>
              <w:t>170205</w:t>
            </w:r>
          </w:p>
        </w:tc>
        <w:tc>
          <w:tcPr>
            <w:tcW w:w="1275" w:type="dxa"/>
            <w:vAlign w:val="center"/>
          </w:tcPr>
          <w:p w:rsidR="002813D2" w:rsidRDefault="00C76893">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2813D2" w:rsidRDefault="00C76893">
            <w:pPr>
              <w:jc w:val="right"/>
            </w:pPr>
            <w:r>
              <w:rPr>
                <w:color w:val="000000"/>
                <w:kern w:val="0"/>
                <w:sz w:val="24"/>
                <w:szCs w:val="24"/>
              </w:rPr>
              <w:t>400,000</w:t>
            </w:r>
          </w:p>
        </w:tc>
        <w:tc>
          <w:tcPr>
            <w:tcW w:w="1984" w:type="dxa"/>
            <w:vAlign w:val="center"/>
          </w:tcPr>
          <w:p w:rsidR="002813D2" w:rsidRDefault="00C76893">
            <w:pPr>
              <w:jc w:val="right"/>
            </w:pPr>
            <w:r>
              <w:rPr>
                <w:color w:val="000000"/>
                <w:kern w:val="0"/>
                <w:sz w:val="24"/>
                <w:szCs w:val="24"/>
              </w:rPr>
              <w:t>40,232,000.00</w:t>
            </w:r>
          </w:p>
        </w:tc>
        <w:tc>
          <w:tcPr>
            <w:tcW w:w="1474" w:type="dxa"/>
            <w:vAlign w:val="center"/>
          </w:tcPr>
          <w:p w:rsidR="002813D2" w:rsidRDefault="00C76893">
            <w:pPr>
              <w:jc w:val="right"/>
            </w:pPr>
            <w:r>
              <w:rPr>
                <w:color w:val="000000"/>
                <w:kern w:val="0"/>
                <w:sz w:val="24"/>
                <w:szCs w:val="24"/>
              </w:rPr>
              <w:t>2.51</w:t>
            </w:r>
          </w:p>
        </w:tc>
      </w:tr>
      <w:tr w:rsidR="002813D2">
        <w:tc>
          <w:tcPr>
            <w:tcW w:w="959" w:type="dxa"/>
            <w:vAlign w:val="center"/>
          </w:tcPr>
          <w:p w:rsidR="002813D2" w:rsidRDefault="00C76893">
            <w:pPr>
              <w:jc w:val="center"/>
            </w:pPr>
            <w:r>
              <w:rPr>
                <w:color w:val="000000"/>
                <w:kern w:val="0"/>
                <w:sz w:val="24"/>
                <w:szCs w:val="24"/>
              </w:rPr>
              <w:t>2</w:t>
            </w:r>
          </w:p>
        </w:tc>
        <w:tc>
          <w:tcPr>
            <w:tcW w:w="1276" w:type="dxa"/>
            <w:vAlign w:val="center"/>
          </w:tcPr>
          <w:p w:rsidR="002813D2" w:rsidRDefault="00C76893">
            <w:pPr>
              <w:jc w:val="center"/>
            </w:pPr>
            <w:r>
              <w:rPr>
                <w:color w:val="000000"/>
                <w:kern w:val="0"/>
                <w:sz w:val="24"/>
                <w:szCs w:val="24"/>
              </w:rPr>
              <w:t>190402</w:t>
            </w:r>
          </w:p>
        </w:tc>
        <w:tc>
          <w:tcPr>
            <w:tcW w:w="1275" w:type="dxa"/>
            <w:vAlign w:val="center"/>
          </w:tcPr>
          <w:p w:rsidR="002813D2" w:rsidRDefault="00C76893">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2813D2" w:rsidRDefault="00C76893">
            <w:pPr>
              <w:jc w:val="right"/>
            </w:pPr>
            <w:r>
              <w:rPr>
                <w:color w:val="000000"/>
                <w:kern w:val="0"/>
                <w:sz w:val="24"/>
                <w:szCs w:val="24"/>
              </w:rPr>
              <w:t>300,000</w:t>
            </w:r>
          </w:p>
        </w:tc>
        <w:tc>
          <w:tcPr>
            <w:tcW w:w="1984" w:type="dxa"/>
            <w:vAlign w:val="center"/>
          </w:tcPr>
          <w:p w:rsidR="002813D2" w:rsidRDefault="00C76893">
            <w:pPr>
              <w:jc w:val="right"/>
            </w:pPr>
            <w:r>
              <w:rPr>
                <w:color w:val="000000"/>
                <w:kern w:val="0"/>
                <w:sz w:val="24"/>
                <w:szCs w:val="24"/>
              </w:rPr>
              <w:t>29,967,000.00</w:t>
            </w:r>
          </w:p>
        </w:tc>
        <w:tc>
          <w:tcPr>
            <w:tcW w:w="1474" w:type="dxa"/>
            <w:vAlign w:val="center"/>
          </w:tcPr>
          <w:p w:rsidR="002813D2" w:rsidRDefault="00C76893">
            <w:pPr>
              <w:jc w:val="right"/>
            </w:pPr>
            <w:r>
              <w:rPr>
                <w:color w:val="000000"/>
                <w:kern w:val="0"/>
                <w:sz w:val="24"/>
                <w:szCs w:val="24"/>
              </w:rPr>
              <w:t>1.87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594,487.44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13,486,326.54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1,102,711.56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1,403,627.19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16,587,152.73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1,642,445,306.83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110,521,213.34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348,402,672.72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1,404,563,847.45</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2813D2" w:rsidRDefault="00C76893">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中国证监会准予易方达改革红利混合型证券投资基金注册的文件；</w:t>
      </w:r>
    </w:p>
    <w:p w:rsidR="002813D2" w:rsidRDefault="00C76893">
      <w:pPr>
        <w:spacing w:line="360" w:lineRule="auto"/>
        <w:ind w:firstLineChars="200" w:firstLine="480"/>
        <w:rPr>
          <w:color w:val="000000"/>
          <w:sz w:val="24"/>
          <w:szCs w:val="24"/>
        </w:rPr>
      </w:pPr>
      <w:r>
        <w:rPr>
          <w:color w:val="000000"/>
          <w:sz w:val="24"/>
          <w:szCs w:val="24"/>
        </w:rPr>
        <w:t>2.</w:t>
      </w:r>
      <w:r>
        <w:rPr>
          <w:color w:val="000000"/>
          <w:sz w:val="24"/>
          <w:szCs w:val="24"/>
        </w:rPr>
        <w:t>《易方达改革红利混合型证券投资基金基金合同》；</w:t>
      </w:r>
    </w:p>
    <w:p w:rsidR="002813D2" w:rsidRDefault="00C76893">
      <w:pPr>
        <w:spacing w:line="360" w:lineRule="auto"/>
        <w:ind w:firstLineChars="200" w:firstLine="480"/>
        <w:rPr>
          <w:color w:val="000000"/>
          <w:sz w:val="24"/>
          <w:szCs w:val="24"/>
        </w:rPr>
      </w:pPr>
      <w:r>
        <w:rPr>
          <w:color w:val="000000"/>
          <w:sz w:val="24"/>
          <w:szCs w:val="24"/>
        </w:rPr>
        <w:t>3.</w:t>
      </w:r>
      <w:r>
        <w:rPr>
          <w:color w:val="000000"/>
          <w:sz w:val="24"/>
          <w:szCs w:val="24"/>
        </w:rPr>
        <w:t>《易方达改革红利混合型证券投资基金托管协议》；</w:t>
      </w:r>
    </w:p>
    <w:p w:rsidR="002813D2" w:rsidRDefault="00C76893">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C76893">
      <w:rPr>
        <w:rStyle w:val="a7"/>
        <w:noProof/>
      </w:rPr>
      <w:t>1</w:t>
    </w:r>
    <w:r>
      <w:rPr>
        <w:rStyle w:val="a7"/>
      </w:rPr>
      <w:fldChar w:fldCharType="end"/>
    </w:r>
    <w:r>
      <w:rPr>
        <w:rStyle w:val="a7"/>
        <w:rFonts w:hint="eastAsia"/>
      </w:rPr>
      <w:t>页共</w:t>
    </w:r>
    <w:r w:rsidR="00C76893">
      <w:fldChar w:fldCharType="begin"/>
    </w:r>
    <w:r w:rsidR="00C76893">
      <w:instrText xml:space="preserve"> NUMPAGES  \* Arabic  \* MERGEFORMAT </w:instrText>
    </w:r>
    <w:r w:rsidR="00C76893">
      <w:fldChar w:fldCharType="separate"/>
    </w:r>
    <w:r w:rsidR="00C76893" w:rsidRPr="00C76893">
      <w:rPr>
        <w:rStyle w:val="a7"/>
        <w:noProof/>
      </w:rPr>
      <w:t>3</w:t>
    </w:r>
    <w:r w:rsidR="00C76893">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C76893">
      <w:rPr>
        <w:rStyle w:val="a7"/>
        <w:noProof/>
      </w:rPr>
      <w:t>11</w:t>
    </w:r>
    <w:r>
      <w:rPr>
        <w:rStyle w:val="a7"/>
      </w:rPr>
      <w:fldChar w:fldCharType="end"/>
    </w:r>
    <w:r>
      <w:rPr>
        <w:rStyle w:val="a7"/>
        <w:rFonts w:hint="eastAsia"/>
      </w:rPr>
      <w:t>页共</w:t>
    </w:r>
    <w:fldSimple w:instr=" NUMPAGES  \* Arabic  \* MERGEFORMAT ">
      <w:r w:rsidR="00C76893" w:rsidRPr="00C76893">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易方达改革红利混合型证券投资基金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13D2"/>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6893"/>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D6CAF-A1B7-472A-B6CF-15EB70E2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