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DE9" w:rsidRPr="006662B2" w:rsidRDefault="00701DE9" w:rsidP="00814461">
      <w:pPr>
        <w:spacing w:line="360" w:lineRule="auto"/>
        <w:jc w:val="center"/>
        <w:rPr>
          <w:rFonts w:ascii="宋体"/>
          <w:b/>
          <w:bCs/>
          <w:color w:val="000000"/>
          <w:sz w:val="24"/>
        </w:rPr>
      </w:pPr>
      <w:bookmarkStart w:id="0" w:name="_GoBack"/>
      <w:bookmarkEnd w:id="0"/>
    </w:p>
    <w:p w:rsidR="00701DE9" w:rsidRPr="006662B2" w:rsidRDefault="00701DE9" w:rsidP="00814461">
      <w:pPr>
        <w:spacing w:line="360" w:lineRule="auto"/>
        <w:jc w:val="center"/>
        <w:rPr>
          <w:rFonts w:ascii="宋体"/>
          <w:b/>
          <w:bCs/>
          <w:color w:val="000000"/>
          <w:sz w:val="24"/>
        </w:rPr>
      </w:pPr>
    </w:p>
    <w:p w:rsidR="00701DE9" w:rsidRPr="006662B2" w:rsidRDefault="00701DE9" w:rsidP="00814461">
      <w:pPr>
        <w:spacing w:line="360" w:lineRule="auto"/>
        <w:jc w:val="center"/>
        <w:rPr>
          <w:rFonts w:ascii="宋体"/>
          <w:b/>
          <w:bCs/>
          <w:color w:val="000000"/>
          <w:sz w:val="24"/>
        </w:rPr>
      </w:pPr>
    </w:p>
    <w:p w:rsidR="00701DE9" w:rsidRPr="006662B2" w:rsidRDefault="00701DE9" w:rsidP="000A22A2">
      <w:pPr>
        <w:spacing w:line="360" w:lineRule="auto"/>
        <w:jc w:val="center"/>
        <w:rPr>
          <w:rFonts w:ascii="宋体" w:hAnsi="宋体"/>
          <w:b/>
          <w:sz w:val="36"/>
          <w:szCs w:val="36"/>
        </w:rPr>
      </w:pPr>
      <w:r w:rsidRPr="006662B2">
        <w:rPr>
          <w:rFonts w:ascii="宋体" w:hAnsi="宋体"/>
          <w:b/>
          <w:sz w:val="36"/>
          <w:szCs w:val="36"/>
        </w:rPr>
        <w:t>易方达增金宝货币市场基金</w:t>
      </w:r>
    </w:p>
    <w:p w:rsidR="00701DE9" w:rsidRPr="006662B2" w:rsidRDefault="00701DE9" w:rsidP="000A22A2">
      <w:pPr>
        <w:spacing w:line="360" w:lineRule="auto"/>
        <w:jc w:val="center"/>
        <w:rPr>
          <w:rFonts w:ascii="宋体" w:hAnsi="宋体"/>
          <w:b/>
          <w:sz w:val="36"/>
          <w:szCs w:val="36"/>
        </w:rPr>
      </w:pPr>
      <w:r w:rsidRPr="006662B2">
        <w:rPr>
          <w:rFonts w:ascii="宋体" w:hAnsi="宋体"/>
          <w:b/>
          <w:sz w:val="36"/>
          <w:szCs w:val="36"/>
        </w:rPr>
        <w:t>2019年第3季度报告</w:t>
      </w:r>
    </w:p>
    <w:p w:rsidR="00701DE9" w:rsidRPr="00447795" w:rsidRDefault="00701DE9" w:rsidP="000A22A2">
      <w:pPr>
        <w:spacing w:line="360" w:lineRule="auto"/>
        <w:jc w:val="center"/>
        <w:rPr>
          <w:rFonts w:ascii="宋体" w:hAnsi="宋体"/>
          <w:b/>
          <w:sz w:val="24"/>
          <w:szCs w:val="36"/>
        </w:rPr>
      </w:pPr>
      <w:r w:rsidRPr="00447795">
        <w:rPr>
          <w:rFonts w:ascii="宋体" w:hAnsi="宋体"/>
          <w:b/>
          <w:sz w:val="24"/>
          <w:szCs w:val="36"/>
        </w:rPr>
        <w:t>2019年9月30日</w:t>
      </w:r>
    </w:p>
    <w:p w:rsidR="00701DE9" w:rsidRPr="006662B2" w:rsidRDefault="00701DE9" w:rsidP="00814461">
      <w:pPr>
        <w:spacing w:line="360" w:lineRule="auto"/>
        <w:jc w:val="center"/>
        <w:rPr>
          <w:rFonts w:ascii="宋体"/>
          <w:b/>
          <w:bCs/>
          <w:color w:val="000000"/>
          <w:sz w:val="24"/>
        </w:rPr>
      </w:pPr>
    </w:p>
    <w:p w:rsidR="00701DE9" w:rsidRPr="006662B2" w:rsidRDefault="00701DE9" w:rsidP="00A147F8">
      <w:pPr>
        <w:spacing w:line="360" w:lineRule="auto"/>
        <w:jc w:val="center"/>
        <w:rPr>
          <w:rFonts w:ascii="宋体" w:cs="宋体"/>
          <w:b/>
          <w:bCs/>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814461">
      <w:pPr>
        <w:spacing w:line="360" w:lineRule="auto"/>
        <w:jc w:val="center"/>
        <w:rPr>
          <w:rFonts w:ascii="宋体"/>
          <w:b/>
          <w:color w:val="000000"/>
          <w:sz w:val="24"/>
        </w:rPr>
      </w:pPr>
    </w:p>
    <w:p w:rsidR="00701DE9" w:rsidRPr="006662B2" w:rsidRDefault="00701DE9" w:rsidP="00EE29A9">
      <w:pPr>
        <w:spacing w:line="360" w:lineRule="auto"/>
        <w:ind w:firstLineChars="900" w:firstLine="2168"/>
        <w:rPr>
          <w:rFonts w:ascii="宋体" w:hAnsi="宋体"/>
          <w:b/>
          <w:color w:val="000000"/>
          <w:sz w:val="24"/>
        </w:rPr>
      </w:pPr>
      <w:r w:rsidRPr="006662B2">
        <w:rPr>
          <w:rFonts w:ascii="宋体" w:hAnsi="宋体" w:hint="eastAsia"/>
          <w:b/>
          <w:color w:val="000000"/>
          <w:sz w:val="24"/>
        </w:rPr>
        <w:t>基金管理人：</w:t>
      </w:r>
      <w:r w:rsidRPr="006662B2">
        <w:rPr>
          <w:rFonts w:ascii="宋体" w:hAnsi="宋体"/>
          <w:b/>
          <w:color w:val="000000"/>
          <w:sz w:val="24"/>
        </w:rPr>
        <w:t>易方达基金管理有限公司</w:t>
      </w:r>
    </w:p>
    <w:p w:rsidR="00701DE9" w:rsidRPr="006662B2" w:rsidRDefault="00701DE9" w:rsidP="00EE29A9">
      <w:pPr>
        <w:spacing w:line="360" w:lineRule="auto"/>
        <w:ind w:firstLineChars="900" w:firstLine="2168"/>
        <w:rPr>
          <w:rFonts w:ascii="宋体" w:hAnsi="宋体"/>
          <w:b/>
          <w:color w:val="000000"/>
          <w:sz w:val="24"/>
        </w:rPr>
      </w:pPr>
      <w:r w:rsidRPr="006662B2">
        <w:rPr>
          <w:rFonts w:ascii="宋体" w:hAnsi="宋体" w:hint="eastAsia"/>
          <w:b/>
          <w:color w:val="000000"/>
          <w:sz w:val="24"/>
        </w:rPr>
        <w:t>基金托管人：</w:t>
      </w:r>
      <w:r w:rsidRPr="006662B2">
        <w:rPr>
          <w:rFonts w:ascii="宋体" w:hAnsi="宋体"/>
          <w:b/>
          <w:color w:val="000000"/>
          <w:sz w:val="24"/>
        </w:rPr>
        <w:t>浙商银行股份有限公司</w:t>
      </w:r>
    </w:p>
    <w:p w:rsidR="00701DE9" w:rsidRPr="006662B2" w:rsidRDefault="00701DE9" w:rsidP="00EE29A9">
      <w:pPr>
        <w:spacing w:line="360" w:lineRule="auto"/>
        <w:ind w:firstLineChars="900" w:firstLine="2168"/>
        <w:rPr>
          <w:rFonts w:ascii="宋体" w:hAnsi="宋体"/>
          <w:b/>
          <w:color w:val="000000"/>
          <w:sz w:val="24"/>
        </w:rPr>
        <w:sectPr w:rsidR="00701DE9" w:rsidRPr="006662B2" w:rsidSect="005633AD">
          <w:headerReference w:type="default" r:id="rId7"/>
          <w:footerReference w:type="default" r:id="rId8"/>
          <w:pgSz w:w="11926" w:h="15840"/>
          <w:pgMar w:top="1418" w:right="1418" w:bottom="851" w:left="1418" w:header="851" w:footer="992" w:gutter="0"/>
          <w:cols w:space="720"/>
          <w:noEndnote/>
        </w:sectPr>
      </w:pPr>
      <w:r w:rsidRPr="006662B2">
        <w:rPr>
          <w:rFonts w:ascii="宋体" w:hAnsi="宋体" w:hint="eastAsia"/>
          <w:b/>
          <w:color w:val="000000"/>
          <w:sz w:val="24"/>
        </w:rPr>
        <w:t>报告送出日期：</w:t>
      </w:r>
      <w:r w:rsidRPr="006662B2">
        <w:rPr>
          <w:rFonts w:ascii="宋体" w:hAnsi="宋体"/>
          <w:b/>
          <w:color w:val="000000"/>
          <w:sz w:val="24"/>
        </w:rPr>
        <w:t>二〇一九年十月二十四日</w:t>
      </w:r>
    </w:p>
    <w:p w:rsidR="00701DE9" w:rsidRPr="006662B2" w:rsidRDefault="00701DE9" w:rsidP="00305CB5">
      <w:pPr>
        <w:pStyle w:val="1"/>
        <w:spacing w:beforeLines="100" w:before="312" w:afterLines="100" w:after="312" w:line="360" w:lineRule="auto"/>
        <w:jc w:val="center"/>
        <w:rPr>
          <w:rFonts w:ascii="宋体" w:cs="Arial"/>
          <w:b w:val="0"/>
          <w:color w:val="000000"/>
          <w:kern w:val="0"/>
          <w:sz w:val="24"/>
          <w:szCs w:val="24"/>
        </w:rPr>
      </w:pPr>
      <w:r w:rsidRPr="006662B2">
        <w:rPr>
          <w:rFonts w:ascii="宋体" w:hAnsi="宋体" w:cs="Arial" w:hint="eastAsia"/>
          <w:color w:val="000000"/>
          <w:kern w:val="0"/>
          <w:sz w:val="24"/>
          <w:szCs w:val="24"/>
        </w:rPr>
        <w:lastRenderedPageBreak/>
        <w:t>§</w:t>
      </w:r>
      <w:r w:rsidRPr="006662B2">
        <w:rPr>
          <w:rFonts w:ascii="宋体" w:hAnsi="宋体" w:cs="Arial"/>
          <w:color w:val="000000"/>
          <w:kern w:val="0"/>
          <w:sz w:val="24"/>
          <w:szCs w:val="24"/>
        </w:rPr>
        <w:t xml:space="preserve">1  </w:t>
      </w:r>
      <w:r w:rsidRPr="006662B2">
        <w:rPr>
          <w:rFonts w:ascii="宋体" w:hAnsi="宋体" w:cs="Arial" w:hint="eastAsia"/>
          <w:color w:val="000000"/>
          <w:kern w:val="0"/>
          <w:sz w:val="24"/>
          <w:szCs w:val="24"/>
        </w:rPr>
        <w:t>重要提示</w:t>
      </w:r>
    </w:p>
    <w:p w:rsidR="00384C82" w:rsidRDefault="002B7D03">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384C82" w:rsidRDefault="002B7D03">
      <w:pPr>
        <w:spacing w:line="360" w:lineRule="auto"/>
        <w:ind w:firstLineChars="200" w:firstLine="480"/>
        <w:rPr>
          <w:color w:val="000000"/>
          <w:sz w:val="24"/>
        </w:rPr>
      </w:pPr>
      <w:r>
        <w:rPr>
          <w:color w:val="000000"/>
          <w:sz w:val="24"/>
        </w:rPr>
        <w:t>基金托管人浙商银行股份有限公司根据本基金合同规定，于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384C82" w:rsidRDefault="002B7D03">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384C82" w:rsidRDefault="002B7D03">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w:t>
      </w:r>
      <w:r>
        <w:rPr>
          <w:color w:val="000000"/>
          <w:sz w:val="24"/>
        </w:rPr>
        <w:t>明书。</w:t>
      </w:r>
      <w:r>
        <w:rPr>
          <w:color w:val="000000"/>
          <w:sz w:val="24"/>
        </w:rPr>
        <w:t xml:space="preserve"> </w:t>
      </w:r>
    </w:p>
    <w:p w:rsidR="00384C82" w:rsidRDefault="002B7D03">
      <w:pPr>
        <w:spacing w:line="360" w:lineRule="auto"/>
        <w:ind w:firstLineChars="200" w:firstLine="480"/>
        <w:rPr>
          <w:color w:val="000000"/>
          <w:sz w:val="24"/>
        </w:rPr>
      </w:pPr>
      <w:r>
        <w:rPr>
          <w:color w:val="000000"/>
          <w:sz w:val="24"/>
        </w:rPr>
        <w:t>本报告中财务资料未经审计。</w:t>
      </w:r>
    </w:p>
    <w:p w:rsidR="00701DE9" w:rsidRPr="009B5A25" w:rsidRDefault="00701DE9" w:rsidP="00EE29A9">
      <w:pPr>
        <w:spacing w:line="360" w:lineRule="auto"/>
        <w:ind w:firstLineChars="200" w:firstLine="480"/>
        <w:rPr>
          <w:color w:val="000000"/>
          <w:sz w:val="24"/>
        </w:rPr>
      </w:pPr>
      <w:r w:rsidRPr="009B5A25">
        <w:rPr>
          <w:color w:val="000000"/>
          <w:sz w:val="24"/>
        </w:rPr>
        <w:t>本报告期自</w:t>
      </w:r>
      <w:r w:rsidRPr="009B5A25">
        <w:rPr>
          <w:color w:val="000000"/>
          <w:sz w:val="24"/>
        </w:rPr>
        <w:t>2019</w:t>
      </w:r>
      <w:r w:rsidRPr="009B5A25">
        <w:rPr>
          <w:color w:val="000000"/>
          <w:sz w:val="24"/>
        </w:rPr>
        <w:t>年</w:t>
      </w:r>
      <w:r w:rsidRPr="009B5A25">
        <w:rPr>
          <w:color w:val="000000"/>
          <w:sz w:val="24"/>
        </w:rPr>
        <w:t>7</w:t>
      </w:r>
      <w:r w:rsidRPr="009B5A25">
        <w:rPr>
          <w:color w:val="000000"/>
          <w:sz w:val="24"/>
        </w:rPr>
        <w:t>月</w:t>
      </w:r>
      <w:r w:rsidRPr="009B5A25">
        <w:rPr>
          <w:color w:val="000000"/>
          <w:sz w:val="24"/>
        </w:rPr>
        <w:t>1</w:t>
      </w:r>
      <w:r w:rsidRPr="009B5A25">
        <w:rPr>
          <w:color w:val="000000"/>
          <w:sz w:val="24"/>
        </w:rPr>
        <w:t>日起至</w:t>
      </w:r>
      <w:r w:rsidRPr="009B5A25">
        <w:rPr>
          <w:color w:val="000000"/>
          <w:sz w:val="24"/>
        </w:rPr>
        <w:t>9</w:t>
      </w:r>
      <w:r w:rsidRPr="009B5A25">
        <w:rPr>
          <w:color w:val="000000"/>
          <w:sz w:val="24"/>
        </w:rPr>
        <w:t>月</w:t>
      </w:r>
      <w:r w:rsidRPr="009B5A25">
        <w:rPr>
          <w:color w:val="000000"/>
          <w:sz w:val="24"/>
        </w:rPr>
        <w:t>30</w:t>
      </w:r>
      <w:r w:rsidRPr="009B5A25">
        <w:rPr>
          <w:color w:val="000000"/>
          <w:sz w:val="24"/>
        </w:rPr>
        <w:t>日止。</w:t>
      </w:r>
    </w:p>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 xml:space="preserve">2  </w:t>
      </w:r>
      <w:r w:rsidRPr="006662B2">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01DE9" w:rsidRPr="006662B2" w:rsidTr="00637395">
        <w:tc>
          <w:tcPr>
            <w:tcW w:w="2835" w:type="dxa"/>
          </w:tcPr>
          <w:p w:rsidR="00701DE9" w:rsidRPr="009F4D34" w:rsidRDefault="00701DE9" w:rsidP="00F03F87">
            <w:pPr>
              <w:adjustRightInd w:val="0"/>
              <w:spacing w:before="29" w:line="360" w:lineRule="auto"/>
              <w:ind w:left="17"/>
              <w:jc w:val="left"/>
              <w:rPr>
                <w:kern w:val="0"/>
                <w:sz w:val="24"/>
              </w:rPr>
            </w:pPr>
            <w:r w:rsidRPr="009F4D34">
              <w:rPr>
                <w:kern w:val="0"/>
                <w:sz w:val="24"/>
              </w:rPr>
              <w:t>基金简称</w:t>
            </w:r>
          </w:p>
        </w:tc>
        <w:tc>
          <w:tcPr>
            <w:tcW w:w="5479" w:type="dxa"/>
          </w:tcPr>
          <w:p w:rsidR="00701DE9" w:rsidRPr="009F4D34" w:rsidRDefault="00701DE9" w:rsidP="00F03F87">
            <w:pPr>
              <w:adjustRightInd w:val="0"/>
              <w:spacing w:before="29" w:line="360" w:lineRule="auto"/>
              <w:ind w:left="17"/>
              <w:jc w:val="left"/>
              <w:rPr>
                <w:color w:val="000000"/>
                <w:kern w:val="0"/>
                <w:sz w:val="24"/>
              </w:rPr>
            </w:pPr>
            <w:r w:rsidRPr="009F4D34">
              <w:rPr>
                <w:color w:val="000000"/>
                <w:kern w:val="0"/>
                <w:sz w:val="24"/>
              </w:rPr>
              <w:t>易方达增金宝货币</w:t>
            </w:r>
          </w:p>
        </w:tc>
      </w:tr>
      <w:tr w:rsidR="00701DE9" w:rsidRPr="006662B2" w:rsidTr="00637395">
        <w:tc>
          <w:tcPr>
            <w:tcW w:w="2835" w:type="dxa"/>
          </w:tcPr>
          <w:p w:rsidR="00701DE9" w:rsidRPr="009F4D34" w:rsidRDefault="00701DE9">
            <w:pPr>
              <w:adjustRightInd w:val="0"/>
              <w:spacing w:before="29" w:line="360" w:lineRule="auto"/>
              <w:ind w:left="17"/>
              <w:jc w:val="left"/>
              <w:rPr>
                <w:kern w:val="0"/>
                <w:sz w:val="24"/>
              </w:rPr>
            </w:pPr>
            <w:r w:rsidRPr="009F4D34">
              <w:rPr>
                <w:kern w:val="0"/>
                <w:sz w:val="24"/>
              </w:rPr>
              <w:t>基金主代码</w:t>
            </w:r>
          </w:p>
        </w:tc>
        <w:tc>
          <w:tcPr>
            <w:tcW w:w="5479" w:type="dxa"/>
          </w:tcPr>
          <w:p w:rsidR="00701DE9" w:rsidRPr="009F4D34" w:rsidRDefault="00701DE9">
            <w:pPr>
              <w:adjustRightInd w:val="0"/>
              <w:spacing w:before="29" w:line="360" w:lineRule="auto"/>
              <w:ind w:left="17"/>
              <w:jc w:val="left"/>
              <w:rPr>
                <w:color w:val="000000"/>
                <w:kern w:val="0"/>
                <w:sz w:val="24"/>
              </w:rPr>
            </w:pPr>
            <w:r w:rsidRPr="009F4D34">
              <w:rPr>
                <w:color w:val="000000"/>
                <w:kern w:val="0"/>
                <w:sz w:val="24"/>
              </w:rPr>
              <w:t>001010</w:t>
            </w:r>
          </w:p>
        </w:tc>
      </w:tr>
      <w:tr w:rsidR="00701DE9" w:rsidRPr="006662B2" w:rsidTr="00637395">
        <w:tc>
          <w:tcPr>
            <w:tcW w:w="2835" w:type="dxa"/>
          </w:tcPr>
          <w:p w:rsidR="00701DE9" w:rsidRPr="009F4D34" w:rsidRDefault="00701DE9">
            <w:pPr>
              <w:adjustRightInd w:val="0"/>
              <w:spacing w:before="29" w:line="360" w:lineRule="auto"/>
              <w:ind w:left="17"/>
              <w:jc w:val="left"/>
              <w:rPr>
                <w:kern w:val="0"/>
                <w:sz w:val="24"/>
              </w:rPr>
            </w:pPr>
            <w:r w:rsidRPr="009F4D34">
              <w:rPr>
                <w:kern w:val="0"/>
                <w:sz w:val="24"/>
              </w:rPr>
              <w:t>交易代码</w:t>
            </w:r>
          </w:p>
        </w:tc>
        <w:tc>
          <w:tcPr>
            <w:tcW w:w="5479" w:type="dxa"/>
          </w:tcPr>
          <w:p w:rsidR="00701DE9" w:rsidRPr="009F4D34" w:rsidRDefault="00701DE9">
            <w:pPr>
              <w:adjustRightInd w:val="0"/>
              <w:spacing w:before="29" w:line="360" w:lineRule="auto"/>
              <w:ind w:left="17"/>
              <w:jc w:val="left"/>
              <w:rPr>
                <w:color w:val="000000"/>
                <w:kern w:val="0"/>
                <w:sz w:val="24"/>
              </w:rPr>
            </w:pPr>
            <w:r w:rsidRPr="009F4D34">
              <w:rPr>
                <w:kern w:val="0"/>
                <w:sz w:val="24"/>
              </w:rPr>
              <w:t>001010</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基金运作方式</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契约型开放式</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基金合同生效日</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2015</w:t>
            </w:r>
            <w:r w:rsidRPr="009F4D34">
              <w:rPr>
                <w:color w:val="000000"/>
                <w:kern w:val="0"/>
                <w:sz w:val="24"/>
              </w:rPr>
              <w:t>年</w:t>
            </w:r>
            <w:r w:rsidRPr="009F4D34">
              <w:rPr>
                <w:color w:val="000000"/>
                <w:kern w:val="0"/>
                <w:sz w:val="24"/>
              </w:rPr>
              <w:t>1</w:t>
            </w:r>
            <w:r w:rsidRPr="009F4D34">
              <w:rPr>
                <w:color w:val="000000"/>
                <w:kern w:val="0"/>
                <w:sz w:val="24"/>
              </w:rPr>
              <w:t>月</w:t>
            </w:r>
            <w:r w:rsidRPr="009F4D34">
              <w:rPr>
                <w:color w:val="000000"/>
                <w:kern w:val="0"/>
                <w:sz w:val="24"/>
              </w:rPr>
              <w:t>20</w:t>
            </w:r>
            <w:r w:rsidRPr="009F4D34">
              <w:rPr>
                <w:color w:val="000000"/>
                <w:kern w:val="0"/>
                <w:sz w:val="24"/>
              </w:rPr>
              <w:t>日</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报告期末基金份额总额</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2,355,385,589.72</w:t>
            </w:r>
            <w:r w:rsidRPr="009F4D34">
              <w:rPr>
                <w:color w:val="000000"/>
                <w:kern w:val="0"/>
                <w:sz w:val="24"/>
              </w:rPr>
              <w:t>份</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投资目标</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在有效控制投资风险和保持高流动性的基础上，力争获得高于业绩比较基准的投资回报。</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投资策略</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本基金将对基金资产组合进行积极管理，在深入研究国内外的宏观经济走势、货币政策变化趋势、市场资金供求状况的基础上，综合考虑各类投资品种</w:t>
            </w:r>
            <w:r w:rsidRPr="009F4D34">
              <w:rPr>
                <w:color w:val="000000"/>
                <w:kern w:val="0"/>
                <w:sz w:val="24"/>
              </w:rPr>
              <w:lastRenderedPageBreak/>
              <w:t>的收益性、流动性和风险特征，力争获得高于业绩比较基准的投资回报。</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lastRenderedPageBreak/>
              <w:t>业绩比较基准</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中国人民银行公布的七天通知存款利率（税后）</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风险收益特征</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本基金为货币市场基金，预期风险和预期收益低于股票型基金、混合型基金和债券型基金。</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基金管理人</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易方达基金管理有限公司</w:t>
            </w:r>
          </w:p>
        </w:tc>
      </w:tr>
      <w:tr w:rsidR="00701DE9" w:rsidRPr="006662B2" w:rsidTr="00637395">
        <w:tc>
          <w:tcPr>
            <w:tcW w:w="2835" w:type="dxa"/>
          </w:tcPr>
          <w:p w:rsidR="00701DE9" w:rsidRPr="009F4D34" w:rsidRDefault="00701DE9" w:rsidP="00F03F87">
            <w:pPr>
              <w:adjustRightInd w:val="0"/>
              <w:spacing w:before="29" w:line="360" w:lineRule="auto"/>
              <w:ind w:left="17"/>
              <w:jc w:val="left"/>
              <w:rPr>
                <w:sz w:val="24"/>
              </w:rPr>
            </w:pPr>
            <w:r w:rsidRPr="009F4D34">
              <w:rPr>
                <w:kern w:val="0"/>
                <w:sz w:val="24"/>
              </w:rPr>
              <w:t>基金托管人</w:t>
            </w:r>
          </w:p>
        </w:tc>
        <w:tc>
          <w:tcPr>
            <w:tcW w:w="5479" w:type="dxa"/>
          </w:tcPr>
          <w:p w:rsidR="00701DE9" w:rsidRPr="009F4D34" w:rsidRDefault="00701DE9" w:rsidP="00F03F87">
            <w:pPr>
              <w:adjustRightInd w:val="0"/>
              <w:spacing w:before="29" w:line="360" w:lineRule="auto"/>
              <w:ind w:left="17"/>
              <w:jc w:val="left"/>
              <w:rPr>
                <w:color w:val="000000"/>
                <w:sz w:val="24"/>
              </w:rPr>
            </w:pPr>
            <w:r w:rsidRPr="009F4D34">
              <w:rPr>
                <w:color w:val="000000"/>
                <w:kern w:val="0"/>
                <w:sz w:val="24"/>
              </w:rPr>
              <w:t>浙商银行股份有限公司</w:t>
            </w:r>
          </w:p>
        </w:tc>
      </w:tr>
    </w:tbl>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 xml:space="preserve">3  </w:t>
      </w:r>
      <w:r w:rsidRPr="006662B2">
        <w:rPr>
          <w:rFonts w:ascii="宋体" w:hAnsi="宋体" w:cs="Arial" w:hint="eastAsia"/>
          <w:color w:val="000000"/>
          <w:kern w:val="0"/>
          <w:sz w:val="24"/>
          <w:szCs w:val="24"/>
        </w:rPr>
        <w:t>主要财务指标和基金净值表现</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3.1 </w:t>
      </w:r>
      <w:r w:rsidRPr="006662B2">
        <w:rPr>
          <w:rFonts w:ascii="宋体" w:hAnsi="宋体" w:cs="Arial" w:hint="eastAsia"/>
          <w:b/>
          <w:color w:val="000000"/>
          <w:kern w:val="0"/>
          <w:sz w:val="24"/>
        </w:rPr>
        <w:t>主要财务指标</w:t>
      </w:r>
    </w:p>
    <w:p w:rsidR="00701DE9" w:rsidRPr="006662B2" w:rsidRDefault="00701DE9" w:rsidP="00814461">
      <w:pPr>
        <w:autoSpaceDE w:val="0"/>
        <w:autoSpaceDN w:val="0"/>
        <w:adjustRightInd w:val="0"/>
        <w:spacing w:before="29" w:line="360" w:lineRule="auto"/>
        <w:ind w:left="15"/>
        <w:jc w:val="right"/>
        <w:rPr>
          <w:rFonts w:ascii="宋体" w:cs="Arial"/>
          <w:color w:val="000000"/>
          <w:kern w:val="0"/>
          <w:sz w:val="24"/>
        </w:rPr>
      </w:pPr>
      <w:r w:rsidRPr="006662B2">
        <w:rPr>
          <w:rFonts w:ascii="宋体" w:hAnsi="宋体" w:cs="Arial" w:hint="eastAsia"/>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701DE9" w:rsidRPr="006662B2" w:rsidTr="00D43232">
        <w:tc>
          <w:tcPr>
            <w:tcW w:w="3402" w:type="dxa"/>
            <w:vAlign w:val="center"/>
          </w:tcPr>
          <w:p w:rsidR="00701DE9" w:rsidRPr="009F4D34" w:rsidRDefault="00701DE9" w:rsidP="00F03F87">
            <w:pPr>
              <w:adjustRightInd w:val="0"/>
              <w:spacing w:before="29" w:line="360" w:lineRule="auto"/>
              <w:ind w:left="17"/>
              <w:jc w:val="center"/>
              <w:rPr>
                <w:kern w:val="0"/>
                <w:sz w:val="24"/>
              </w:rPr>
            </w:pPr>
            <w:r w:rsidRPr="009F4D34">
              <w:rPr>
                <w:kern w:val="0"/>
                <w:sz w:val="24"/>
              </w:rPr>
              <w:t>主要财务指标</w:t>
            </w:r>
          </w:p>
        </w:tc>
        <w:tc>
          <w:tcPr>
            <w:tcW w:w="4962" w:type="dxa"/>
            <w:hMerge w:val="restart"/>
            <w:vAlign w:val="center"/>
          </w:tcPr>
          <w:p w:rsidR="00701DE9" w:rsidRPr="009F4D34" w:rsidRDefault="00701DE9" w:rsidP="0004063B">
            <w:pPr>
              <w:adjustRightInd w:val="0"/>
              <w:snapToGrid w:val="0"/>
              <w:spacing w:line="400" w:lineRule="exact"/>
              <w:ind w:right="126"/>
              <w:jc w:val="center"/>
              <w:rPr>
                <w:color w:val="000000"/>
                <w:sz w:val="24"/>
              </w:rPr>
            </w:pPr>
            <w:r w:rsidRPr="009F4D34">
              <w:rPr>
                <w:rFonts w:eastAsia="方正仿宋简体"/>
                <w:color w:val="000000"/>
                <w:kern w:val="0"/>
                <w:sz w:val="24"/>
              </w:rPr>
              <w:t>报告期（</w:t>
            </w:r>
            <w:r w:rsidRPr="009F4D34">
              <w:rPr>
                <w:rFonts w:eastAsia="方正仿宋简体"/>
                <w:color w:val="000000"/>
                <w:kern w:val="0"/>
                <w:sz w:val="24"/>
              </w:rPr>
              <w:t>2019</w:t>
            </w:r>
            <w:r w:rsidRPr="009F4D34">
              <w:rPr>
                <w:rFonts w:eastAsia="方正仿宋简体"/>
                <w:color w:val="000000"/>
                <w:kern w:val="0"/>
                <w:sz w:val="24"/>
              </w:rPr>
              <w:t>年</w:t>
            </w:r>
            <w:r w:rsidRPr="009F4D34">
              <w:rPr>
                <w:rFonts w:eastAsia="方正仿宋简体"/>
                <w:color w:val="000000"/>
                <w:kern w:val="0"/>
                <w:sz w:val="24"/>
              </w:rPr>
              <w:t>7</w:t>
            </w:r>
            <w:r w:rsidRPr="009F4D34">
              <w:rPr>
                <w:rFonts w:eastAsia="方正仿宋简体"/>
                <w:color w:val="000000"/>
                <w:kern w:val="0"/>
                <w:sz w:val="24"/>
              </w:rPr>
              <w:t>月</w:t>
            </w:r>
            <w:r w:rsidRPr="009F4D34">
              <w:rPr>
                <w:rFonts w:eastAsia="方正仿宋简体"/>
                <w:color w:val="000000"/>
                <w:kern w:val="0"/>
                <w:sz w:val="24"/>
              </w:rPr>
              <w:t>1</w:t>
            </w:r>
            <w:r w:rsidRPr="009F4D34">
              <w:rPr>
                <w:rFonts w:eastAsia="方正仿宋简体"/>
                <w:color w:val="000000"/>
                <w:kern w:val="0"/>
                <w:sz w:val="24"/>
              </w:rPr>
              <w:t>日</w:t>
            </w:r>
            <w:r w:rsidRPr="009F4D34">
              <w:rPr>
                <w:rFonts w:eastAsia="方正仿宋简体"/>
                <w:color w:val="000000"/>
                <w:kern w:val="0"/>
                <w:sz w:val="24"/>
              </w:rPr>
              <w:t>-2019</w:t>
            </w:r>
            <w:r w:rsidRPr="009F4D34">
              <w:rPr>
                <w:rFonts w:eastAsia="方正仿宋简体"/>
                <w:color w:val="000000"/>
                <w:kern w:val="0"/>
                <w:sz w:val="24"/>
              </w:rPr>
              <w:t>年</w:t>
            </w:r>
            <w:r w:rsidRPr="009F4D34">
              <w:rPr>
                <w:rFonts w:eastAsia="方正仿宋简体"/>
                <w:color w:val="000000"/>
                <w:kern w:val="0"/>
                <w:sz w:val="24"/>
              </w:rPr>
              <w:t>9</w:t>
            </w:r>
            <w:r w:rsidRPr="009F4D34">
              <w:rPr>
                <w:rFonts w:eastAsia="方正仿宋简体"/>
                <w:color w:val="000000"/>
                <w:kern w:val="0"/>
                <w:sz w:val="24"/>
              </w:rPr>
              <w:t>月</w:t>
            </w:r>
            <w:r w:rsidRPr="009F4D34">
              <w:rPr>
                <w:rFonts w:eastAsia="方正仿宋简体"/>
                <w:color w:val="000000"/>
                <w:kern w:val="0"/>
                <w:sz w:val="24"/>
              </w:rPr>
              <w:t>30</w:t>
            </w:r>
            <w:r w:rsidRPr="009F4D34">
              <w:rPr>
                <w:rFonts w:eastAsia="方正仿宋简体"/>
                <w:color w:val="000000"/>
                <w:kern w:val="0"/>
                <w:sz w:val="24"/>
              </w:rPr>
              <w:t>日）</w:t>
            </w:r>
          </w:p>
        </w:tc>
        <w:tc>
          <w:tcPr>
            <w:tcW w:w="2410" w:type="dxa"/>
            <w:hMerge/>
          </w:tcPr>
          <w:p w:rsidR="00701DE9" w:rsidRPr="009F4D34" w:rsidRDefault="00701DE9" w:rsidP="00F03F87">
            <w:pPr>
              <w:adjustRightInd w:val="0"/>
              <w:spacing w:before="29" w:line="360" w:lineRule="auto"/>
              <w:ind w:left="17"/>
              <w:jc w:val="center"/>
              <w:rPr>
                <w:color w:val="000000"/>
                <w:sz w:val="24"/>
              </w:rPr>
            </w:pPr>
            <w:r w:rsidRPr="009F4D34">
              <w:rPr>
                <w:color w:val="000000"/>
                <w:sz w:val="24"/>
              </w:rPr>
              <w:t>上期金额</w:t>
            </w:r>
          </w:p>
        </w:tc>
      </w:tr>
      <w:tr w:rsidR="00701DE9" w:rsidRPr="006662B2" w:rsidTr="00D43232">
        <w:tc>
          <w:tcPr>
            <w:tcW w:w="3402" w:type="dxa"/>
          </w:tcPr>
          <w:p w:rsidR="00701DE9" w:rsidRPr="009F4D34" w:rsidRDefault="00701DE9" w:rsidP="00F03F87">
            <w:pPr>
              <w:adjustRightInd w:val="0"/>
              <w:spacing w:before="29" w:line="360" w:lineRule="auto"/>
              <w:ind w:left="17"/>
              <w:rPr>
                <w:kern w:val="0"/>
                <w:sz w:val="24"/>
              </w:rPr>
            </w:pPr>
            <w:r w:rsidRPr="009F4D34">
              <w:rPr>
                <w:kern w:val="0"/>
                <w:sz w:val="24"/>
              </w:rPr>
              <w:t>1.</w:t>
            </w:r>
            <w:r w:rsidRPr="009F4D34">
              <w:rPr>
                <w:kern w:val="0"/>
                <w:sz w:val="24"/>
              </w:rPr>
              <w:t>本期已实现收益</w:t>
            </w:r>
          </w:p>
        </w:tc>
        <w:tc>
          <w:tcPr>
            <w:tcW w:w="4962" w:type="dxa"/>
            <w:hMerge w:val="restart"/>
            <w:vAlign w:val="bottom"/>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17,784,159.18</w:t>
            </w:r>
          </w:p>
        </w:tc>
        <w:tc>
          <w:tcPr>
            <w:tcW w:w="2410" w:type="dxa"/>
            <w:hMerge/>
            <w:vAlign w:val="bottom"/>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w:t>
            </w:r>
          </w:p>
        </w:tc>
      </w:tr>
      <w:tr w:rsidR="00701DE9" w:rsidRPr="006662B2" w:rsidTr="00D43232">
        <w:tc>
          <w:tcPr>
            <w:tcW w:w="3402" w:type="dxa"/>
          </w:tcPr>
          <w:p w:rsidR="00701DE9" w:rsidRPr="009F4D34" w:rsidRDefault="00701DE9" w:rsidP="00F03F87">
            <w:pPr>
              <w:adjustRightInd w:val="0"/>
              <w:spacing w:before="29" w:line="360" w:lineRule="auto"/>
              <w:ind w:left="17"/>
              <w:rPr>
                <w:kern w:val="0"/>
                <w:sz w:val="24"/>
              </w:rPr>
            </w:pPr>
            <w:r w:rsidRPr="009F4D34">
              <w:rPr>
                <w:kern w:val="0"/>
                <w:sz w:val="24"/>
              </w:rPr>
              <w:t>2.</w:t>
            </w:r>
            <w:r w:rsidRPr="009F4D34">
              <w:rPr>
                <w:kern w:val="0"/>
                <w:sz w:val="24"/>
              </w:rPr>
              <w:t>本期利润</w:t>
            </w:r>
          </w:p>
        </w:tc>
        <w:tc>
          <w:tcPr>
            <w:tcW w:w="4962" w:type="dxa"/>
            <w:hMerge w:val="restart"/>
            <w:vAlign w:val="bottom"/>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17,784,159.18</w:t>
            </w:r>
          </w:p>
        </w:tc>
        <w:tc>
          <w:tcPr>
            <w:tcW w:w="2410" w:type="dxa"/>
            <w:hMerge/>
            <w:vAlign w:val="bottom"/>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w:t>
            </w:r>
          </w:p>
        </w:tc>
      </w:tr>
      <w:tr w:rsidR="00701DE9" w:rsidRPr="006662B2" w:rsidTr="00D43232">
        <w:tc>
          <w:tcPr>
            <w:tcW w:w="3402" w:type="dxa"/>
          </w:tcPr>
          <w:p w:rsidR="00701DE9" w:rsidRPr="009F4D34" w:rsidRDefault="00701DE9" w:rsidP="00F03F87">
            <w:pPr>
              <w:adjustRightInd w:val="0"/>
              <w:spacing w:before="29" w:line="360" w:lineRule="auto"/>
              <w:ind w:left="17"/>
              <w:rPr>
                <w:kern w:val="0"/>
                <w:sz w:val="24"/>
              </w:rPr>
            </w:pPr>
            <w:r w:rsidRPr="009F4D34">
              <w:rPr>
                <w:kern w:val="0"/>
                <w:sz w:val="24"/>
              </w:rPr>
              <w:t>3.</w:t>
            </w:r>
            <w:r w:rsidRPr="009F4D34">
              <w:rPr>
                <w:kern w:val="0"/>
                <w:sz w:val="24"/>
              </w:rPr>
              <w:t>期末基金资产净值</w:t>
            </w:r>
          </w:p>
        </w:tc>
        <w:tc>
          <w:tcPr>
            <w:tcW w:w="4962" w:type="dxa"/>
            <w:hMerge w:val="restart"/>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2,355,385,589.72</w:t>
            </w:r>
          </w:p>
        </w:tc>
        <w:tc>
          <w:tcPr>
            <w:tcW w:w="2410" w:type="dxa"/>
            <w:hMerge/>
          </w:tcPr>
          <w:p w:rsidR="00701DE9" w:rsidRPr="009F4D34" w:rsidRDefault="00701DE9" w:rsidP="00F03F87">
            <w:pPr>
              <w:adjustRightInd w:val="0"/>
              <w:spacing w:before="29" w:line="360" w:lineRule="auto"/>
              <w:ind w:left="17"/>
              <w:jc w:val="right"/>
              <w:rPr>
                <w:color w:val="000000"/>
                <w:sz w:val="24"/>
              </w:rPr>
            </w:pPr>
            <w:r w:rsidRPr="009F4D34">
              <w:rPr>
                <w:color w:val="000000"/>
                <w:sz w:val="24"/>
              </w:rPr>
              <w:t>-</w:t>
            </w:r>
          </w:p>
        </w:tc>
      </w:tr>
    </w:tbl>
    <w:p w:rsidR="00384C82" w:rsidRDefault="002B7D03">
      <w:pPr>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701DE9" w:rsidRPr="009F4D34" w:rsidRDefault="00701DE9" w:rsidP="009F4D34">
      <w:pPr>
        <w:spacing w:line="360" w:lineRule="auto"/>
        <w:ind w:firstLineChars="200" w:firstLine="480"/>
        <w:rPr>
          <w:color w:val="000000"/>
          <w:sz w:val="24"/>
        </w:rPr>
      </w:pPr>
      <w:r w:rsidRPr="009B5A25">
        <w:rPr>
          <w:color w:val="000000"/>
          <w:sz w:val="24"/>
        </w:rPr>
        <w:t>2.</w:t>
      </w:r>
      <w:r w:rsidRPr="009B5A25">
        <w:rPr>
          <w:color w:val="000000"/>
          <w:sz w:val="24"/>
        </w:rPr>
        <w:t>本基金利润分配是按日结转份额。</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3.2 </w:t>
      </w:r>
      <w:r w:rsidRPr="006662B2">
        <w:rPr>
          <w:rFonts w:ascii="宋体" w:hAnsi="宋体" w:cs="Arial" w:hint="eastAsia"/>
          <w:b/>
          <w:color w:val="000000"/>
          <w:kern w:val="0"/>
          <w:sz w:val="24"/>
        </w:rPr>
        <w:t>基金净值表现</w:t>
      </w:r>
    </w:p>
    <w:p w:rsidR="00701DE9" w:rsidRPr="006662B2" w:rsidRDefault="00701DE9" w:rsidP="00437706">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cs="Arial"/>
            <w:b/>
            <w:color w:val="000000"/>
            <w:kern w:val="0"/>
            <w:sz w:val="24"/>
          </w:rPr>
          <w:t>3.2.1</w:t>
        </w:r>
      </w:smartTag>
      <w:r w:rsidRPr="006662B2">
        <w:rPr>
          <w:rFonts w:ascii="宋体" w:hAnsi="宋体" w:cs="Arial" w:hint="eastAsia"/>
          <w:b/>
          <w:color w:val="000000"/>
          <w:kern w:val="0"/>
          <w:sz w:val="24"/>
        </w:rPr>
        <w:t>本报告期基金份额净值收益率及其与同期业绩比较基准收益率的比较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01DE9" w:rsidRPr="006662B2" w:rsidTr="00F03F87">
        <w:tc>
          <w:tcPr>
            <w:tcW w:w="1395"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阶段</w:t>
            </w:r>
          </w:p>
        </w:tc>
        <w:tc>
          <w:tcPr>
            <w:tcW w:w="1092"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净值收益率</w:t>
            </w:r>
            <w:r w:rsidRPr="009F4D34">
              <w:rPr>
                <w:rFonts w:cs="宋体" w:hint="eastAsia"/>
                <w:color w:val="000000"/>
                <w:szCs w:val="24"/>
              </w:rPr>
              <w:t>①</w:t>
            </w:r>
          </w:p>
        </w:tc>
        <w:tc>
          <w:tcPr>
            <w:tcW w:w="1161"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净值收益率标准差</w:t>
            </w:r>
            <w:r w:rsidRPr="009F4D34">
              <w:rPr>
                <w:rFonts w:cs="宋体" w:hint="eastAsia"/>
                <w:color w:val="000000"/>
                <w:szCs w:val="24"/>
              </w:rPr>
              <w:t>②</w:t>
            </w:r>
          </w:p>
        </w:tc>
        <w:tc>
          <w:tcPr>
            <w:tcW w:w="1181"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业绩比较基准收益率</w:t>
            </w:r>
            <w:r w:rsidRPr="009F4D34">
              <w:rPr>
                <w:rFonts w:cs="宋体" w:hint="eastAsia"/>
                <w:color w:val="000000"/>
                <w:szCs w:val="24"/>
              </w:rPr>
              <w:t>③</w:t>
            </w:r>
          </w:p>
        </w:tc>
        <w:tc>
          <w:tcPr>
            <w:tcW w:w="1188"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ascii="Times New Roman" w:hAnsi="Times New Roman"/>
                <w:color w:val="000000"/>
                <w:szCs w:val="24"/>
              </w:rPr>
              <w:t>业绩比较基准收益率标准差</w:t>
            </w:r>
            <w:r w:rsidRPr="009F4D34">
              <w:rPr>
                <w:rFonts w:cs="宋体" w:hint="eastAsia"/>
                <w:color w:val="000000"/>
                <w:szCs w:val="24"/>
              </w:rPr>
              <w:t>④</w:t>
            </w:r>
          </w:p>
        </w:tc>
        <w:tc>
          <w:tcPr>
            <w:tcW w:w="1199"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cs="宋体" w:hint="eastAsia"/>
                <w:color w:val="000000"/>
                <w:szCs w:val="24"/>
              </w:rPr>
              <w:t>①</w:t>
            </w:r>
            <w:r w:rsidRPr="009F4D34">
              <w:rPr>
                <w:rFonts w:ascii="Times New Roman" w:hAnsi="Times New Roman"/>
                <w:color w:val="000000"/>
                <w:szCs w:val="24"/>
              </w:rPr>
              <w:t>-</w:t>
            </w:r>
            <w:r w:rsidRPr="009F4D34">
              <w:rPr>
                <w:rFonts w:cs="宋体" w:hint="eastAsia"/>
                <w:color w:val="000000"/>
                <w:szCs w:val="24"/>
              </w:rPr>
              <w:t>③</w:t>
            </w:r>
          </w:p>
        </w:tc>
        <w:tc>
          <w:tcPr>
            <w:tcW w:w="1204" w:type="dxa"/>
            <w:vAlign w:val="center"/>
          </w:tcPr>
          <w:p w:rsidR="00701DE9" w:rsidRPr="009F4D34" w:rsidRDefault="00701DE9" w:rsidP="00BE384A">
            <w:pPr>
              <w:pStyle w:val="ac"/>
              <w:adjustRightInd w:val="0"/>
              <w:snapToGrid w:val="0"/>
              <w:spacing w:before="0" w:beforeAutospacing="0" w:after="0" w:afterAutospacing="0" w:line="380" w:lineRule="exact"/>
              <w:jc w:val="center"/>
              <w:rPr>
                <w:rFonts w:ascii="Times New Roman" w:hAnsi="Times New Roman"/>
                <w:color w:val="000000"/>
                <w:szCs w:val="24"/>
              </w:rPr>
            </w:pPr>
            <w:r w:rsidRPr="009F4D34">
              <w:rPr>
                <w:rFonts w:cs="宋体" w:hint="eastAsia"/>
                <w:color w:val="000000"/>
                <w:szCs w:val="24"/>
              </w:rPr>
              <w:t>②</w:t>
            </w:r>
            <w:r w:rsidRPr="009F4D34">
              <w:rPr>
                <w:rFonts w:ascii="Times New Roman" w:hAnsi="Times New Roman"/>
                <w:color w:val="000000"/>
                <w:szCs w:val="24"/>
              </w:rPr>
              <w:t>-</w:t>
            </w:r>
            <w:r w:rsidRPr="009F4D34">
              <w:rPr>
                <w:rFonts w:cs="宋体" w:hint="eastAsia"/>
                <w:color w:val="000000"/>
                <w:szCs w:val="24"/>
              </w:rPr>
              <w:t>④</w:t>
            </w:r>
          </w:p>
        </w:tc>
      </w:tr>
      <w:tr w:rsidR="00384C82">
        <w:tc>
          <w:tcPr>
            <w:tcW w:w="1395" w:type="dxa"/>
            <w:vAlign w:val="center"/>
          </w:tcPr>
          <w:p w:rsidR="00384C82" w:rsidRDefault="002B7D03">
            <w:pPr>
              <w:jc w:val="left"/>
            </w:pPr>
            <w:r>
              <w:rPr>
                <w:color w:val="000000"/>
                <w:sz w:val="24"/>
              </w:rPr>
              <w:t>过去三个月</w:t>
            </w:r>
          </w:p>
        </w:tc>
        <w:tc>
          <w:tcPr>
            <w:tcW w:w="1092" w:type="dxa"/>
            <w:vAlign w:val="center"/>
          </w:tcPr>
          <w:p w:rsidR="00384C82" w:rsidRDefault="002B7D03">
            <w:pPr>
              <w:jc w:val="center"/>
            </w:pPr>
            <w:r>
              <w:rPr>
                <w:color w:val="000000"/>
                <w:sz w:val="24"/>
              </w:rPr>
              <w:t>0.6281%</w:t>
            </w:r>
          </w:p>
        </w:tc>
        <w:tc>
          <w:tcPr>
            <w:tcW w:w="1161" w:type="dxa"/>
            <w:vAlign w:val="center"/>
          </w:tcPr>
          <w:p w:rsidR="00384C82" w:rsidRDefault="002B7D03">
            <w:pPr>
              <w:jc w:val="center"/>
            </w:pPr>
            <w:r>
              <w:rPr>
                <w:color w:val="000000"/>
                <w:sz w:val="24"/>
              </w:rPr>
              <w:t>0.0004%</w:t>
            </w:r>
          </w:p>
        </w:tc>
        <w:tc>
          <w:tcPr>
            <w:tcW w:w="1181" w:type="dxa"/>
            <w:vAlign w:val="center"/>
          </w:tcPr>
          <w:p w:rsidR="00384C82" w:rsidRDefault="002B7D03">
            <w:pPr>
              <w:jc w:val="center"/>
            </w:pPr>
            <w:r>
              <w:rPr>
                <w:color w:val="000000"/>
                <w:sz w:val="24"/>
              </w:rPr>
              <w:t>0.3456%</w:t>
            </w:r>
          </w:p>
        </w:tc>
        <w:tc>
          <w:tcPr>
            <w:tcW w:w="1188" w:type="dxa"/>
            <w:vAlign w:val="center"/>
          </w:tcPr>
          <w:p w:rsidR="00384C82" w:rsidRDefault="002B7D03">
            <w:pPr>
              <w:jc w:val="center"/>
            </w:pPr>
            <w:r>
              <w:rPr>
                <w:color w:val="000000"/>
                <w:sz w:val="24"/>
              </w:rPr>
              <w:t>0.0000%</w:t>
            </w:r>
          </w:p>
        </w:tc>
        <w:tc>
          <w:tcPr>
            <w:tcW w:w="1199" w:type="dxa"/>
            <w:vAlign w:val="center"/>
          </w:tcPr>
          <w:p w:rsidR="00384C82" w:rsidRDefault="002B7D03">
            <w:pPr>
              <w:jc w:val="center"/>
            </w:pPr>
            <w:r>
              <w:rPr>
                <w:color w:val="000000"/>
                <w:sz w:val="24"/>
              </w:rPr>
              <w:t>0.2825%</w:t>
            </w:r>
          </w:p>
        </w:tc>
        <w:tc>
          <w:tcPr>
            <w:tcW w:w="1204" w:type="dxa"/>
            <w:vAlign w:val="center"/>
          </w:tcPr>
          <w:p w:rsidR="00384C82" w:rsidRDefault="002B7D03">
            <w:pPr>
              <w:jc w:val="center"/>
            </w:pPr>
            <w:r>
              <w:rPr>
                <w:color w:val="000000"/>
                <w:sz w:val="24"/>
              </w:rPr>
              <w:t>0.0004%</w:t>
            </w:r>
          </w:p>
        </w:tc>
      </w:tr>
    </w:tbl>
    <w:p w:rsidR="00701DE9" w:rsidRPr="006662B2" w:rsidRDefault="00701DE9" w:rsidP="00437706">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cs="Arial"/>
            <w:b/>
            <w:color w:val="000000"/>
            <w:kern w:val="0"/>
            <w:sz w:val="24"/>
          </w:rPr>
          <w:lastRenderedPageBreak/>
          <w:t>3.2.2</w:t>
        </w:r>
        <w:r w:rsidR="00011307" w:rsidRPr="00370BEA">
          <w:rPr>
            <w:rStyle w:val="ae"/>
            <w:rFonts w:hint="eastAsia"/>
            <w:color w:val="000000"/>
            <w:sz w:val="24"/>
            <w:shd w:val="clear" w:color="auto" w:fill="FFFFFF"/>
          </w:rPr>
          <w:t>自基金合同生效以来</w:t>
        </w:r>
      </w:smartTag>
      <w:r w:rsidRPr="006662B2">
        <w:rPr>
          <w:rFonts w:ascii="宋体" w:hAnsi="宋体" w:cs="Arial" w:hint="eastAsia"/>
          <w:b/>
          <w:color w:val="000000"/>
          <w:kern w:val="0"/>
          <w:sz w:val="24"/>
        </w:rPr>
        <w:t>基金累计净值收益率变动及其与同期业绩比较基准收益率变动的比较</w:t>
      </w:r>
    </w:p>
    <w:p w:rsidR="00701DE9" w:rsidRPr="009F4D34" w:rsidRDefault="00701DE9" w:rsidP="00437706">
      <w:pPr>
        <w:spacing w:line="360" w:lineRule="auto"/>
        <w:jc w:val="center"/>
        <w:rPr>
          <w:sz w:val="24"/>
        </w:rPr>
      </w:pPr>
      <w:r w:rsidRPr="009F4D34">
        <w:rPr>
          <w:sz w:val="24"/>
        </w:rPr>
        <w:t>易方达增金宝货币市场基金</w:t>
      </w:r>
    </w:p>
    <w:p w:rsidR="00701DE9" w:rsidRPr="009F4D34" w:rsidRDefault="00701DE9" w:rsidP="00437706">
      <w:pPr>
        <w:pStyle w:val="a6"/>
        <w:snapToGrid w:val="0"/>
        <w:spacing w:line="360" w:lineRule="auto"/>
        <w:jc w:val="center"/>
        <w:rPr>
          <w:rFonts w:ascii="Times New Roman" w:hAnsi="Times New Roman"/>
          <w:sz w:val="24"/>
          <w:szCs w:val="24"/>
        </w:rPr>
      </w:pPr>
      <w:r w:rsidRPr="009F4D34">
        <w:rPr>
          <w:rFonts w:ascii="Times New Roman" w:hAnsi="Times New Roman"/>
          <w:sz w:val="24"/>
          <w:szCs w:val="24"/>
        </w:rPr>
        <w:t>累计净值收益率与业绩比较基准收益率的历史走势对比图</w:t>
      </w:r>
    </w:p>
    <w:p w:rsidR="00701DE9" w:rsidRPr="006662B2" w:rsidRDefault="0031581B" w:rsidP="00437706">
      <w:pPr>
        <w:spacing w:line="360" w:lineRule="auto"/>
        <w:jc w:val="center"/>
        <w:rPr>
          <w:rFonts w:ascii="宋体"/>
          <w:sz w:val="24"/>
        </w:rPr>
      </w:pPr>
      <w:r w:rsidRPr="009F4D34">
        <w:rPr>
          <w:color w:val="000000"/>
          <w:kern w:val="0"/>
          <w:sz w:val="24"/>
        </w:rPr>
        <w:t>（</w:t>
      </w:r>
      <w:r w:rsidR="00701DE9" w:rsidRPr="009F4D34">
        <w:rPr>
          <w:color w:val="000000"/>
          <w:kern w:val="0"/>
          <w:sz w:val="24"/>
        </w:rPr>
        <w:t>2015</w:t>
      </w:r>
      <w:r w:rsidR="00701DE9" w:rsidRPr="009F4D34">
        <w:rPr>
          <w:color w:val="000000"/>
          <w:kern w:val="0"/>
          <w:sz w:val="24"/>
        </w:rPr>
        <w:t>年</w:t>
      </w:r>
      <w:r w:rsidR="00701DE9" w:rsidRPr="009F4D34">
        <w:rPr>
          <w:color w:val="000000"/>
          <w:kern w:val="0"/>
          <w:sz w:val="24"/>
        </w:rPr>
        <w:t>1</w:t>
      </w:r>
      <w:r w:rsidR="00701DE9" w:rsidRPr="009F4D34">
        <w:rPr>
          <w:color w:val="000000"/>
          <w:kern w:val="0"/>
          <w:sz w:val="24"/>
        </w:rPr>
        <w:t>月</w:t>
      </w:r>
      <w:r w:rsidR="00701DE9" w:rsidRPr="009F4D34">
        <w:rPr>
          <w:color w:val="000000"/>
          <w:kern w:val="0"/>
          <w:sz w:val="24"/>
        </w:rPr>
        <w:t>20</w:t>
      </w:r>
      <w:r w:rsidR="00701DE9" w:rsidRPr="009F4D34">
        <w:rPr>
          <w:color w:val="000000"/>
          <w:kern w:val="0"/>
          <w:sz w:val="24"/>
        </w:rPr>
        <w:t>日至</w:t>
      </w:r>
      <w:r w:rsidR="00701DE9" w:rsidRPr="009F4D34">
        <w:rPr>
          <w:color w:val="000000"/>
          <w:kern w:val="0"/>
          <w:sz w:val="24"/>
        </w:rPr>
        <w:t>2019</w:t>
      </w:r>
      <w:r w:rsidR="00701DE9" w:rsidRPr="009F4D34">
        <w:rPr>
          <w:color w:val="000000"/>
          <w:kern w:val="0"/>
          <w:sz w:val="24"/>
        </w:rPr>
        <w:t>年</w:t>
      </w:r>
      <w:r w:rsidR="00701DE9" w:rsidRPr="009F4D34">
        <w:rPr>
          <w:color w:val="000000"/>
          <w:kern w:val="0"/>
          <w:sz w:val="24"/>
        </w:rPr>
        <w:t>9</w:t>
      </w:r>
      <w:r w:rsidR="00701DE9" w:rsidRPr="009F4D34">
        <w:rPr>
          <w:color w:val="000000"/>
          <w:kern w:val="0"/>
          <w:sz w:val="24"/>
        </w:rPr>
        <w:t>月</w:t>
      </w:r>
      <w:r w:rsidR="00701DE9" w:rsidRPr="009F4D34">
        <w:rPr>
          <w:color w:val="000000"/>
          <w:kern w:val="0"/>
          <w:sz w:val="24"/>
        </w:rPr>
        <w:t>30</w:t>
      </w:r>
      <w:r w:rsidR="00701DE9" w:rsidRPr="009F4D34">
        <w:rPr>
          <w:color w:val="000000"/>
          <w:kern w:val="0"/>
          <w:sz w:val="24"/>
        </w:rPr>
        <w:t>日</w:t>
      </w:r>
      <w:r w:rsidRPr="009F4D34">
        <w:rPr>
          <w:color w:val="000000"/>
          <w:kern w:val="0"/>
          <w:sz w:val="24"/>
        </w:rPr>
        <w:t>）</w:t>
      </w:r>
    </w:p>
    <w:p w:rsidR="00701DE9" w:rsidRPr="006662B2" w:rsidRDefault="002B7D03" w:rsidP="009D0796">
      <w:pPr>
        <w:tabs>
          <w:tab w:val="left" w:pos="180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51.5pt;height:267pt;visibility:visible">
            <v:imagedata r:id="rId9" o:title=""/>
          </v:shape>
        </w:pict>
      </w:r>
    </w:p>
    <w:p w:rsidR="00701DE9" w:rsidRPr="009B5A25" w:rsidRDefault="00701DE9" w:rsidP="009B5A25">
      <w:pPr>
        <w:spacing w:line="360" w:lineRule="auto"/>
        <w:ind w:firstLineChars="200" w:firstLine="480"/>
        <w:rPr>
          <w:color w:val="000000"/>
          <w:sz w:val="24"/>
        </w:rPr>
      </w:pPr>
      <w:r w:rsidRPr="009B5A25">
        <w:rPr>
          <w:color w:val="000000"/>
          <w:sz w:val="24"/>
        </w:rPr>
        <w:t>注：自基金合同生效至报告期末，基金份额净值收益率为</w:t>
      </w:r>
      <w:r w:rsidRPr="009B5A25">
        <w:rPr>
          <w:color w:val="000000"/>
          <w:sz w:val="24"/>
        </w:rPr>
        <w:t>18.3058%</w:t>
      </w:r>
      <w:r w:rsidRPr="009B5A25">
        <w:rPr>
          <w:color w:val="000000"/>
          <w:sz w:val="24"/>
        </w:rPr>
        <w:t>，同期业绩比较基准收益率为</w:t>
      </w:r>
      <w:r w:rsidRPr="009B5A25">
        <w:rPr>
          <w:color w:val="000000"/>
          <w:sz w:val="24"/>
        </w:rPr>
        <w:t>6.6424%</w:t>
      </w:r>
      <w:r w:rsidRPr="009B5A25">
        <w:rPr>
          <w:color w:val="000000"/>
          <w:sz w:val="24"/>
        </w:rPr>
        <w:t>。</w:t>
      </w:r>
    </w:p>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 xml:space="preserve">4  </w:t>
      </w:r>
      <w:r w:rsidRPr="006662B2">
        <w:rPr>
          <w:rFonts w:ascii="宋体" w:hAnsi="宋体" w:cs="Arial" w:hint="eastAsia"/>
          <w:color w:val="000000"/>
          <w:kern w:val="0"/>
          <w:sz w:val="24"/>
          <w:szCs w:val="24"/>
        </w:rPr>
        <w:t>管理人报告</w:t>
      </w:r>
    </w:p>
    <w:p w:rsidR="00305CB5" w:rsidRPr="0078105B" w:rsidRDefault="00701DE9" w:rsidP="00305CB5">
      <w:pPr>
        <w:autoSpaceDE w:val="0"/>
        <w:autoSpaceDN w:val="0"/>
        <w:adjustRightInd w:val="0"/>
        <w:spacing w:line="360" w:lineRule="auto"/>
        <w:jc w:val="left"/>
        <w:rPr>
          <w:rFonts w:ascii="宋体" w:cs="Arial"/>
          <w:b/>
          <w:color w:val="000000"/>
          <w:kern w:val="0"/>
          <w:sz w:val="24"/>
        </w:rPr>
      </w:pPr>
      <w:r w:rsidRPr="006662B2">
        <w:rPr>
          <w:rFonts w:ascii="宋体" w:hAnsi="宋体" w:cs="Arial"/>
          <w:b/>
          <w:color w:val="000000"/>
          <w:kern w:val="0"/>
          <w:sz w:val="24"/>
        </w:rPr>
        <w:t xml:space="preserve">4.1 </w:t>
      </w:r>
      <w:r w:rsidRPr="006662B2">
        <w:rPr>
          <w:rFonts w:ascii="宋体" w:hAnsi="宋体" w:cs="Arial" w:hint="eastAsia"/>
          <w:b/>
          <w:color w:val="000000"/>
          <w:kern w:val="0"/>
          <w:sz w:val="24"/>
        </w:rPr>
        <w:t>基金经理</w:t>
      </w:r>
      <w:r w:rsidR="00C833B2">
        <w:rPr>
          <w:rFonts w:ascii="宋体" w:hAnsi="宋体" w:cs="Arial" w:hint="eastAsia"/>
          <w:b/>
          <w:color w:val="000000"/>
          <w:kern w:val="0"/>
          <w:sz w:val="24"/>
        </w:rPr>
        <w:t>（或基金经理小组）</w:t>
      </w:r>
      <w:r w:rsidRPr="006662B2">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305CB5" w:rsidRPr="0078105B" w:rsidTr="00B7074C">
        <w:trPr>
          <w:cantSplit/>
        </w:trPr>
        <w:tc>
          <w:tcPr>
            <w:tcW w:w="567" w:type="dxa"/>
            <w:vMerge w:val="restart"/>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305CB5" w:rsidRPr="0078105B" w:rsidTr="00B7074C">
        <w:trPr>
          <w:cantSplit/>
        </w:trPr>
        <w:tc>
          <w:tcPr>
            <w:tcW w:w="567" w:type="dxa"/>
            <w:vMerge/>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p>
        </w:tc>
        <w:tc>
          <w:tcPr>
            <w:tcW w:w="2835" w:type="dxa"/>
            <w:vMerge/>
          </w:tcPr>
          <w:p w:rsidR="00305CB5" w:rsidRPr="00FA472B" w:rsidRDefault="00305CB5"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305CB5" w:rsidRPr="00FA472B" w:rsidRDefault="00305CB5" w:rsidP="00B7074C">
            <w:pPr>
              <w:autoSpaceDE w:val="0"/>
              <w:autoSpaceDN w:val="0"/>
              <w:adjustRightInd w:val="0"/>
              <w:spacing w:before="29" w:line="288" w:lineRule="auto"/>
              <w:ind w:left="15"/>
              <w:jc w:val="center"/>
              <w:rPr>
                <w:color w:val="000000"/>
                <w:kern w:val="0"/>
                <w:sz w:val="24"/>
              </w:rPr>
            </w:pPr>
          </w:p>
        </w:tc>
      </w:tr>
      <w:tr w:rsidR="00384C82">
        <w:tc>
          <w:tcPr>
            <w:tcW w:w="567" w:type="dxa"/>
            <w:vAlign w:val="center"/>
          </w:tcPr>
          <w:p w:rsidR="00384C82" w:rsidRDefault="002B7D03">
            <w:pPr>
              <w:jc w:val="center"/>
            </w:pPr>
            <w:r>
              <w:rPr>
                <w:color w:val="000000"/>
                <w:sz w:val="24"/>
              </w:rPr>
              <w:t>梁莹</w:t>
            </w:r>
          </w:p>
        </w:tc>
        <w:tc>
          <w:tcPr>
            <w:tcW w:w="2835" w:type="dxa"/>
            <w:vAlign w:val="center"/>
          </w:tcPr>
          <w:p w:rsidR="00384C82" w:rsidRDefault="002B7D03">
            <w:pPr>
              <w:jc w:val="center"/>
            </w:pPr>
            <w:r>
              <w:rPr>
                <w:color w:val="000000"/>
                <w:sz w:val="24"/>
              </w:rPr>
              <w:t>本基金的基金经理、易方达掌柜季季盈理财债券型证券投资基金的基金</w:t>
            </w:r>
            <w:r>
              <w:rPr>
                <w:color w:val="000000"/>
                <w:sz w:val="24"/>
              </w:rPr>
              <w:lastRenderedPageBreak/>
              <w:t>经理、易方达月月利理财债券型证券投资基金的基金经理、易方达现金增利货币市场基金的基金经理、易方达天天增利货币市场基金的基金经理、易方达龙宝货币市场基金的基金经理、易方达财富快线货币市场基金的基金经理、易方达保证金收益货币市场基金的基金经理、易方达安悦超短债债券型证券投资基金的基金经理、易方达货币市场基金的基金经理助理、易方达易理财货币市场基金的基金经理助理、易方达天天理财货币市场基金的基金经理助理、投资经理</w:t>
            </w:r>
          </w:p>
        </w:tc>
        <w:tc>
          <w:tcPr>
            <w:tcW w:w="851" w:type="dxa"/>
            <w:vAlign w:val="center"/>
          </w:tcPr>
          <w:p w:rsidR="00384C82" w:rsidRDefault="002B7D03">
            <w:pPr>
              <w:jc w:val="center"/>
            </w:pPr>
            <w:r>
              <w:rPr>
                <w:color w:val="000000"/>
                <w:sz w:val="24"/>
              </w:rPr>
              <w:lastRenderedPageBreak/>
              <w:t>2015-01-20</w:t>
            </w:r>
          </w:p>
        </w:tc>
        <w:tc>
          <w:tcPr>
            <w:tcW w:w="850" w:type="dxa"/>
            <w:vAlign w:val="center"/>
          </w:tcPr>
          <w:p w:rsidR="00384C82" w:rsidRDefault="002B7D03">
            <w:pPr>
              <w:jc w:val="center"/>
            </w:pPr>
            <w:r>
              <w:rPr>
                <w:color w:val="000000"/>
                <w:sz w:val="24"/>
              </w:rPr>
              <w:t>-</w:t>
            </w:r>
          </w:p>
        </w:tc>
        <w:tc>
          <w:tcPr>
            <w:tcW w:w="851" w:type="dxa"/>
            <w:vAlign w:val="center"/>
          </w:tcPr>
          <w:p w:rsidR="00384C82" w:rsidRDefault="002B7D03">
            <w:pPr>
              <w:jc w:val="center"/>
            </w:pPr>
            <w:r>
              <w:rPr>
                <w:color w:val="000000"/>
                <w:sz w:val="24"/>
              </w:rPr>
              <w:t>9</w:t>
            </w:r>
            <w:r>
              <w:rPr>
                <w:color w:val="000000"/>
                <w:sz w:val="24"/>
              </w:rPr>
              <w:t>年</w:t>
            </w:r>
          </w:p>
        </w:tc>
        <w:tc>
          <w:tcPr>
            <w:tcW w:w="2977" w:type="dxa"/>
            <w:vAlign w:val="center"/>
          </w:tcPr>
          <w:p w:rsidR="00384C82" w:rsidRDefault="002B7D03">
            <w:r>
              <w:rPr>
                <w:color w:val="000000"/>
                <w:sz w:val="24"/>
              </w:rPr>
              <w:t>硕士研</w:t>
            </w:r>
            <w:r>
              <w:rPr>
                <w:color w:val="000000"/>
                <w:sz w:val="24"/>
              </w:rPr>
              <w:t>究生，曾任招商证券股份有限公司债券销售交易部交易员，易方达基金管</w:t>
            </w:r>
            <w:r>
              <w:rPr>
                <w:color w:val="000000"/>
                <w:sz w:val="24"/>
              </w:rPr>
              <w:lastRenderedPageBreak/>
              <w:t>理有限公司固定收益交易员、易方达保证金收益货币市场基金基金经理助理、易方达双月利理财债券型证券投资基金基金经理。</w:t>
            </w:r>
          </w:p>
        </w:tc>
      </w:tr>
    </w:tbl>
    <w:p w:rsidR="00384C82" w:rsidRDefault="002B7D03">
      <w:pPr>
        <w:autoSpaceDE w:val="0"/>
        <w:autoSpaceDN w:val="0"/>
        <w:adjustRightInd w:val="0"/>
        <w:spacing w:line="360" w:lineRule="auto"/>
        <w:ind w:firstLineChars="200" w:firstLine="480"/>
        <w:jc w:val="left"/>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75FCF" w:rsidRPr="00232B03" w:rsidRDefault="00305CB5" w:rsidP="00305CB5">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701DE9" w:rsidRPr="006662B2" w:rsidRDefault="00701DE9" w:rsidP="00C75FCF">
      <w:pPr>
        <w:autoSpaceDE w:val="0"/>
        <w:autoSpaceDN w:val="0"/>
        <w:adjustRightInd w:val="0"/>
        <w:spacing w:line="360" w:lineRule="auto"/>
        <w:jc w:val="left"/>
        <w:rPr>
          <w:rFonts w:ascii="宋体" w:cs="Arial"/>
          <w:b/>
          <w:color w:val="000000"/>
          <w:kern w:val="0"/>
          <w:sz w:val="24"/>
        </w:rPr>
      </w:pPr>
      <w:r w:rsidRPr="006662B2">
        <w:rPr>
          <w:rFonts w:ascii="宋体" w:hAnsi="宋体" w:cs="Arial"/>
          <w:b/>
          <w:color w:val="000000"/>
          <w:kern w:val="0"/>
          <w:sz w:val="24"/>
        </w:rPr>
        <w:t>4.2</w:t>
      </w:r>
      <w:r>
        <w:rPr>
          <w:rFonts w:cs="Arial" w:hint="eastAsia"/>
          <w:b/>
          <w:color w:val="000000"/>
          <w:kern w:val="0"/>
          <w:sz w:val="24"/>
        </w:rPr>
        <w:t>管理人对</w:t>
      </w:r>
      <w:r w:rsidRPr="00F54568">
        <w:rPr>
          <w:rFonts w:cs="Arial" w:hint="eastAsia"/>
          <w:b/>
          <w:color w:val="000000"/>
          <w:kern w:val="0"/>
          <w:sz w:val="24"/>
        </w:rPr>
        <w:t>报告期内本基金运作遵规守信情况</w:t>
      </w:r>
      <w:r>
        <w:rPr>
          <w:rFonts w:cs="Arial" w:hint="eastAsia"/>
          <w:b/>
          <w:color w:val="000000"/>
          <w:kern w:val="0"/>
          <w:sz w:val="24"/>
        </w:rPr>
        <w:t>的</w:t>
      </w:r>
      <w:r w:rsidRPr="00F54568">
        <w:rPr>
          <w:rFonts w:cs="Arial" w:hint="eastAsia"/>
          <w:b/>
          <w:color w:val="000000"/>
          <w:kern w:val="0"/>
          <w:sz w:val="24"/>
        </w:rPr>
        <w:t>说明</w:t>
      </w:r>
    </w:p>
    <w:p w:rsidR="00701DE9" w:rsidRPr="009B5A25" w:rsidRDefault="00701DE9" w:rsidP="00EE29A9">
      <w:pPr>
        <w:spacing w:line="360" w:lineRule="auto"/>
        <w:ind w:firstLineChars="200" w:firstLine="480"/>
        <w:rPr>
          <w:color w:val="000000"/>
          <w:sz w:val="24"/>
        </w:rPr>
      </w:pPr>
      <w:r w:rsidRPr="009B5A25">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01DE9" w:rsidRPr="006662B2" w:rsidRDefault="00701DE9" w:rsidP="00437706">
      <w:pPr>
        <w:autoSpaceDE w:val="0"/>
        <w:autoSpaceDN w:val="0"/>
        <w:adjustRightInd w:val="0"/>
        <w:spacing w:line="360" w:lineRule="auto"/>
        <w:jc w:val="left"/>
        <w:rPr>
          <w:rFonts w:ascii="宋体" w:cs="Arial"/>
          <w:b/>
          <w:color w:val="000000"/>
          <w:kern w:val="0"/>
          <w:sz w:val="24"/>
        </w:rPr>
      </w:pPr>
      <w:r w:rsidRPr="006662B2">
        <w:rPr>
          <w:rFonts w:ascii="宋体" w:hAnsi="宋体" w:cs="Arial"/>
          <w:b/>
          <w:color w:val="000000"/>
          <w:kern w:val="0"/>
          <w:sz w:val="24"/>
        </w:rPr>
        <w:t xml:space="preserve">4.3 </w:t>
      </w:r>
      <w:r w:rsidRPr="006662B2">
        <w:rPr>
          <w:rFonts w:ascii="宋体" w:hAnsi="宋体" w:cs="Arial" w:hint="eastAsia"/>
          <w:b/>
          <w:color w:val="000000"/>
          <w:kern w:val="0"/>
          <w:sz w:val="24"/>
        </w:rPr>
        <w:t>公平交易专项说明</w:t>
      </w:r>
    </w:p>
    <w:p w:rsidR="00701DE9" w:rsidRPr="006662B2" w:rsidRDefault="00701DE9" w:rsidP="00437706">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sz w:val="24"/>
          </w:rPr>
          <w:t>4.3.1</w:t>
        </w:r>
      </w:smartTag>
      <w:r w:rsidRPr="006662B2">
        <w:rPr>
          <w:rFonts w:ascii="宋体" w:hAnsi="宋体" w:hint="eastAsia"/>
          <w:sz w:val="24"/>
        </w:rPr>
        <w:t>公平交易制度的执行情况</w:t>
      </w:r>
    </w:p>
    <w:p w:rsidR="00701DE9" w:rsidRPr="009B5A25" w:rsidRDefault="00701DE9" w:rsidP="00EE29A9">
      <w:pPr>
        <w:spacing w:line="360" w:lineRule="auto"/>
        <w:ind w:firstLineChars="200" w:firstLine="480"/>
        <w:rPr>
          <w:color w:val="000000"/>
          <w:sz w:val="24"/>
        </w:rPr>
      </w:pPr>
      <w:r w:rsidRPr="009B5A25">
        <w:rPr>
          <w:color w:val="000000"/>
          <w:sz w:val="24"/>
        </w:rPr>
        <w:t>本基金管理人主要通过建立有纪律、规范化的投资研究和决策流程、交易流程，以及强化事后监控分析来确保公平对待不同投资组合，切实防范利益输送。本基金管理人</w:t>
      </w:r>
      <w:r w:rsidRPr="009B5A25">
        <w:rPr>
          <w:color w:val="000000"/>
          <w:sz w:val="24"/>
        </w:rPr>
        <w:lastRenderedPageBreak/>
        <w:t>制定了严格的投资权限管理制度、投资备选库管理制度和集中交易制度等，并重视交易执行环节的公平交易措施，以</w:t>
      </w:r>
      <w:r w:rsidRPr="009B5A25">
        <w:rPr>
          <w:color w:val="000000"/>
          <w:sz w:val="24"/>
        </w:rPr>
        <w:t>“</w:t>
      </w:r>
      <w:r w:rsidRPr="009B5A25">
        <w:rPr>
          <w:color w:val="000000"/>
          <w:sz w:val="24"/>
        </w:rPr>
        <w:t>时间优先、价格优先</w:t>
      </w:r>
      <w:r w:rsidRPr="009B5A25">
        <w:rPr>
          <w:color w:val="000000"/>
          <w:sz w:val="24"/>
        </w:rPr>
        <w:t>”</w:t>
      </w:r>
      <w:r w:rsidRPr="009B5A25">
        <w:rPr>
          <w:color w:val="000000"/>
          <w:sz w:val="24"/>
        </w:rPr>
        <w:t>作为执行指令的基本原则，通过投资交易系统中的公平交易模块，以尽可能确保公平对待各投资组合。本报告期内，公平交易制度总体执行情况良好。</w:t>
      </w:r>
    </w:p>
    <w:p w:rsidR="00701DE9" w:rsidRPr="006662B2" w:rsidRDefault="00701DE9" w:rsidP="00437706">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sz w:val="24"/>
          </w:rPr>
          <w:t>4.3.2</w:t>
        </w:r>
      </w:smartTag>
      <w:r w:rsidRPr="006662B2">
        <w:rPr>
          <w:rFonts w:ascii="宋体" w:hAnsi="宋体" w:hint="eastAsia"/>
          <w:sz w:val="24"/>
        </w:rPr>
        <w:t>异常交易行为的专项说明</w:t>
      </w:r>
    </w:p>
    <w:p w:rsidR="00384C82" w:rsidRDefault="002B7D03">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701DE9" w:rsidRPr="009F4D34" w:rsidRDefault="00701DE9" w:rsidP="009F4D34">
      <w:pPr>
        <w:spacing w:line="360" w:lineRule="auto"/>
        <w:ind w:firstLineChars="200" w:firstLine="480"/>
        <w:rPr>
          <w:color w:val="000000"/>
          <w:sz w:val="24"/>
        </w:rPr>
      </w:pPr>
      <w:r w:rsidRPr="009B5A25">
        <w:rPr>
          <w:color w:val="000000"/>
          <w:sz w:val="24"/>
        </w:rPr>
        <w:t>本报告期内，未发现本基金有可能导致不公平交易和利益输送的异常交易。</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4.4 </w:t>
      </w:r>
      <w:r w:rsidRPr="006662B2">
        <w:rPr>
          <w:rFonts w:ascii="宋体" w:hAnsi="宋体" w:cs="Arial" w:hint="eastAsia"/>
          <w:b/>
          <w:color w:val="000000"/>
          <w:kern w:val="0"/>
          <w:sz w:val="24"/>
        </w:rPr>
        <w:t>报告期内基金的投资策略和业绩表现说明</w:t>
      </w:r>
    </w:p>
    <w:p w:rsidR="00701DE9" w:rsidRPr="006662B2" w:rsidRDefault="00701DE9" w:rsidP="00437706">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sz w:val="24"/>
          </w:rPr>
          <w:t>4.4.1</w:t>
        </w:r>
      </w:smartTag>
      <w:r w:rsidRPr="006662B2">
        <w:rPr>
          <w:rFonts w:ascii="宋体" w:hAnsi="宋体" w:hint="eastAsia"/>
          <w:sz w:val="24"/>
        </w:rPr>
        <w:t>报告期内基金投资策略和运作分析</w:t>
      </w:r>
    </w:p>
    <w:p w:rsidR="00384C82" w:rsidRDefault="002B7D03">
      <w:pPr>
        <w:spacing w:line="360" w:lineRule="auto"/>
        <w:ind w:firstLineChars="200" w:firstLine="480"/>
        <w:rPr>
          <w:color w:val="000000"/>
          <w:sz w:val="24"/>
        </w:rPr>
      </w:pPr>
      <w:r>
        <w:rPr>
          <w:color w:val="000000"/>
          <w:sz w:val="24"/>
        </w:rPr>
        <w:t>2019</w:t>
      </w:r>
      <w:r>
        <w:rPr>
          <w:color w:val="000000"/>
          <w:sz w:val="24"/>
        </w:rPr>
        <w:t>年三季度，货币市场整体维持平稳，资金利率小幅上行；债券市场呈现先涨后跌的走势，经济基本面、通胀走势和政策预期变化是驱动债券市场收益率变化的核心因素。</w:t>
      </w:r>
      <w:r>
        <w:rPr>
          <w:color w:val="000000"/>
          <w:sz w:val="24"/>
        </w:rPr>
        <w:t>7</w:t>
      </w:r>
      <w:r>
        <w:rPr>
          <w:color w:val="000000"/>
          <w:sz w:val="24"/>
        </w:rPr>
        <w:t>月，资金面波动加大，回购利率抬升显著。但是在海外市场货币政策宽松、国内制造业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月，资金面趋于平稳，尽管有中美贸易摩擦加</w:t>
      </w:r>
      <w:r>
        <w:rPr>
          <w:color w:val="000000"/>
          <w:sz w:val="24"/>
        </w:rPr>
        <w:t>剧、基本面数据不及预期等因素的影响，但受专项债扩容、货币政策宽松预期转弱、海外债券收益率反弹等因素影响，债券市场仍出现小幅震荡上行的行情。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384C82" w:rsidRDefault="002B7D03">
      <w:pPr>
        <w:spacing w:line="360" w:lineRule="auto"/>
        <w:ind w:firstLineChars="200" w:firstLine="480"/>
        <w:rPr>
          <w:color w:val="000000"/>
          <w:sz w:val="24"/>
        </w:rPr>
      </w:pPr>
      <w:r>
        <w:rPr>
          <w:color w:val="000000"/>
          <w:sz w:val="24"/>
        </w:rPr>
        <w:t>总体来看，三季度债券市场收益率整体仍是以下行为主，货币政策仍维持稳健，货币市场利率没有进一步下行，货币市场基金收益率维持稳定。</w:t>
      </w:r>
    </w:p>
    <w:p w:rsidR="00701DE9" w:rsidRPr="009B5A25" w:rsidRDefault="00701DE9" w:rsidP="00EE29A9">
      <w:pPr>
        <w:spacing w:line="360" w:lineRule="auto"/>
        <w:ind w:firstLineChars="200" w:firstLine="480"/>
        <w:rPr>
          <w:color w:val="000000"/>
          <w:sz w:val="24"/>
        </w:rPr>
      </w:pPr>
      <w:r w:rsidRPr="009B5A25">
        <w:rPr>
          <w:color w:val="000000"/>
          <w:sz w:val="24"/>
        </w:rPr>
        <w:t>操作方面，报告期内基金以同业存单、同业存款、短期融资券、短期逆回购为主要配置资产。在三季度组合保持适中的剩余期限和杠杆率。总体来看，组合在三季度保持了较好的流动性和稳定的收益率。</w:t>
      </w:r>
    </w:p>
    <w:p w:rsidR="00701DE9" w:rsidRPr="006662B2" w:rsidRDefault="00701DE9" w:rsidP="00437706">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sz w:val="24"/>
          </w:rPr>
          <w:t>4.4.2</w:t>
        </w:r>
      </w:smartTag>
      <w:r w:rsidRPr="006662B2">
        <w:rPr>
          <w:rFonts w:ascii="宋体" w:hAnsi="宋体" w:hint="eastAsia"/>
          <w:sz w:val="24"/>
        </w:rPr>
        <w:t>报告期内基金的业绩表现</w:t>
      </w:r>
    </w:p>
    <w:p w:rsidR="00701DE9" w:rsidRPr="009F4D34" w:rsidRDefault="00701DE9" w:rsidP="009F4D34">
      <w:pPr>
        <w:spacing w:line="360" w:lineRule="auto"/>
        <w:ind w:firstLineChars="200" w:firstLine="480"/>
        <w:rPr>
          <w:color w:val="000000"/>
          <w:sz w:val="24"/>
        </w:rPr>
      </w:pPr>
      <w:r w:rsidRPr="009B5A25">
        <w:rPr>
          <w:color w:val="000000"/>
          <w:sz w:val="24"/>
        </w:rPr>
        <w:t>本基金本报告期内基金份额净值收益率为</w:t>
      </w:r>
      <w:r w:rsidRPr="009B5A25">
        <w:rPr>
          <w:color w:val="000000"/>
          <w:sz w:val="24"/>
        </w:rPr>
        <w:t>0.6281%</w:t>
      </w:r>
      <w:r w:rsidRPr="009B5A25">
        <w:rPr>
          <w:color w:val="000000"/>
          <w:sz w:val="24"/>
        </w:rPr>
        <w:t>；同期业绩比较基准收益率为</w:t>
      </w:r>
      <w:r w:rsidRPr="009B5A25">
        <w:rPr>
          <w:color w:val="000000"/>
          <w:sz w:val="24"/>
        </w:rPr>
        <w:t>0.3456%</w:t>
      </w:r>
      <w:r w:rsidRPr="009B5A25">
        <w:rPr>
          <w:color w:val="000000"/>
          <w:sz w:val="24"/>
        </w:rPr>
        <w:t>。</w:t>
      </w:r>
    </w:p>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lastRenderedPageBreak/>
        <w:t>§</w:t>
      </w:r>
      <w:r w:rsidRPr="006662B2">
        <w:rPr>
          <w:rFonts w:ascii="宋体" w:hAnsi="宋体" w:cs="Arial"/>
          <w:color w:val="000000"/>
          <w:kern w:val="0"/>
          <w:sz w:val="24"/>
          <w:szCs w:val="24"/>
        </w:rPr>
        <w:t xml:space="preserve">5  </w:t>
      </w:r>
      <w:r w:rsidRPr="006662B2">
        <w:rPr>
          <w:rFonts w:ascii="宋体" w:hAnsi="宋体" w:cs="Arial" w:hint="eastAsia"/>
          <w:color w:val="000000"/>
          <w:kern w:val="0"/>
          <w:sz w:val="24"/>
          <w:szCs w:val="24"/>
        </w:rPr>
        <w:t>投资组合报告</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5.1 </w:t>
      </w:r>
      <w:r w:rsidRPr="006662B2">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49"/>
        <w:gridCol w:w="3827"/>
        <w:gridCol w:w="1701"/>
      </w:tblGrid>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序号</w:t>
            </w:r>
          </w:p>
        </w:tc>
        <w:tc>
          <w:tcPr>
            <w:tcW w:w="2649"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项目</w:t>
            </w:r>
          </w:p>
        </w:tc>
        <w:tc>
          <w:tcPr>
            <w:tcW w:w="3827" w:type="dxa"/>
            <w:vAlign w:val="center"/>
          </w:tcPr>
          <w:p w:rsidR="00701DE9" w:rsidRPr="009F4D34" w:rsidRDefault="00701DE9" w:rsidP="00F34E9B">
            <w:pPr>
              <w:spacing w:before="29" w:line="360" w:lineRule="auto"/>
              <w:ind w:left="17"/>
              <w:jc w:val="center"/>
              <w:rPr>
                <w:color w:val="000000"/>
                <w:sz w:val="24"/>
              </w:rPr>
            </w:pPr>
            <w:r w:rsidRPr="009F4D34">
              <w:rPr>
                <w:color w:val="000000"/>
                <w:sz w:val="24"/>
              </w:rPr>
              <w:t>金额</w:t>
            </w:r>
            <w:r w:rsidR="00F34E9B" w:rsidRPr="009F4D34">
              <w:rPr>
                <w:color w:val="000000"/>
                <w:sz w:val="24"/>
              </w:rPr>
              <w:t>（</w:t>
            </w:r>
            <w:r w:rsidRPr="009F4D34">
              <w:rPr>
                <w:color w:val="000000"/>
                <w:sz w:val="24"/>
              </w:rPr>
              <w:t>元</w:t>
            </w:r>
            <w:r w:rsidR="00F34E9B" w:rsidRPr="009F4D34">
              <w:rPr>
                <w:color w:val="000000"/>
                <w:sz w:val="24"/>
              </w:rPr>
              <w:t>）</w:t>
            </w:r>
          </w:p>
        </w:tc>
        <w:tc>
          <w:tcPr>
            <w:tcW w:w="1701" w:type="dxa"/>
            <w:vAlign w:val="center"/>
          </w:tcPr>
          <w:p w:rsidR="00701DE9" w:rsidRPr="009F4D34" w:rsidRDefault="00701DE9" w:rsidP="00E753E4">
            <w:pPr>
              <w:spacing w:before="29" w:line="360" w:lineRule="auto"/>
              <w:ind w:left="17"/>
              <w:jc w:val="center"/>
              <w:rPr>
                <w:color w:val="000000"/>
                <w:sz w:val="24"/>
              </w:rPr>
            </w:pPr>
            <w:r w:rsidRPr="009F4D34">
              <w:rPr>
                <w:color w:val="000000"/>
                <w:sz w:val="24"/>
              </w:rPr>
              <w:t>占基金总资产的比例</w:t>
            </w:r>
            <w:r w:rsidR="00E753E4" w:rsidRPr="009F4D34">
              <w:rPr>
                <w:color w:val="000000"/>
                <w:sz w:val="24"/>
              </w:rPr>
              <w:t>（</w:t>
            </w:r>
            <w:r w:rsidR="00E753E4" w:rsidRPr="009F4D34">
              <w:rPr>
                <w:color w:val="000000"/>
                <w:sz w:val="24"/>
              </w:rPr>
              <w:t>%</w:t>
            </w:r>
            <w:r w:rsidR="00E753E4" w:rsidRPr="009F4D34">
              <w:rPr>
                <w:color w:val="000000"/>
                <w:sz w:val="24"/>
              </w:rPr>
              <w:t>）</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1</w:t>
            </w: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固定收益投资</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1,235,189,011.83</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48.10</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其中：债券</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1,177,189,011.83</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45.84</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p>
        </w:tc>
        <w:tc>
          <w:tcPr>
            <w:tcW w:w="2649" w:type="dxa"/>
            <w:vAlign w:val="center"/>
          </w:tcPr>
          <w:p w:rsidR="00701DE9" w:rsidRPr="009F4D34" w:rsidRDefault="00701DE9" w:rsidP="00EE29A9">
            <w:pPr>
              <w:autoSpaceDE w:val="0"/>
              <w:autoSpaceDN w:val="0"/>
              <w:adjustRightInd w:val="0"/>
              <w:spacing w:before="29" w:line="360" w:lineRule="auto"/>
              <w:ind w:firstLineChars="300" w:firstLine="720"/>
              <w:jc w:val="left"/>
              <w:rPr>
                <w:color w:val="000000"/>
                <w:sz w:val="24"/>
              </w:rPr>
            </w:pPr>
            <w:r w:rsidRPr="009F4D34">
              <w:rPr>
                <w:color w:val="000000"/>
                <w:sz w:val="24"/>
              </w:rPr>
              <w:t>资产支持证券</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58,000,000.00</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2.26</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2</w:t>
            </w: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买入返售金融资产</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760,031,820.05</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29.60</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其中：买断式回购的买入返售金融资产</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w:t>
            </w:r>
          </w:p>
        </w:tc>
      </w:tr>
      <w:tr w:rsidR="00701DE9" w:rsidRPr="006662B2" w:rsidTr="002E65E3">
        <w:tc>
          <w:tcPr>
            <w:tcW w:w="720" w:type="dxa"/>
            <w:vAlign w:val="center"/>
          </w:tcPr>
          <w:p w:rsidR="00701DE9" w:rsidRPr="009F4D34" w:rsidRDefault="00701DE9" w:rsidP="00F03F87">
            <w:pPr>
              <w:spacing w:before="29" w:line="360" w:lineRule="auto"/>
              <w:ind w:left="17"/>
              <w:jc w:val="center"/>
              <w:rPr>
                <w:color w:val="000000"/>
                <w:sz w:val="24"/>
              </w:rPr>
            </w:pPr>
            <w:r w:rsidRPr="009F4D34">
              <w:rPr>
                <w:color w:val="000000"/>
                <w:sz w:val="24"/>
              </w:rPr>
              <w:t>3</w:t>
            </w:r>
          </w:p>
        </w:tc>
        <w:tc>
          <w:tcPr>
            <w:tcW w:w="2649" w:type="dxa"/>
            <w:vAlign w:val="center"/>
          </w:tcPr>
          <w:p w:rsidR="00701DE9" w:rsidRPr="009F4D34" w:rsidRDefault="00701DE9" w:rsidP="00F03F87">
            <w:pPr>
              <w:spacing w:before="29" w:line="360" w:lineRule="auto"/>
              <w:ind w:left="17"/>
              <w:jc w:val="left"/>
              <w:rPr>
                <w:sz w:val="24"/>
              </w:rPr>
            </w:pPr>
            <w:r w:rsidRPr="009F4D34">
              <w:rPr>
                <w:color w:val="000000"/>
                <w:sz w:val="24"/>
              </w:rPr>
              <w:t>银行存款和结算备付金合计</w:t>
            </w:r>
          </w:p>
        </w:tc>
        <w:tc>
          <w:tcPr>
            <w:tcW w:w="3827"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561,263,366.85</w:t>
            </w:r>
          </w:p>
        </w:tc>
        <w:tc>
          <w:tcPr>
            <w:tcW w:w="1701" w:type="dxa"/>
            <w:vAlign w:val="center"/>
          </w:tcPr>
          <w:p w:rsidR="00701DE9" w:rsidRPr="009F4D34" w:rsidRDefault="00701DE9" w:rsidP="00F03F87">
            <w:pPr>
              <w:spacing w:before="29" w:line="360" w:lineRule="auto"/>
              <w:ind w:left="17"/>
              <w:jc w:val="right"/>
              <w:rPr>
                <w:color w:val="000000"/>
                <w:sz w:val="24"/>
              </w:rPr>
            </w:pPr>
            <w:r w:rsidRPr="009F4D34">
              <w:rPr>
                <w:color w:val="000000"/>
                <w:sz w:val="24"/>
              </w:rPr>
              <w:t>21.86</w:t>
            </w:r>
          </w:p>
        </w:tc>
      </w:tr>
      <w:tr w:rsidR="00701DE9" w:rsidRPr="006662B2" w:rsidTr="002E65E3">
        <w:tc>
          <w:tcPr>
            <w:tcW w:w="720" w:type="dxa"/>
            <w:vAlign w:val="center"/>
          </w:tcPr>
          <w:p w:rsidR="00701DE9" w:rsidRPr="009F4D34" w:rsidRDefault="00701DE9" w:rsidP="00926A13">
            <w:pPr>
              <w:spacing w:before="29" w:line="360" w:lineRule="auto"/>
              <w:ind w:left="17"/>
              <w:jc w:val="center"/>
              <w:rPr>
                <w:color w:val="000000"/>
                <w:sz w:val="24"/>
              </w:rPr>
            </w:pPr>
            <w:r w:rsidRPr="009F4D34">
              <w:rPr>
                <w:color w:val="000000"/>
                <w:sz w:val="24"/>
              </w:rPr>
              <w:t>4</w:t>
            </w:r>
          </w:p>
        </w:tc>
        <w:tc>
          <w:tcPr>
            <w:tcW w:w="2649" w:type="dxa"/>
            <w:vAlign w:val="center"/>
          </w:tcPr>
          <w:p w:rsidR="00701DE9" w:rsidRPr="009F4D34" w:rsidRDefault="00701DE9" w:rsidP="00F03F87">
            <w:pPr>
              <w:jc w:val="left"/>
              <w:rPr>
                <w:sz w:val="24"/>
              </w:rPr>
            </w:pPr>
            <w:r w:rsidRPr="009F4D34">
              <w:rPr>
                <w:color w:val="000000"/>
                <w:sz w:val="24"/>
              </w:rPr>
              <w:t>其他资产</w:t>
            </w:r>
          </w:p>
        </w:tc>
        <w:tc>
          <w:tcPr>
            <w:tcW w:w="3827" w:type="dxa"/>
            <w:vAlign w:val="center"/>
          </w:tcPr>
          <w:p w:rsidR="00701DE9" w:rsidRPr="009F4D34" w:rsidRDefault="00701DE9" w:rsidP="00F03F87">
            <w:pPr>
              <w:jc w:val="right"/>
              <w:rPr>
                <w:color w:val="000000"/>
                <w:sz w:val="24"/>
              </w:rPr>
            </w:pPr>
            <w:r w:rsidRPr="009F4D34">
              <w:rPr>
                <w:color w:val="000000"/>
                <w:sz w:val="24"/>
              </w:rPr>
              <w:t>11,396,523.04</w:t>
            </w:r>
          </w:p>
        </w:tc>
        <w:tc>
          <w:tcPr>
            <w:tcW w:w="1701" w:type="dxa"/>
            <w:vAlign w:val="center"/>
          </w:tcPr>
          <w:p w:rsidR="00701DE9" w:rsidRPr="009F4D34" w:rsidRDefault="00701DE9" w:rsidP="00F03F87">
            <w:pPr>
              <w:jc w:val="right"/>
              <w:rPr>
                <w:color w:val="000000"/>
                <w:sz w:val="24"/>
              </w:rPr>
            </w:pPr>
            <w:r w:rsidRPr="009F4D34">
              <w:rPr>
                <w:color w:val="000000"/>
                <w:sz w:val="24"/>
              </w:rPr>
              <w:t>0.44</w:t>
            </w:r>
          </w:p>
        </w:tc>
      </w:tr>
      <w:tr w:rsidR="00701DE9" w:rsidRPr="006662B2" w:rsidTr="002E65E3">
        <w:tc>
          <w:tcPr>
            <w:tcW w:w="720" w:type="dxa"/>
            <w:vAlign w:val="center"/>
          </w:tcPr>
          <w:p w:rsidR="00701DE9" w:rsidRPr="009F4D34" w:rsidRDefault="00701DE9" w:rsidP="00926A13">
            <w:pPr>
              <w:spacing w:before="29" w:line="360" w:lineRule="auto"/>
              <w:ind w:left="17"/>
              <w:jc w:val="center"/>
              <w:rPr>
                <w:color w:val="000000"/>
                <w:sz w:val="24"/>
              </w:rPr>
            </w:pPr>
            <w:r w:rsidRPr="009F4D34">
              <w:rPr>
                <w:color w:val="000000"/>
                <w:sz w:val="24"/>
              </w:rPr>
              <w:t>5</w:t>
            </w:r>
          </w:p>
        </w:tc>
        <w:tc>
          <w:tcPr>
            <w:tcW w:w="2649" w:type="dxa"/>
            <w:vAlign w:val="center"/>
          </w:tcPr>
          <w:p w:rsidR="00701DE9" w:rsidRPr="009F4D34" w:rsidRDefault="00701DE9" w:rsidP="00F03F87">
            <w:pPr>
              <w:jc w:val="left"/>
              <w:rPr>
                <w:sz w:val="24"/>
              </w:rPr>
            </w:pPr>
            <w:r w:rsidRPr="009F4D34">
              <w:rPr>
                <w:color w:val="000000"/>
                <w:sz w:val="24"/>
              </w:rPr>
              <w:t>合计</w:t>
            </w:r>
          </w:p>
        </w:tc>
        <w:tc>
          <w:tcPr>
            <w:tcW w:w="3827" w:type="dxa"/>
            <w:vAlign w:val="center"/>
          </w:tcPr>
          <w:p w:rsidR="00701DE9" w:rsidRPr="009F4D34" w:rsidRDefault="00701DE9" w:rsidP="00F03F87">
            <w:pPr>
              <w:jc w:val="right"/>
              <w:rPr>
                <w:color w:val="000000"/>
                <w:sz w:val="24"/>
              </w:rPr>
            </w:pPr>
            <w:r w:rsidRPr="009F4D34">
              <w:rPr>
                <w:color w:val="000000"/>
                <w:sz w:val="24"/>
              </w:rPr>
              <w:t>2,567,880,721.77</w:t>
            </w:r>
          </w:p>
        </w:tc>
        <w:tc>
          <w:tcPr>
            <w:tcW w:w="1701" w:type="dxa"/>
            <w:vAlign w:val="center"/>
          </w:tcPr>
          <w:p w:rsidR="00701DE9" w:rsidRPr="009F4D34" w:rsidRDefault="00701DE9" w:rsidP="00F03F87">
            <w:pPr>
              <w:jc w:val="right"/>
              <w:rPr>
                <w:color w:val="000000"/>
                <w:sz w:val="24"/>
              </w:rPr>
            </w:pPr>
            <w:r w:rsidRPr="009F4D34">
              <w:rPr>
                <w:color w:val="000000"/>
                <w:sz w:val="24"/>
              </w:rPr>
              <w:t>100.00</w:t>
            </w:r>
          </w:p>
        </w:tc>
      </w:tr>
    </w:tbl>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5.2 </w:t>
      </w:r>
      <w:r w:rsidRPr="006662B2">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701DE9" w:rsidRPr="006662B2" w:rsidTr="00F03F87">
        <w:tc>
          <w:tcPr>
            <w:tcW w:w="861"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占基金资产净值的比例（％）</w:t>
            </w:r>
          </w:p>
        </w:tc>
      </w:tr>
      <w:tr w:rsidR="00701DE9" w:rsidRPr="006662B2" w:rsidTr="00F03F87">
        <w:tc>
          <w:tcPr>
            <w:tcW w:w="861" w:type="dxa"/>
            <w:vMerge w:val="restart"/>
            <w:tcBorders>
              <w:top w:val="single" w:sz="8" w:space="0" w:color="000000"/>
              <w:left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F03F87">
            <w:pPr>
              <w:rPr>
                <w:sz w:val="24"/>
              </w:rPr>
            </w:pPr>
            <w:r w:rsidRPr="009F4D34">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48DE">
            <w:pPr>
              <w:jc w:val="right"/>
              <w:rPr>
                <w:sz w:val="24"/>
              </w:rPr>
            </w:pPr>
            <w:r w:rsidRPr="009F4D34">
              <w:rPr>
                <w:sz w:val="24"/>
              </w:rPr>
              <w:t>9.76</w:t>
            </w:r>
          </w:p>
        </w:tc>
      </w:tr>
      <w:tr w:rsidR="00701DE9" w:rsidRPr="006662B2" w:rsidTr="00BC63DF">
        <w:trPr>
          <w:trHeight w:val="712"/>
        </w:trPr>
        <w:tc>
          <w:tcPr>
            <w:tcW w:w="861" w:type="dxa"/>
            <w:vMerge/>
            <w:tcBorders>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F03F87">
            <w:pPr>
              <w:rPr>
                <w:sz w:val="24"/>
              </w:rPr>
            </w:pPr>
            <w:r w:rsidRPr="009F4D34">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BC63DF">
            <w:pPr>
              <w:jc w:val="right"/>
              <w:rPr>
                <w:sz w:val="24"/>
              </w:rPr>
            </w:pPr>
            <w:r w:rsidRPr="009F4D34">
              <w:rPr>
                <w:sz w:val="24"/>
              </w:rPr>
              <w:t>-</w:t>
            </w:r>
          </w:p>
        </w:tc>
      </w:tr>
      <w:tr w:rsidR="00701DE9" w:rsidRPr="006662B2" w:rsidTr="00E9312A">
        <w:tc>
          <w:tcPr>
            <w:tcW w:w="861" w:type="dxa"/>
            <w:tcBorders>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sz w:val="24"/>
              </w:rPr>
            </w:pPr>
            <w:r w:rsidRPr="009F4D34">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E9312A">
            <w:pPr>
              <w:jc w:val="center"/>
              <w:rPr>
                <w:sz w:val="24"/>
              </w:rPr>
            </w:pPr>
            <w:r w:rsidRPr="009F4D34">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E9312A">
            <w:pPr>
              <w:jc w:val="center"/>
              <w:rPr>
                <w:sz w:val="24"/>
              </w:rPr>
            </w:pPr>
            <w:r w:rsidRPr="009F4D34">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color w:val="000000"/>
                <w:kern w:val="0"/>
                <w:sz w:val="24"/>
              </w:rPr>
              <w:t>占基金资产净值的比例（％）</w:t>
            </w:r>
          </w:p>
        </w:tc>
      </w:tr>
      <w:tr w:rsidR="00701DE9" w:rsidRPr="006662B2" w:rsidTr="00E9312A">
        <w:tc>
          <w:tcPr>
            <w:tcW w:w="861" w:type="dxa"/>
            <w:vMerge w:val="restart"/>
            <w:tcBorders>
              <w:top w:val="single" w:sz="8" w:space="0" w:color="000000"/>
              <w:left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sz w:val="24"/>
              </w:rPr>
            </w:pPr>
            <w:r w:rsidRPr="009F4D34">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F03F87">
            <w:pPr>
              <w:rPr>
                <w:sz w:val="24"/>
              </w:rPr>
            </w:pPr>
            <w:r w:rsidRPr="009F4D34">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sz w:val="24"/>
              </w:rPr>
              <w:t>209,127,495.37</w:t>
            </w:r>
          </w:p>
        </w:tc>
        <w:tc>
          <w:tcPr>
            <w:tcW w:w="212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sz w:val="24"/>
              </w:rPr>
              <w:t>8.88</w:t>
            </w:r>
          </w:p>
        </w:tc>
      </w:tr>
      <w:tr w:rsidR="00701DE9" w:rsidRPr="006662B2" w:rsidTr="00E9312A">
        <w:tc>
          <w:tcPr>
            <w:tcW w:w="861" w:type="dxa"/>
            <w:vMerge/>
            <w:tcBorders>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701DE9" w:rsidRPr="009F4D34" w:rsidRDefault="00701DE9" w:rsidP="00F03F87">
            <w:pPr>
              <w:rPr>
                <w:sz w:val="24"/>
              </w:rPr>
            </w:pPr>
            <w:r w:rsidRPr="009F4D34">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jc w:val="right"/>
              <w:rPr>
                <w:sz w:val="24"/>
              </w:rPr>
            </w:pPr>
            <w:r w:rsidRPr="009F4D34">
              <w:rPr>
                <w:sz w:val="24"/>
              </w:rPr>
              <w:t>-</w:t>
            </w:r>
          </w:p>
        </w:tc>
      </w:tr>
    </w:tbl>
    <w:p w:rsidR="00701DE9" w:rsidRPr="009F4D34" w:rsidRDefault="00701DE9" w:rsidP="009F4D34">
      <w:pPr>
        <w:spacing w:line="360" w:lineRule="auto"/>
        <w:ind w:firstLineChars="200" w:firstLine="480"/>
        <w:rPr>
          <w:color w:val="000000"/>
          <w:sz w:val="24"/>
        </w:rPr>
      </w:pPr>
      <w:r w:rsidRPr="009B5A25">
        <w:rPr>
          <w:color w:val="000000"/>
          <w:sz w:val="24"/>
        </w:rPr>
        <w:t>注：上表中报告期内债券回购融资余额占基金资产净值的比例为报告期内每个交易日融资余额占基金资产净值比例的简单平均值。</w:t>
      </w:r>
    </w:p>
    <w:p w:rsidR="00701DE9" w:rsidRPr="00437706" w:rsidRDefault="00701DE9" w:rsidP="00437706">
      <w:pPr>
        <w:spacing w:line="360" w:lineRule="auto"/>
        <w:rPr>
          <w:rFonts w:ascii="宋体" w:cs="Arial"/>
          <w:b/>
          <w:color w:val="000000"/>
          <w:kern w:val="0"/>
          <w:sz w:val="24"/>
        </w:rPr>
      </w:pPr>
      <w:r w:rsidRPr="00437706">
        <w:rPr>
          <w:rFonts w:ascii="宋体" w:hAnsi="宋体" w:cs="Arial" w:hint="eastAsia"/>
          <w:b/>
          <w:color w:val="000000"/>
          <w:kern w:val="0"/>
          <w:sz w:val="24"/>
        </w:rPr>
        <w:t>债券正回购的资金余额超过基金资产净值的</w:t>
      </w:r>
      <w:r w:rsidRPr="00437706">
        <w:rPr>
          <w:rFonts w:ascii="宋体" w:hAnsi="宋体" w:cs="Arial"/>
          <w:b/>
          <w:color w:val="000000"/>
          <w:kern w:val="0"/>
          <w:sz w:val="24"/>
        </w:rPr>
        <w:t>20</w:t>
      </w:r>
      <w:r w:rsidRPr="00437706">
        <w:rPr>
          <w:rFonts w:ascii="宋体" w:hAnsi="宋体" w:cs="Arial" w:hint="eastAsia"/>
          <w:b/>
          <w:color w:val="000000"/>
          <w:kern w:val="0"/>
          <w:sz w:val="24"/>
        </w:rPr>
        <w:t>％的说明</w:t>
      </w:r>
    </w:p>
    <w:p w:rsidR="00701DE9" w:rsidRPr="009F4D34" w:rsidRDefault="00701DE9" w:rsidP="009F4D34">
      <w:pPr>
        <w:spacing w:line="360" w:lineRule="auto"/>
        <w:ind w:firstLineChars="200" w:firstLine="480"/>
        <w:rPr>
          <w:color w:val="000000"/>
          <w:sz w:val="24"/>
        </w:rPr>
      </w:pPr>
      <w:r w:rsidRPr="009B5A25">
        <w:rPr>
          <w:color w:val="000000"/>
          <w:sz w:val="24"/>
        </w:rPr>
        <w:t>在本报告期内本货币市场基金债券正回购的资金余额未超过资产净值的</w:t>
      </w:r>
      <w:r w:rsidRPr="009B5A25">
        <w:rPr>
          <w:color w:val="000000"/>
          <w:sz w:val="24"/>
        </w:rPr>
        <w:t>20%</w:t>
      </w:r>
      <w:r w:rsidRPr="009B5A25">
        <w:rPr>
          <w:color w:val="000000"/>
          <w:sz w:val="24"/>
        </w:rPr>
        <w:t>。</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 xml:space="preserve">5.3 </w:t>
      </w:r>
      <w:r w:rsidRPr="006662B2">
        <w:rPr>
          <w:rFonts w:ascii="宋体" w:hAnsi="宋体" w:cs="Arial" w:hint="eastAsia"/>
          <w:b/>
          <w:color w:val="000000"/>
          <w:kern w:val="0"/>
          <w:sz w:val="24"/>
        </w:rPr>
        <w:t>基金投资组合平均剩余期限</w:t>
      </w:r>
    </w:p>
    <w:p w:rsidR="00701DE9" w:rsidRPr="006662B2" w:rsidRDefault="00701DE9" w:rsidP="00437706">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cs="Arial"/>
            <w:b/>
            <w:color w:val="000000"/>
            <w:kern w:val="0"/>
            <w:sz w:val="24"/>
          </w:rPr>
          <w:lastRenderedPageBreak/>
          <w:t>5.3.1</w:t>
        </w:r>
      </w:smartTag>
      <w:r w:rsidRPr="006662B2">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3686"/>
        <w:gridCol w:w="5386"/>
      </w:tblGrid>
      <w:tr w:rsidR="00701DE9" w:rsidRPr="006662B2" w:rsidTr="0067106E">
        <w:tc>
          <w:tcPr>
            <w:tcW w:w="36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项目</w:t>
            </w:r>
          </w:p>
        </w:tc>
        <w:tc>
          <w:tcPr>
            <w:tcW w:w="53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center"/>
              <w:rPr>
                <w:color w:val="000000"/>
                <w:kern w:val="0"/>
                <w:sz w:val="24"/>
              </w:rPr>
            </w:pPr>
            <w:r w:rsidRPr="009F4D34">
              <w:rPr>
                <w:color w:val="000000"/>
                <w:kern w:val="0"/>
                <w:sz w:val="24"/>
              </w:rPr>
              <w:t>天数</w:t>
            </w:r>
          </w:p>
        </w:tc>
      </w:tr>
      <w:tr w:rsidR="00701DE9" w:rsidRPr="006662B2" w:rsidTr="0067106E">
        <w:tc>
          <w:tcPr>
            <w:tcW w:w="36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left"/>
              <w:rPr>
                <w:color w:val="000000"/>
                <w:kern w:val="0"/>
                <w:sz w:val="24"/>
              </w:rPr>
            </w:pPr>
            <w:r w:rsidRPr="009F4D34">
              <w:rPr>
                <w:color w:val="000000"/>
                <w:kern w:val="0"/>
                <w:sz w:val="24"/>
              </w:rPr>
              <w:t>报告期末投资组合平均剩余期限</w:t>
            </w:r>
          </w:p>
        </w:tc>
        <w:tc>
          <w:tcPr>
            <w:tcW w:w="53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EA1C82">
            <w:pPr>
              <w:spacing w:line="360" w:lineRule="auto"/>
              <w:ind w:right="120"/>
              <w:jc w:val="right"/>
              <w:rPr>
                <w:sz w:val="24"/>
              </w:rPr>
            </w:pPr>
            <w:r w:rsidRPr="009F4D34">
              <w:rPr>
                <w:sz w:val="24"/>
              </w:rPr>
              <w:t>113</w:t>
            </w:r>
          </w:p>
        </w:tc>
      </w:tr>
      <w:tr w:rsidR="00701DE9" w:rsidRPr="006662B2" w:rsidTr="0067106E">
        <w:tc>
          <w:tcPr>
            <w:tcW w:w="36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left"/>
              <w:rPr>
                <w:color w:val="000000"/>
                <w:kern w:val="0"/>
                <w:sz w:val="24"/>
              </w:rPr>
            </w:pPr>
            <w:r w:rsidRPr="009F4D34">
              <w:rPr>
                <w:color w:val="000000"/>
                <w:kern w:val="0"/>
                <w:sz w:val="24"/>
              </w:rPr>
              <w:t>报告期内投资组合平均剩余期限最高值</w:t>
            </w:r>
          </w:p>
        </w:tc>
        <w:tc>
          <w:tcPr>
            <w:tcW w:w="53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67106E">
            <w:pPr>
              <w:jc w:val="right"/>
              <w:rPr>
                <w:sz w:val="24"/>
              </w:rPr>
            </w:pPr>
            <w:r w:rsidRPr="009F4D34">
              <w:rPr>
                <w:sz w:val="24"/>
              </w:rPr>
              <w:t>117</w:t>
            </w:r>
          </w:p>
        </w:tc>
      </w:tr>
      <w:tr w:rsidR="00701DE9" w:rsidRPr="006662B2" w:rsidTr="0067106E">
        <w:tc>
          <w:tcPr>
            <w:tcW w:w="36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F03F87">
            <w:pPr>
              <w:autoSpaceDE w:val="0"/>
              <w:autoSpaceDN w:val="0"/>
              <w:adjustRightInd w:val="0"/>
              <w:spacing w:before="29" w:line="360" w:lineRule="auto"/>
              <w:ind w:left="15"/>
              <w:jc w:val="left"/>
              <w:rPr>
                <w:color w:val="000000"/>
                <w:kern w:val="0"/>
                <w:sz w:val="24"/>
              </w:rPr>
            </w:pPr>
            <w:r w:rsidRPr="009F4D34">
              <w:rPr>
                <w:color w:val="000000"/>
                <w:kern w:val="0"/>
                <w:sz w:val="24"/>
              </w:rPr>
              <w:t>报告期内投资组合平均剩余期限最低值</w:t>
            </w:r>
          </w:p>
        </w:tc>
        <w:tc>
          <w:tcPr>
            <w:tcW w:w="5386"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114310">
            <w:pPr>
              <w:spacing w:line="360" w:lineRule="auto"/>
              <w:ind w:right="120"/>
              <w:jc w:val="right"/>
              <w:rPr>
                <w:sz w:val="24"/>
              </w:rPr>
            </w:pPr>
            <w:r w:rsidRPr="009F4D34">
              <w:rPr>
                <w:sz w:val="24"/>
              </w:rPr>
              <w:t>66</w:t>
            </w:r>
          </w:p>
        </w:tc>
      </w:tr>
    </w:tbl>
    <w:p w:rsidR="00701DE9" w:rsidRPr="00437706" w:rsidRDefault="00701DE9" w:rsidP="00437706">
      <w:pPr>
        <w:spacing w:line="360" w:lineRule="auto"/>
        <w:rPr>
          <w:rFonts w:ascii="宋体" w:cs="Arial"/>
          <w:b/>
          <w:color w:val="000000"/>
          <w:kern w:val="0"/>
          <w:sz w:val="24"/>
        </w:rPr>
      </w:pPr>
      <w:r w:rsidRPr="00437706">
        <w:rPr>
          <w:rFonts w:ascii="宋体" w:hAnsi="宋体" w:cs="Arial" w:hint="eastAsia"/>
          <w:b/>
          <w:color w:val="000000"/>
          <w:kern w:val="0"/>
          <w:sz w:val="24"/>
        </w:rPr>
        <w:t>报告期内投资组合平均剩余期限超过</w:t>
      </w:r>
      <w:r w:rsidRPr="00437706">
        <w:rPr>
          <w:rFonts w:ascii="宋体" w:hAnsi="宋体" w:cs="Arial"/>
          <w:b/>
          <w:color w:val="000000"/>
          <w:kern w:val="0"/>
          <w:sz w:val="24"/>
        </w:rPr>
        <w:t>1</w:t>
      </w:r>
      <w:r w:rsidR="0024072D">
        <w:rPr>
          <w:rFonts w:ascii="宋体" w:hAnsi="宋体" w:cs="Arial" w:hint="eastAsia"/>
          <w:b/>
          <w:color w:val="000000"/>
          <w:kern w:val="0"/>
          <w:sz w:val="24"/>
        </w:rPr>
        <w:t>2</w:t>
      </w:r>
      <w:r w:rsidRPr="00437706">
        <w:rPr>
          <w:rFonts w:ascii="宋体" w:hAnsi="宋体" w:cs="Arial"/>
          <w:b/>
          <w:color w:val="000000"/>
          <w:kern w:val="0"/>
          <w:sz w:val="24"/>
        </w:rPr>
        <w:t>0</w:t>
      </w:r>
      <w:r w:rsidRPr="00437706">
        <w:rPr>
          <w:rFonts w:ascii="宋体" w:hAnsi="宋体" w:cs="Arial" w:hint="eastAsia"/>
          <w:b/>
          <w:color w:val="000000"/>
          <w:kern w:val="0"/>
          <w:sz w:val="24"/>
        </w:rPr>
        <w:t>天情况说明</w:t>
      </w:r>
    </w:p>
    <w:p w:rsidR="001C611E" w:rsidRPr="001C611E" w:rsidRDefault="001C611E" w:rsidP="001C611E">
      <w:pPr>
        <w:spacing w:line="360" w:lineRule="auto"/>
        <w:ind w:firstLineChars="200" w:firstLine="480"/>
        <w:rPr>
          <w:color w:val="000000"/>
          <w:sz w:val="24"/>
        </w:rPr>
      </w:pPr>
      <w:r w:rsidRPr="001C611E">
        <w:rPr>
          <w:rFonts w:hint="eastAsia"/>
          <w:color w:val="000000"/>
          <w:sz w:val="24"/>
        </w:rPr>
        <w:t>本报告期内本货币市场基金投资组合平均剩余期限未超过</w:t>
      </w:r>
      <w:r w:rsidRPr="001C611E">
        <w:rPr>
          <w:rFonts w:hint="eastAsia"/>
          <w:color w:val="000000"/>
          <w:sz w:val="24"/>
        </w:rPr>
        <w:t>120</w:t>
      </w:r>
      <w:r w:rsidRPr="001C611E">
        <w:rPr>
          <w:rFonts w:hint="eastAsia"/>
          <w:color w:val="000000"/>
          <w:sz w:val="24"/>
        </w:rPr>
        <w:t>天。</w:t>
      </w:r>
    </w:p>
    <w:p w:rsidR="00701DE9" w:rsidRPr="006662B2" w:rsidRDefault="00701DE9" w:rsidP="00437706">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662B2">
          <w:rPr>
            <w:rFonts w:ascii="宋体" w:hAnsi="宋体" w:cs="Arial"/>
            <w:b/>
            <w:color w:val="000000"/>
            <w:kern w:val="0"/>
            <w:sz w:val="24"/>
          </w:rPr>
          <w:t>5.3.2</w:t>
        </w:r>
      </w:smartTag>
      <w:r w:rsidRPr="006662B2">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567"/>
        <w:gridCol w:w="2552"/>
        <w:gridCol w:w="2835"/>
        <w:gridCol w:w="3208"/>
      </w:tblGrid>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序号</w:t>
            </w: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平均剩余期限</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各期限资产占基金资产净值的比例（</w:t>
            </w:r>
            <w:r w:rsidRPr="009F4D34">
              <w:rPr>
                <w:color w:val="000000"/>
                <w:kern w:val="0"/>
                <w:sz w:val="24"/>
              </w:rPr>
              <w:t>%</w:t>
            </w:r>
            <w:r w:rsidRPr="009F4D34">
              <w:rPr>
                <w:color w:val="000000"/>
                <w:kern w:val="0"/>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各期限负债占基金资产净值的比例（％）</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9B0994">
            <w:pPr>
              <w:autoSpaceDE w:val="0"/>
              <w:autoSpaceDN w:val="0"/>
              <w:adjustRightInd w:val="0"/>
              <w:spacing w:before="29" w:line="360" w:lineRule="auto"/>
              <w:ind w:left="15"/>
              <w:jc w:val="center"/>
              <w:rPr>
                <w:color w:val="000000"/>
                <w:kern w:val="0"/>
                <w:sz w:val="24"/>
              </w:rPr>
            </w:pPr>
            <w:r w:rsidRPr="009F4D34">
              <w:rPr>
                <w:color w:val="000000"/>
                <w:sz w:val="24"/>
              </w:rPr>
              <w:t>1</w:t>
            </w: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sz w:val="24"/>
              </w:rPr>
              <w:t>30</w:t>
            </w:r>
            <w:r w:rsidRPr="009F4D34">
              <w:rPr>
                <w:color w:val="000000"/>
                <w:sz w:val="24"/>
              </w:rPr>
              <w:t>天以内</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6E05E1">
            <w:pPr>
              <w:autoSpaceDE w:val="0"/>
              <w:autoSpaceDN w:val="0"/>
              <w:adjustRightInd w:val="0"/>
              <w:spacing w:before="29" w:line="360" w:lineRule="auto"/>
              <w:ind w:left="15"/>
              <w:jc w:val="right"/>
              <w:rPr>
                <w:color w:val="000000"/>
                <w:kern w:val="0"/>
                <w:sz w:val="24"/>
              </w:rPr>
            </w:pPr>
            <w:r w:rsidRPr="009F4D34">
              <w:rPr>
                <w:color w:val="000000"/>
                <w:sz w:val="24"/>
              </w:rPr>
              <w:t>34.87</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8.88</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sz w:val="24"/>
              </w:rPr>
              <w:t>其中：剩余存续期超过</w:t>
            </w:r>
            <w:r w:rsidRPr="009F4D34">
              <w:rPr>
                <w:color w:val="000000"/>
                <w:sz w:val="24"/>
              </w:rPr>
              <w:t>397</w:t>
            </w:r>
            <w:r w:rsidRPr="009F4D34">
              <w:rPr>
                <w:color w:val="000000"/>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r w:rsidRPr="009F4D34">
              <w:rPr>
                <w:color w:val="000000"/>
                <w:sz w:val="24"/>
              </w:rPr>
              <w:t>2</w:t>
            </w: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sz w:val="24"/>
              </w:rPr>
              <w:t>30</w:t>
            </w:r>
            <w:r w:rsidRPr="009F4D34">
              <w:rPr>
                <w:color w:val="000000"/>
                <w:sz w:val="24"/>
              </w:rPr>
              <w:t>天（含）</w:t>
            </w:r>
            <w:r w:rsidRPr="009F4D34">
              <w:rPr>
                <w:color w:val="000000"/>
                <w:sz w:val="24"/>
              </w:rPr>
              <w:t>—60</w:t>
            </w:r>
            <w:r w:rsidRPr="009F4D34">
              <w:rPr>
                <w:color w:val="000000"/>
                <w:sz w:val="24"/>
              </w:rPr>
              <w:t>天</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7.20</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sz w:val="24"/>
              </w:rPr>
              <w:t>其中：剩余存续期超过</w:t>
            </w:r>
            <w:r w:rsidRPr="009F4D34">
              <w:rPr>
                <w:color w:val="000000"/>
                <w:sz w:val="24"/>
              </w:rPr>
              <w:t>397</w:t>
            </w:r>
            <w:r w:rsidRPr="009F4D34">
              <w:rPr>
                <w:color w:val="000000"/>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r w:rsidRPr="009F4D34">
              <w:rPr>
                <w:color w:val="000000"/>
                <w:sz w:val="24"/>
              </w:rPr>
              <w:t>3</w:t>
            </w: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sz w:val="24"/>
              </w:rPr>
            </w:pPr>
            <w:r w:rsidRPr="009F4D34">
              <w:rPr>
                <w:color w:val="000000"/>
                <w:sz w:val="24"/>
              </w:rPr>
              <w:t>60</w:t>
            </w:r>
            <w:r w:rsidRPr="009F4D34">
              <w:rPr>
                <w:color w:val="000000"/>
                <w:sz w:val="24"/>
              </w:rPr>
              <w:t>天（含）</w:t>
            </w:r>
            <w:r w:rsidRPr="009F4D34">
              <w:rPr>
                <w:color w:val="000000"/>
                <w:sz w:val="24"/>
              </w:rPr>
              <w:t>—90</w:t>
            </w:r>
            <w:r w:rsidRPr="009F4D34">
              <w:rPr>
                <w:color w:val="000000"/>
                <w:sz w:val="24"/>
              </w:rPr>
              <w:t>天</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12.71</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701DE9"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sz w:val="24"/>
              </w:rPr>
            </w:pPr>
            <w:r w:rsidRPr="009F4D34">
              <w:rPr>
                <w:color w:val="000000"/>
                <w:sz w:val="24"/>
              </w:rPr>
              <w:t>其中：剩余存续期超过</w:t>
            </w:r>
            <w:r w:rsidRPr="009F4D34">
              <w:rPr>
                <w:color w:val="000000"/>
                <w:sz w:val="24"/>
              </w:rPr>
              <w:t>397</w:t>
            </w:r>
            <w:r w:rsidRPr="009F4D34">
              <w:rPr>
                <w:color w:val="000000"/>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right"/>
              <w:rPr>
                <w:color w:val="000000"/>
                <w:kern w:val="0"/>
                <w:sz w:val="24"/>
              </w:rPr>
            </w:pPr>
            <w:r w:rsidRPr="009F4D34">
              <w:rPr>
                <w:color w:val="000000"/>
                <w:sz w:val="24"/>
              </w:rPr>
              <w:t>-</w:t>
            </w:r>
          </w:p>
        </w:tc>
      </w:tr>
      <w:tr w:rsidR="00DA3FE3"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DA3FE3" w:rsidRPr="009F4D34" w:rsidRDefault="00DA3FE3" w:rsidP="00814461">
            <w:pPr>
              <w:autoSpaceDE w:val="0"/>
              <w:autoSpaceDN w:val="0"/>
              <w:adjustRightInd w:val="0"/>
              <w:spacing w:before="29" w:line="360" w:lineRule="auto"/>
              <w:ind w:left="15"/>
              <w:jc w:val="center"/>
              <w:rPr>
                <w:color w:val="000000"/>
                <w:sz w:val="24"/>
              </w:rPr>
            </w:pPr>
            <w:r w:rsidRPr="009F4D34">
              <w:rPr>
                <w:color w:val="000000"/>
                <w:sz w:val="24"/>
              </w:rPr>
              <w:t>4</w:t>
            </w:r>
          </w:p>
        </w:tc>
        <w:tc>
          <w:tcPr>
            <w:tcW w:w="2552"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left"/>
              <w:rPr>
                <w:rFonts w:eastAsiaTheme="minorEastAsia"/>
                <w:color w:val="000000" w:themeColor="text1"/>
                <w:sz w:val="24"/>
              </w:rPr>
            </w:pPr>
            <w:r w:rsidRPr="00DA3FE3">
              <w:rPr>
                <w:rFonts w:eastAsiaTheme="minorEastAsia"/>
                <w:color w:val="000000" w:themeColor="text1"/>
                <w:sz w:val="24"/>
              </w:rPr>
              <w:t>90</w:t>
            </w:r>
            <w:r w:rsidRPr="00DA3FE3">
              <w:rPr>
                <w:rFonts w:eastAsiaTheme="minorEastAsia"/>
                <w:color w:val="000000" w:themeColor="text1"/>
                <w:sz w:val="24"/>
              </w:rPr>
              <w:t>天（含）</w:t>
            </w:r>
            <w:r w:rsidRPr="00DA3FE3">
              <w:rPr>
                <w:rFonts w:eastAsiaTheme="minorEastAsia"/>
                <w:color w:val="000000" w:themeColor="text1"/>
                <w:sz w:val="24"/>
              </w:rPr>
              <w:t>—120</w:t>
            </w:r>
            <w:r w:rsidRPr="00DA3FE3">
              <w:rPr>
                <w:rFonts w:eastAsiaTheme="minorEastAsia"/>
                <w:color w:val="000000" w:themeColor="text1"/>
                <w:sz w:val="24"/>
              </w:rPr>
              <w:t>天</w:t>
            </w:r>
          </w:p>
        </w:tc>
        <w:tc>
          <w:tcPr>
            <w:tcW w:w="2835"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4.24</w:t>
            </w:r>
          </w:p>
        </w:tc>
        <w:tc>
          <w:tcPr>
            <w:tcW w:w="3208"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r>
      <w:tr w:rsidR="00DA3FE3"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DA3FE3" w:rsidRPr="009F4D34" w:rsidRDefault="00DA3FE3"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left"/>
              <w:rPr>
                <w:rFonts w:eastAsiaTheme="minorEastAsia"/>
                <w:color w:val="000000" w:themeColor="text1"/>
                <w:sz w:val="24"/>
              </w:rPr>
            </w:pPr>
            <w:r w:rsidRPr="00DA3FE3">
              <w:rPr>
                <w:rFonts w:eastAsiaTheme="minorEastAsia"/>
                <w:color w:val="000000" w:themeColor="text1"/>
                <w:sz w:val="24"/>
              </w:rPr>
              <w:t>其中：剩余存续期超过</w:t>
            </w:r>
            <w:r w:rsidRPr="00DA3FE3">
              <w:rPr>
                <w:rFonts w:eastAsiaTheme="minorEastAsia"/>
                <w:color w:val="000000" w:themeColor="text1"/>
                <w:sz w:val="24"/>
              </w:rPr>
              <w:t>397</w:t>
            </w:r>
            <w:r w:rsidRPr="00DA3FE3">
              <w:rPr>
                <w:rFonts w:eastAsiaTheme="minorEastAsia"/>
                <w:color w:val="000000" w:themeColor="text1"/>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r>
      <w:tr w:rsidR="00DA3FE3"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DA3FE3" w:rsidRPr="009F4D34" w:rsidRDefault="00DA3FE3" w:rsidP="00814461">
            <w:pPr>
              <w:autoSpaceDE w:val="0"/>
              <w:autoSpaceDN w:val="0"/>
              <w:adjustRightInd w:val="0"/>
              <w:spacing w:before="29" w:line="360" w:lineRule="auto"/>
              <w:ind w:left="15"/>
              <w:jc w:val="center"/>
              <w:rPr>
                <w:color w:val="000000"/>
                <w:sz w:val="24"/>
              </w:rPr>
            </w:pPr>
            <w:r w:rsidRPr="009F4D34">
              <w:rPr>
                <w:color w:val="000000"/>
                <w:sz w:val="24"/>
              </w:rPr>
              <w:t>5</w:t>
            </w:r>
          </w:p>
        </w:tc>
        <w:tc>
          <w:tcPr>
            <w:tcW w:w="2552"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left"/>
              <w:rPr>
                <w:rFonts w:eastAsiaTheme="minorEastAsia"/>
                <w:color w:val="000000" w:themeColor="text1"/>
                <w:sz w:val="24"/>
              </w:rPr>
            </w:pPr>
            <w:r w:rsidRPr="00DA3FE3">
              <w:rPr>
                <w:rFonts w:eastAsiaTheme="minorEastAsia"/>
                <w:color w:val="000000" w:themeColor="text1"/>
                <w:sz w:val="24"/>
              </w:rPr>
              <w:t>120</w:t>
            </w:r>
            <w:r w:rsidRPr="00DA3FE3">
              <w:rPr>
                <w:rFonts w:eastAsiaTheme="minorEastAsia"/>
                <w:color w:val="000000" w:themeColor="text1"/>
                <w:sz w:val="24"/>
              </w:rPr>
              <w:t>天（含）</w:t>
            </w:r>
            <w:r w:rsidRPr="00DA3FE3">
              <w:rPr>
                <w:rFonts w:eastAsiaTheme="minorEastAsia"/>
                <w:color w:val="000000" w:themeColor="text1"/>
                <w:sz w:val="24"/>
              </w:rPr>
              <w:t>—397</w:t>
            </w:r>
            <w:r w:rsidRPr="00DA3FE3">
              <w:rPr>
                <w:rFonts w:eastAsiaTheme="minorEastAsia"/>
                <w:color w:val="000000" w:themeColor="text1"/>
                <w:sz w:val="24"/>
              </w:rPr>
              <w:t>天（含）</w:t>
            </w:r>
          </w:p>
        </w:tc>
        <w:tc>
          <w:tcPr>
            <w:tcW w:w="2835"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49.52</w:t>
            </w:r>
          </w:p>
        </w:tc>
        <w:tc>
          <w:tcPr>
            <w:tcW w:w="3208"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r>
      <w:tr w:rsidR="00DA3FE3" w:rsidRPr="006662B2" w:rsidTr="006A2A4A">
        <w:tc>
          <w:tcPr>
            <w:tcW w:w="567" w:type="dxa"/>
            <w:tcBorders>
              <w:top w:val="single" w:sz="8" w:space="0" w:color="000000"/>
              <w:left w:val="single" w:sz="8" w:space="0" w:color="000000"/>
              <w:bottom w:val="single" w:sz="8" w:space="0" w:color="000000"/>
              <w:right w:val="single" w:sz="8" w:space="0" w:color="000000"/>
            </w:tcBorders>
            <w:vAlign w:val="center"/>
          </w:tcPr>
          <w:p w:rsidR="00DA3FE3" w:rsidRPr="009F4D34" w:rsidRDefault="00DA3FE3" w:rsidP="00814461">
            <w:pPr>
              <w:autoSpaceDE w:val="0"/>
              <w:autoSpaceDN w:val="0"/>
              <w:adjustRightInd w:val="0"/>
              <w:spacing w:before="29" w:line="360" w:lineRule="auto"/>
              <w:ind w:left="15"/>
              <w:jc w:val="center"/>
              <w:rPr>
                <w:color w:val="000000"/>
                <w:sz w:val="24"/>
              </w:rPr>
            </w:pPr>
          </w:p>
        </w:tc>
        <w:tc>
          <w:tcPr>
            <w:tcW w:w="2552"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left"/>
              <w:rPr>
                <w:rFonts w:eastAsiaTheme="minorEastAsia"/>
                <w:color w:val="000000" w:themeColor="text1"/>
                <w:sz w:val="24"/>
              </w:rPr>
            </w:pPr>
            <w:r w:rsidRPr="00DA3FE3">
              <w:rPr>
                <w:rFonts w:eastAsiaTheme="minorEastAsia"/>
                <w:color w:val="000000" w:themeColor="text1"/>
                <w:sz w:val="24"/>
              </w:rPr>
              <w:t>其中：剩余存续期超过</w:t>
            </w:r>
            <w:r w:rsidRPr="00DA3FE3">
              <w:rPr>
                <w:rFonts w:eastAsiaTheme="minorEastAsia"/>
                <w:color w:val="000000" w:themeColor="text1"/>
                <w:sz w:val="24"/>
              </w:rPr>
              <w:t>397</w:t>
            </w:r>
            <w:r w:rsidRPr="00DA3FE3">
              <w:rPr>
                <w:rFonts w:eastAsiaTheme="minorEastAsia"/>
                <w:color w:val="000000" w:themeColor="text1"/>
                <w:sz w:val="24"/>
              </w:rPr>
              <w:t>天的浮动利率债</w:t>
            </w:r>
          </w:p>
        </w:tc>
        <w:tc>
          <w:tcPr>
            <w:tcW w:w="2835"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c>
          <w:tcPr>
            <w:tcW w:w="3208" w:type="dxa"/>
            <w:tcBorders>
              <w:top w:val="single" w:sz="8" w:space="0" w:color="000000"/>
              <w:left w:val="single" w:sz="8" w:space="0" w:color="000000"/>
              <w:bottom w:val="single" w:sz="8" w:space="0" w:color="000000"/>
              <w:right w:val="single" w:sz="8" w:space="0" w:color="000000"/>
            </w:tcBorders>
            <w:vAlign w:val="center"/>
          </w:tcPr>
          <w:p w:rsidR="00DA3FE3" w:rsidRPr="00DA3FE3" w:rsidRDefault="00DA3FE3" w:rsidP="007C1713">
            <w:pPr>
              <w:autoSpaceDE w:val="0"/>
              <w:autoSpaceDN w:val="0"/>
              <w:adjustRightInd w:val="0"/>
              <w:spacing w:before="29" w:line="360" w:lineRule="auto"/>
              <w:ind w:left="15"/>
              <w:jc w:val="right"/>
              <w:rPr>
                <w:rFonts w:eastAsiaTheme="minorEastAsia"/>
                <w:color w:val="000000" w:themeColor="text1"/>
                <w:kern w:val="0"/>
                <w:sz w:val="24"/>
              </w:rPr>
            </w:pPr>
            <w:r w:rsidRPr="00DA3FE3">
              <w:rPr>
                <w:rFonts w:eastAsiaTheme="minorEastAsia"/>
                <w:color w:val="000000" w:themeColor="text1"/>
                <w:sz w:val="24"/>
              </w:rPr>
              <w:t>-</w:t>
            </w:r>
          </w:p>
        </w:tc>
      </w:tr>
      <w:tr w:rsidR="002A114B" w:rsidRPr="006662B2" w:rsidTr="006A2A4A">
        <w:tc>
          <w:tcPr>
            <w:tcW w:w="3119" w:type="dxa"/>
            <w:gridSpan w:val="2"/>
            <w:tcBorders>
              <w:top w:val="single" w:sz="8" w:space="0" w:color="000000"/>
              <w:left w:val="single" w:sz="8" w:space="0" w:color="000000"/>
              <w:bottom w:val="single" w:sz="8" w:space="0" w:color="000000"/>
              <w:right w:val="single" w:sz="8" w:space="0" w:color="000000"/>
            </w:tcBorders>
            <w:vAlign w:val="center"/>
          </w:tcPr>
          <w:p w:rsidR="002A114B" w:rsidRPr="00DA3FE3" w:rsidRDefault="002A114B" w:rsidP="009B0994">
            <w:pPr>
              <w:autoSpaceDE w:val="0"/>
              <w:autoSpaceDN w:val="0"/>
              <w:adjustRightInd w:val="0"/>
              <w:spacing w:before="29" w:line="360" w:lineRule="auto"/>
              <w:ind w:left="15"/>
              <w:jc w:val="center"/>
              <w:rPr>
                <w:color w:val="000000"/>
                <w:sz w:val="24"/>
              </w:rPr>
            </w:pPr>
            <w:r w:rsidRPr="00DA3FE3">
              <w:rPr>
                <w:color w:val="000000"/>
                <w:sz w:val="24"/>
              </w:rPr>
              <w:t>合计</w:t>
            </w:r>
          </w:p>
        </w:tc>
        <w:tc>
          <w:tcPr>
            <w:tcW w:w="2835" w:type="dxa"/>
            <w:tcBorders>
              <w:top w:val="single" w:sz="8" w:space="0" w:color="000000"/>
              <w:left w:val="single" w:sz="8" w:space="0" w:color="000000"/>
              <w:bottom w:val="single" w:sz="8" w:space="0" w:color="000000"/>
              <w:right w:val="single" w:sz="8" w:space="0" w:color="000000"/>
            </w:tcBorders>
            <w:vAlign w:val="center"/>
          </w:tcPr>
          <w:p w:rsidR="002A114B" w:rsidRPr="002A114B" w:rsidRDefault="002A114B" w:rsidP="0098005A">
            <w:pPr>
              <w:autoSpaceDE w:val="0"/>
              <w:autoSpaceDN w:val="0"/>
              <w:adjustRightInd w:val="0"/>
              <w:spacing w:before="29" w:line="360" w:lineRule="auto"/>
              <w:ind w:left="15"/>
              <w:jc w:val="right"/>
              <w:rPr>
                <w:rFonts w:eastAsiaTheme="minorEastAsia"/>
                <w:color w:val="000000" w:themeColor="text1"/>
                <w:kern w:val="0"/>
                <w:sz w:val="24"/>
              </w:rPr>
            </w:pPr>
            <w:r w:rsidRPr="002A114B">
              <w:rPr>
                <w:rFonts w:eastAsiaTheme="minorEastAsia"/>
                <w:color w:val="000000" w:themeColor="text1"/>
                <w:sz w:val="24"/>
              </w:rPr>
              <w:t>108.54</w:t>
            </w:r>
          </w:p>
        </w:tc>
        <w:tc>
          <w:tcPr>
            <w:tcW w:w="3208" w:type="dxa"/>
            <w:tcBorders>
              <w:top w:val="single" w:sz="8" w:space="0" w:color="000000"/>
              <w:left w:val="single" w:sz="8" w:space="0" w:color="000000"/>
              <w:bottom w:val="single" w:sz="8" w:space="0" w:color="000000"/>
              <w:right w:val="single" w:sz="8" w:space="0" w:color="000000"/>
            </w:tcBorders>
            <w:vAlign w:val="center"/>
          </w:tcPr>
          <w:p w:rsidR="002A114B" w:rsidRPr="002A114B" w:rsidRDefault="002A114B" w:rsidP="0098005A">
            <w:pPr>
              <w:autoSpaceDE w:val="0"/>
              <w:autoSpaceDN w:val="0"/>
              <w:adjustRightInd w:val="0"/>
              <w:spacing w:before="29" w:line="360" w:lineRule="auto"/>
              <w:ind w:left="15"/>
              <w:jc w:val="right"/>
              <w:rPr>
                <w:rFonts w:eastAsiaTheme="minorEastAsia"/>
                <w:color w:val="000000" w:themeColor="text1"/>
                <w:kern w:val="0"/>
                <w:sz w:val="24"/>
              </w:rPr>
            </w:pPr>
            <w:r w:rsidRPr="002A114B">
              <w:rPr>
                <w:rFonts w:eastAsiaTheme="minorEastAsia"/>
                <w:color w:val="000000" w:themeColor="text1"/>
                <w:sz w:val="24"/>
              </w:rPr>
              <w:t>8.88</w:t>
            </w:r>
          </w:p>
        </w:tc>
      </w:tr>
    </w:tbl>
    <w:p w:rsidR="00DA3FE3" w:rsidRPr="00DA3FE3" w:rsidRDefault="00DA3FE3" w:rsidP="00DA3FE3">
      <w:pPr>
        <w:spacing w:line="360" w:lineRule="auto"/>
        <w:rPr>
          <w:rFonts w:ascii="宋体" w:hAnsi="宋体" w:cs="Arial"/>
          <w:b/>
          <w:color w:val="000000"/>
          <w:kern w:val="0"/>
          <w:sz w:val="24"/>
        </w:rPr>
      </w:pPr>
      <w:r w:rsidRPr="00DA3FE3">
        <w:rPr>
          <w:rFonts w:ascii="宋体" w:hAnsi="宋体" w:cs="Arial" w:hint="eastAsia"/>
          <w:b/>
          <w:color w:val="000000"/>
          <w:kern w:val="0"/>
          <w:sz w:val="24"/>
        </w:rPr>
        <w:t>5.4报告期内投资组合平均剩余存续期超过240天情况说明</w:t>
      </w:r>
    </w:p>
    <w:p w:rsidR="00DA3FE3" w:rsidRPr="00DA3FE3" w:rsidRDefault="00DA3FE3" w:rsidP="00DA3FE3">
      <w:pPr>
        <w:spacing w:line="360" w:lineRule="auto"/>
        <w:ind w:firstLineChars="200" w:firstLine="480"/>
        <w:rPr>
          <w:color w:val="000000"/>
          <w:sz w:val="24"/>
        </w:rPr>
      </w:pPr>
      <w:r w:rsidRPr="00DA3FE3">
        <w:rPr>
          <w:rFonts w:hint="eastAsia"/>
          <w:color w:val="000000"/>
          <w:sz w:val="24"/>
        </w:rPr>
        <w:t>本报告期内本货币市场基金投资组合平均剩余存续期未超过</w:t>
      </w:r>
      <w:r w:rsidRPr="00DA3FE3">
        <w:rPr>
          <w:rFonts w:hint="eastAsia"/>
          <w:color w:val="000000"/>
          <w:sz w:val="24"/>
        </w:rPr>
        <w:t>240</w:t>
      </w:r>
      <w:r w:rsidRPr="00DA3FE3">
        <w:rPr>
          <w:rFonts w:hint="eastAsia"/>
          <w:color w:val="000000"/>
          <w:sz w:val="24"/>
        </w:rPr>
        <w:t>天。</w:t>
      </w:r>
    </w:p>
    <w:p w:rsidR="00B00842" w:rsidRPr="00B00842" w:rsidRDefault="00701DE9" w:rsidP="00B00842">
      <w:pPr>
        <w:spacing w:line="360" w:lineRule="auto"/>
        <w:rPr>
          <w:rFonts w:eastAsiaTheme="minorEastAsia"/>
          <w:b/>
          <w:color w:val="000000" w:themeColor="text1"/>
          <w:kern w:val="0"/>
          <w:sz w:val="24"/>
        </w:rPr>
      </w:pPr>
      <w:r w:rsidRPr="006662B2">
        <w:rPr>
          <w:rFonts w:ascii="宋体" w:hAnsi="宋体" w:cs="Arial"/>
          <w:b/>
          <w:color w:val="000000"/>
          <w:kern w:val="0"/>
          <w:sz w:val="24"/>
        </w:rPr>
        <w:t>5.</w:t>
      </w:r>
      <w:r w:rsidR="00DA3FE3">
        <w:rPr>
          <w:rFonts w:ascii="宋体" w:hAnsi="宋体" w:cs="Arial" w:hint="eastAsia"/>
          <w:b/>
          <w:color w:val="000000"/>
          <w:kern w:val="0"/>
          <w:sz w:val="24"/>
        </w:rPr>
        <w:t>5</w:t>
      </w:r>
      <w:r w:rsidRPr="006662B2">
        <w:rPr>
          <w:rFonts w:ascii="宋体" w:hAnsi="宋体" w:cs="Arial"/>
          <w:b/>
          <w:color w:val="000000"/>
          <w:kern w:val="0"/>
          <w:sz w:val="24"/>
        </w:rPr>
        <w:t xml:space="preserve"> </w:t>
      </w:r>
      <w:r w:rsidRPr="006662B2">
        <w:rPr>
          <w:rFonts w:ascii="宋体" w:hAnsi="宋体" w:cs="Arial" w:hint="eastAsia"/>
          <w:b/>
          <w:color w:val="000000"/>
          <w:kern w:val="0"/>
          <w:sz w:val="24"/>
        </w:rPr>
        <w:t>报告期末按债券品种分类的债券投资组合</w:t>
      </w:r>
    </w:p>
    <w:tbl>
      <w:tblPr>
        <w:tblStyle w:val="a8"/>
        <w:tblW w:w="9307" w:type="dxa"/>
        <w:tblInd w:w="15" w:type="dxa"/>
        <w:tblLayout w:type="fixed"/>
        <w:tblLook w:val="04A0" w:firstRow="1" w:lastRow="0" w:firstColumn="1" w:lastColumn="0" w:noHBand="0" w:noVBand="1"/>
      </w:tblPr>
      <w:tblGrid>
        <w:gridCol w:w="894"/>
        <w:gridCol w:w="2743"/>
        <w:gridCol w:w="3686"/>
        <w:gridCol w:w="1984"/>
      </w:tblGrid>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序号</w:t>
            </w:r>
          </w:p>
        </w:tc>
        <w:tc>
          <w:tcPr>
            <w:tcW w:w="2743"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债券品种</w:t>
            </w:r>
          </w:p>
        </w:tc>
        <w:tc>
          <w:tcPr>
            <w:tcW w:w="3686"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公允价值</w:t>
            </w:r>
            <w:r w:rsidRPr="00B00842">
              <w:rPr>
                <w:rFonts w:eastAsiaTheme="minorEastAsia"/>
                <w:color w:val="000000" w:themeColor="text1"/>
                <w:sz w:val="24"/>
              </w:rPr>
              <w:t>(</w:t>
            </w:r>
            <w:r w:rsidRPr="00B00842">
              <w:rPr>
                <w:rFonts w:eastAsiaTheme="minorEastAsia"/>
                <w:color w:val="000000" w:themeColor="text1"/>
                <w:sz w:val="24"/>
              </w:rPr>
              <w:t>元</w:t>
            </w: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占基金资产净值比例</w:t>
            </w:r>
            <w:r w:rsidRPr="00B00842">
              <w:rPr>
                <w:rFonts w:eastAsiaTheme="minorEastAsia"/>
                <w:color w:val="000000" w:themeColor="text1"/>
                <w:sz w:val="24"/>
              </w:rPr>
              <w:t>(</w:t>
            </w:r>
            <w:r w:rsidRPr="00B00842">
              <w:rPr>
                <w:rFonts w:eastAsiaTheme="minorEastAsia"/>
                <w:color w:val="000000" w:themeColor="text1"/>
                <w:sz w:val="24"/>
              </w:rPr>
              <w:t>％</w:t>
            </w: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1</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国家债券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2</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央行票据</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3</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金融债券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120,366,673.24</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5.11</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其中：政策性金融债</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120,366,673.24</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5.11</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4</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企业债券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5</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企业短期融资券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129,986,535.16</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5.52</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6</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中期票据</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40,030,686.26</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1.70</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7</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同业存单</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886,805,117.17</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37.65</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8</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其他</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9</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合计</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1,177,189,011.83</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49.98</w:t>
            </w:r>
          </w:p>
        </w:tc>
      </w:tr>
      <w:tr w:rsidR="00B00842" w:rsidRPr="00B00842" w:rsidTr="002749C9">
        <w:tc>
          <w:tcPr>
            <w:tcW w:w="894" w:type="dxa"/>
            <w:vAlign w:val="center"/>
          </w:tcPr>
          <w:p w:rsidR="00B00842" w:rsidRPr="00B00842" w:rsidRDefault="00B00842" w:rsidP="002749C9">
            <w:pPr>
              <w:spacing w:before="29" w:line="360" w:lineRule="auto"/>
              <w:ind w:left="17"/>
              <w:jc w:val="center"/>
              <w:rPr>
                <w:rFonts w:eastAsiaTheme="minorEastAsia"/>
                <w:color w:val="000000" w:themeColor="text1"/>
                <w:sz w:val="24"/>
              </w:rPr>
            </w:pPr>
            <w:r w:rsidRPr="00B00842">
              <w:rPr>
                <w:rFonts w:eastAsiaTheme="minorEastAsia"/>
                <w:color w:val="000000" w:themeColor="text1"/>
                <w:sz w:val="24"/>
              </w:rPr>
              <w:t>10</w:t>
            </w:r>
          </w:p>
        </w:tc>
        <w:tc>
          <w:tcPr>
            <w:tcW w:w="2743" w:type="dxa"/>
            <w:vAlign w:val="center"/>
          </w:tcPr>
          <w:p w:rsidR="00B00842" w:rsidRPr="00B00842" w:rsidRDefault="00B00842" w:rsidP="002749C9">
            <w:pPr>
              <w:spacing w:before="29" w:line="360" w:lineRule="auto"/>
              <w:ind w:left="17"/>
              <w:jc w:val="left"/>
              <w:rPr>
                <w:rFonts w:eastAsiaTheme="minorEastAsia"/>
                <w:color w:val="000000" w:themeColor="text1"/>
                <w:sz w:val="24"/>
              </w:rPr>
            </w:pPr>
            <w:r w:rsidRPr="00B00842">
              <w:rPr>
                <w:rFonts w:eastAsiaTheme="minorEastAsia"/>
                <w:color w:val="000000" w:themeColor="text1"/>
                <w:sz w:val="24"/>
              </w:rPr>
              <w:t>剩余存续期超过</w:t>
            </w:r>
            <w:r w:rsidRPr="00B00842">
              <w:rPr>
                <w:rFonts w:eastAsiaTheme="minorEastAsia"/>
                <w:color w:val="000000" w:themeColor="text1"/>
                <w:sz w:val="24"/>
              </w:rPr>
              <w:t>397</w:t>
            </w:r>
            <w:r w:rsidRPr="00B00842">
              <w:rPr>
                <w:rFonts w:eastAsiaTheme="minorEastAsia"/>
                <w:color w:val="000000" w:themeColor="text1"/>
                <w:sz w:val="24"/>
              </w:rPr>
              <w:t>天的浮动利率债券</w:t>
            </w:r>
          </w:p>
        </w:tc>
        <w:tc>
          <w:tcPr>
            <w:tcW w:w="3686"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c>
          <w:tcPr>
            <w:tcW w:w="1984" w:type="dxa"/>
            <w:vAlign w:val="center"/>
          </w:tcPr>
          <w:p w:rsidR="00B00842" w:rsidRPr="00B00842" w:rsidRDefault="00B00842" w:rsidP="002749C9">
            <w:pPr>
              <w:spacing w:before="29" w:line="360" w:lineRule="auto"/>
              <w:ind w:left="17"/>
              <w:jc w:val="right"/>
              <w:rPr>
                <w:rFonts w:eastAsiaTheme="minorEastAsia"/>
                <w:color w:val="000000" w:themeColor="text1"/>
                <w:sz w:val="24"/>
              </w:rPr>
            </w:pPr>
            <w:r w:rsidRPr="00B00842">
              <w:rPr>
                <w:rFonts w:eastAsiaTheme="minorEastAsia"/>
                <w:color w:val="000000" w:themeColor="text1"/>
                <w:sz w:val="24"/>
              </w:rPr>
              <w:t>-</w:t>
            </w:r>
          </w:p>
        </w:tc>
      </w:tr>
    </w:tbl>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5.</w:t>
      </w:r>
      <w:r w:rsidR="00DA3FE3">
        <w:rPr>
          <w:rFonts w:ascii="宋体" w:hAnsi="宋体" w:cs="Arial" w:hint="eastAsia"/>
          <w:b/>
          <w:color w:val="000000"/>
          <w:kern w:val="0"/>
          <w:sz w:val="24"/>
        </w:rPr>
        <w:t>6</w:t>
      </w:r>
      <w:r w:rsidRPr="006662B2">
        <w:rPr>
          <w:rFonts w:ascii="宋体" w:hAnsi="宋体" w:cs="Arial"/>
          <w:b/>
          <w:color w:val="000000"/>
          <w:kern w:val="0"/>
          <w:sz w:val="24"/>
        </w:rPr>
        <w:t xml:space="preserve"> </w:t>
      </w:r>
      <w:r w:rsidRPr="006662B2">
        <w:rPr>
          <w:rFonts w:ascii="宋体" w:hAnsi="宋体" w:cs="Arial" w:hint="eastAsia"/>
          <w:b/>
          <w:color w:val="000000"/>
          <w:kern w:val="0"/>
          <w:sz w:val="24"/>
        </w:rPr>
        <w:t>报告期末按摊余成本占基金资产净值比例大小排</w:t>
      </w:r>
      <w:r w:rsidR="00075BDA">
        <w:rPr>
          <w:rFonts w:ascii="宋体" w:hAnsi="宋体" w:cs="Arial" w:hint="eastAsia"/>
          <w:b/>
          <w:color w:val="000000"/>
          <w:kern w:val="0"/>
          <w:sz w:val="24"/>
        </w:rPr>
        <w:t>名</w:t>
      </w:r>
      <w:r w:rsidRPr="006662B2">
        <w:rPr>
          <w:rFonts w:ascii="宋体" w:hAnsi="宋体" w:cs="Arial" w:hint="eastAsia"/>
          <w:b/>
          <w:color w:val="000000"/>
          <w:kern w:val="0"/>
          <w:sz w:val="24"/>
        </w:rPr>
        <w:t>的前十名债券投资明细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0"/>
        <w:gridCol w:w="1486"/>
        <w:gridCol w:w="1951"/>
        <w:gridCol w:w="1455"/>
        <w:gridCol w:w="1716"/>
        <w:gridCol w:w="1399"/>
      </w:tblGrid>
      <w:tr w:rsidR="00701DE9" w:rsidRPr="006662B2" w:rsidTr="000E5E52">
        <w:tc>
          <w:tcPr>
            <w:tcW w:w="1547"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序号</w:t>
            </w:r>
          </w:p>
        </w:tc>
        <w:tc>
          <w:tcPr>
            <w:tcW w:w="154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债券代码</w:t>
            </w:r>
          </w:p>
        </w:tc>
        <w:tc>
          <w:tcPr>
            <w:tcW w:w="154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债券名称</w:t>
            </w:r>
          </w:p>
        </w:tc>
        <w:tc>
          <w:tcPr>
            <w:tcW w:w="154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债券数量</w:t>
            </w:r>
          </w:p>
          <w:p w:rsidR="00701DE9" w:rsidRPr="009F4D34" w:rsidRDefault="009327CC" w:rsidP="009327CC">
            <w:pPr>
              <w:autoSpaceDE w:val="0"/>
              <w:autoSpaceDN w:val="0"/>
              <w:adjustRightInd w:val="0"/>
              <w:spacing w:before="29" w:line="360" w:lineRule="auto"/>
              <w:ind w:left="15"/>
              <w:jc w:val="center"/>
              <w:rPr>
                <w:color w:val="000000"/>
                <w:kern w:val="0"/>
                <w:sz w:val="24"/>
              </w:rPr>
            </w:pPr>
            <w:r w:rsidRPr="009F4D34">
              <w:rPr>
                <w:color w:val="000000"/>
                <w:kern w:val="0"/>
                <w:sz w:val="24"/>
              </w:rPr>
              <w:t>（张）</w:t>
            </w:r>
          </w:p>
        </w:tc>
        <w:tc>
          <w:tcPr>
            <w:tcW w:w="1548" w:type="dxa"/>
            <w:vAlign w:val="center"/>
          </w:tcPr>
          <w:p w:rsidR="00701DE9" w:rsidRPr="009F4D34" w:rsidRDefault="00701DE9" w:rsidP="00E753E4">
            <w:pPr>
              <w:autoSpaceDE w:val="0"/>
              <w:autoSpaceDN w:val="0"/>
              <w:adjustRightInd w:val="0"/>
              <w:spacing w:before="29" w:line="360" w:lineRule="auto"/>
              <w:ind w:left="15"/>
              <w:jc w:val="center"/>
              <w:rPr>
                <w:color w:val="000000"/>
                <w:kern w:val="0"/>
                <w:sz w:val="24"/>
              </w:rPr>
            </w:pPr>
            <w:r w:rsidRPr="009F4D34">
              <w:rPr>
                <w:color w:val="000000"/>
                <w:kern w:val="0"/>
                <w:sz w:val="24"/>
              </w:rPr>
              <w:t>摊余成本</w:t>
            </w:r>
            <w:r w:rsidR="00E753E4" w:rsidRPr="009F4D34">
              <w:rPr>
                <w:color w:val="000000"/>
                <w:kern w:val="0"/>
                <w:sz w:val="24"/>
              </w:rPr>
              <w:t>（元）</w:t>
            </w:r>
          </w:p>
        </w:tc>
        <w:tc>
          <w:tcPr>
            <w:tcW w:w="154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占基金资产净值比例（％）</w:t>
            </w:r>
          </w:p>
        </w:tc>
      </w:tr>
      <w:tr w:rsidR="00384C82">
        <w:tc>
          <w:tcPr>
            <w:tcW w:w="0" w:type="auto"/>
            <w:vAlign w:val="center"/>
          </w:tcPr>
          <w:p w:rsidR="00384C82" w:rsidRDefault="002B7D03">
            <w:pPr>
              <w:jc w:val="center"/>
            </w:pPr>
            <w:r>
              <w:rPr>
                <w:color w:val="000000"/>
                <w:sz w:val="24"/>
              </w:rPr>
              <w:t>1</w:t>
            </w:r>
          </w:p>
        </w:tc>
        <w:tc>
          <w:tcPr>
            <w:tcW w:w="0" w:type="auto"/>
            <w:vAlign w:val="center"/>
          </w:tcPr>
          <w:p w:rsidR="00384C82" w:rsidRDefault="002B7D03">
            <w:pPr>
              <w:jc w:val="center"/>
            </w:pPr>
            <w:r>
              <w:rPr>
                <w:color w:val="000000"/>
                <w:sz w:val="24"/>
              </w:rPr>
              <w:t>111905027</w:t>
            </w:r>
          </w:p>
        </w:tc>
        <w:tc>
          <w:tcPr>
            <w:tcW w:w="0" w:type="auto"/>
            <w:vAlign w:val="center"/>
          </w:tcPr>
          <w:p w:rsidR="00384C82" w:rsidRDefault="002B7D03">
            <w:pPr>
              <w:jc w:val="center"/>
            </w:pPr>
            <w:r>
              <w:rPr>
                <w:color w:val="000000"/>
                <w:sz w:val="24"/>
              </w:rPr>
              <w:t>19</w:t>
            </w:r>
            <w:r>
              <w:rPr>
                <w:color w:val="000000"/>
                <w:sz w:val="24"/>
              </w:rPr>
              <w:t>建设银行</w:t>
            </w:r>
            <w:r>
              <w:rPr>
                <w:color w:val="000000"/>
                <w:sz w:val="24"/>
              </w:rPr>
              <w:t>CD027</w:t>
            </w:r>
          </w:p>
        </w:tc>
        <w:tc>
          <w:tcPr>
            <w:tcW w:w="0" w:type="auto"/>
            <w:vAlign w:val="center"/>
          </w:tcPr>
          <w:p w:rsidR="00384C82" w:rsidRDefault="002B7D03">
            <w:pPr>
              <w:jc w:val="right"/>
            </w:pPr>
            <w:r>
              <w:rPr>
                <w:color w:val="000000"/>
                <w:sz w:val="24"/>
              </w:rPr>
              <w:t>2,000,000</w:t>
            </w:r>
          </w:p>
        </w:tc>
        <w:tc>
          <w:tcPr>
            <w:tcW w:w="0" w:type="auto"/>
            <w:vAlign w:val="center"/>
          </w:tcPr>
          <w:p w:rsidR="00384C82" w:rsidRDefault="002B7D03">
            <w:pPr>
              <w:jc w:val="right"/>
            </w:pPr>
            <w:r>
              <w:rPr>
                <w:color w:val="000000"/>
                <w:sz w:val="24"/>
              </w:rPr>
              <w:t>197,245,549.82</w:t>
            </w:r>
          </w:p>
        </w:tc>
        <w:tc>
          <w:tcPr>
            <w:tcW w:w="0" w:type="auto"/>
            <w:vAlign w:val="center"/>
          </w:tcPr>
          <w:p w:rsidR="00384C82" w:rsidRDefault="002B7D03">
            <w:pPr>
              <w:jc w:val="right"/>
            </w:pPr>
            <w:r>
              <w:rPr>
                <w:color w:val="000000"/>
                <w:sz w:val="24"/>
              </w:rPr>
              <w:t>8.37</w:t>
            </w:r>
          </w:p>
        </w:tc>
      </w:tr>
      <w:tr w:rsidR="00384C82">
        <w:tc>
          <w:tcPr>
            <w:tcW w:w="0" w:type="auto"/>
            <w:vAlign w:val="center"/>
          </w:tcPr>
          <w:p w:rsidR="00384C82" w:rsidRDefault="002B7D03">
            <w:pPr>
              <w:jc w:val="center"/>
            </w:pPr>
            <w:r>
              <w:rPr>
                <w:color w:val="000000"/>
                <w:sz w:val="24"/>
              </w:rPr>
              <w:t>2</w:t>
            </w:r>
          </w:p>
        </w:tc>
        <w:tc>
          <w:tcPr>
            <w:tcW w:w="0" w:type="auto"/>
            <w:vAlign w:val="center"/>
          </w:tcPr>
          <w:p w:rsidR="00384C82" w:rsidRDefault="002B7D03">
            <w:pPr>
              <w:jc w:val="center"/>
            </w:pPr>
            <w:r>
              <w:rPr>
                <w:color w:val="000000"/>
                <w:sz w:val="24"/>
              </w:rPr>
              <w:t>111903103</w:t>
            </w:r>
          </w:p>
        </w:tc>
        <w:tc>
          <w:tcPr>
            <w:tcW w:w="0" w:type="auto"/>
            <w:vAlign w:val="center"/>
          </w:tcPr>
          <w:p w:rsidR="00384C82" w:rsidRDefault="002B7D03">
            <w:pPr>
              <w:jc w:val="center"/>
            </w:pPr>
            <w:r>
              <w:rPr>
                <w:color w:val="000000"/>
                <w:sz w:val="24"/>
              </w:rPr>
              <w:t>19</w:t>
            </w:r>
            <w:r>
              <w:rPr>
                <w:color w:val="000000"/>
                <w:sz w:val="24"/>
              </w:rPr>
              <w:t>农业银行</w:t>
            </w:r>
            <w:r>
              <w:rPr>
                <w:color w:val="000000"/>
                <w:sz w:val="24"/>
              </w:rPr>
              <w:t>CD103</w:t>
            </w:r>
          </w:p>
        </w:tc>
        <w:tc>
          <w:tcPr>
            <w:tcW w:w="0" w:type="auto"/>
            <w:vAlign w:val="center"/>
          </w:tcPr>
          <w:p w:rsidR="00384C82" w:rsidRDefault="002B7D03">
            <w:pPr>
              <w:jc w:val="right"/>
            </w:pPr>
            <w:r>
              <w:rPr>
                <w:color w:val="000000"/>
                <w:sz w:val="24"/>
              </w:rPr>
              <w:t>2,000,000</w:t>
            </w:r>
          </w:p>
        </w:tc>
        <w:tc>
          <w:tcPr>
            <w:tcW w:w="0" w:type="auto"/>
            <w:vAlign w:val="center"/>
          </w:tcPr>
          <w:p w:rsidR="00384C82" w:rsidRDefault="002B7D03">
            <w:pPr>
              <w:jc w:val="right"/>
            </w:pPr>
            <w:r>
              <w:rPr>
                <w:color w:val="000000"/>
                <w:sz w:val="24"/>
              </w:rPr>
              <w:t>196,557,484.49</w:t>
            </w:r>
          </w:p>
        </w:tc>
        <w:tc>
          <w:tcPr>
            <w:tcW w:w="0" w:type="auto"/>
            <w:vAlign w:val="center"/>
          </w:tcPr>
          <w:p w:rsidR="00384C82" w:rsidRDefault="002B7D03">
            <w:pPr>
              <w:jc w:val="right"/>
            </w:pPr>
            <w:r>
              <w:rPr>
                <w:color w:val="000000"/>
                <w:sz w:val="24"/>
              </w:rPr>
              <w:t>8.35</w:t>
            </w:r>
          </w:p>
        </w:tc>
      </w:tr>
      <w:tr w:rsidR="00384C82">
        <w:tc>
          <w:tcPr>
            <w:tcW w:w="0" w:type="auto"/>
            <w:vAlign w:val="center"/>
          </w:tcPr>
          <w:p w:rsidR="00384C82" w:rsidRDefault="002B7D03">
            <w:pPr>
              <w:jc w:val="center"/>
            </w:pPr>
            <w:r>
              <w:rPr>
                <w:color w:val="000000"/>
                <w:sz w:val="24"/>
              </w:rPr>
              <w:lastRenderedPageBreak/>
              <w:t>3</w:t>
            </w:r>
          </w:p>
        </w:tc>
        <w:tc>
          <w:tcPr>
            <w:tcW w:w="0" w:type="auto"/>
            <w:vAlign w:val="center"/>
          </w:tcPr>
          <w:p w:rsidR="00384C82" w:rsidRDefault="002B7D03">
            <w:pPr>
              <w:jc w:val="center"/>
            </w:pPr>
            <w:r>
              <w:rPr>
                <w:color w:val="000000"/>
                <w:sz w:val="24"/>
              </w:rPr>
              <w:t>111906043</w:t>
            </w:r>
          </w:p>
        </w:tc>
        <w:tc>
          <w:tcPr>
            <w:tcW w:w="0" w:type="auto"/>
            <w:vAlign w:val="center"/>
          </w:tcPr>
          <w:p w:rsidR="00384C82" w:rsidRDefault="002B7D03">
            <w:pPr>
              <w:jc w:val="center"/>
            </w:pPr>
            <w:r>
              <w:rPr>
                <w:color w:val="000000"/>
                <w:sz w:val="24"/>
              </w:rPr>
              <w:t>19</w:t>
            </w:r>
            <w:r>
              <w:rPr>
                <w:color w:val="000000"/>
                <w:sz w:val="24"/>
              </w:rPr>
              <w:t>交通银行</w:t>
            </w:r>
            <w:r>
              <w:rPr>
                <w:color w:val="000000"/>
                <w:sz w:val="24"/>
              </w:rPr>
              <w:t>CD043</w:t>
            </w:r>
          </w:p>
        </w:tc>
        <w:tc>
          <w:tcPr>
            <w:tcW w:w="0" w:type="auto"/>
            <w:vAlign w:val="center"/>
          </w:tcPr>
          <w:p w:rsidR="00384C82" w:rsidRDefault="002B7D03">
            <w:pPr>
              <w:jc w:val="right"/>
            </w:pPr>
            <w:r>
              <w:rPr>
                <w:color w:val="000000"/>
                <w:sz w:val="24"/>
              </w:rPr>
              <w:t>1,000,000</w:t>
            </w:r>
          </w:p>
        </w:tc>
        <w:tc>
          <w:tcPr>
            <w:tcW w:w="0" w:type="auto"/>
            <w:vAlign w:val="center"/>
          </w:tcPr>
          <w:p w:rsidR="00384C82" w:rsidRDefault="002B7D03">
            <w:pPr>
              <w:jc w:val="right"/>
            </w:pPr>
            <w:r>
              <w:rPr>
                <w:color w:val="000000"/>
                <w:sz w:val="24"/>
              </w:rPr>
              <w:t>99,485,698.28</w:t>
            </w:r>
          </w:p>
        </w:tc>
        <w:tc>
          <w:tcPr>
            <w:tcW w:w="0" w:type="auto"/>
            <w:vAlign w:val="center"/>
          </w:tcPr>
          <w:p w:rsidR="00384C82" w:rsidRDefault="002B7D03">
            <w:pPr>
              <w:jc w:val="right"/>
            </w:pPr>
            <w:r>
              <w:rPr>
                <w:color w:val="000000"/>
                <w:sz w:val="24"/>
              </w:rPr>
              <w:t>4.22</w:t>
            </w:r>
          </w:p>
        </w:tc>
      </w:tr>
      <w:tr w:rsidR="00384C82">
        <w:tc>
          <w:tcPr>
            <w:tcW w:w="0" w:type="auto"/>
            <w:vAlign w:val="center"/>
          </w:tcPr>
          <w:p w:rsidR="00384C82" w:rsidRDefault="002B7D03">
            <w:pPr>
              <w:jc w:val="center"/>
            </w:pPr>
            <w:r>
              <w:rPr>
                <w:color w:val="000000"/>
                <w:sz w:val="24"/>
              </w:rPr>
              <w:t>4</w:t>
            </w:r>
          </w:p>
        </w:tc>
        <w:tc>
          <w:tcPr>
            <w:tcW w:w="0" w:type="auto"/>
            <w:vAlign w:val="center"/>
          </w:tcPr>
          <w:p w:rsidR="00384C82" w:rsidRDefault="002B7D03">
            <w:pPr>
              <w:jc w:val="center"/>
            </w:pPr>
            <w:r>
              <w:rPr>
                <w:color w:val="000000"/>
                <w:sz w:val="24"/>
              </w:rPr>
              <w:t>111907099</w:t>
            </w:r>
          </w:p>
        </w:tc>
        <w:tc>
          <w:tcPr>
            <w:tcW w:w="0" w:type="auto"/>
            <w:vAlign w:val="center"/>
          </w:tcPr>
          <w:p w:rsidR="00384C82" w:rsidRDefault="002B7D03">
            <w:pPr>
              <w:jc w:val="center"/>
            </w:pPr>
            <w:r>
              <w:rPr>
                <w:color w:val="000000"/>
                <w:sz w:val="24"/>
              </w:rPr>
              <w:t>19</w:t>
            </w:r>
            <w:r>
              <w:rPr>
                <w:color w:val="000000"/>
                <w:sz w:val="24"/>
              </w:rPr>
              <w:t>招商银行</w:t>
            </w:r>
            <w:r>
              <w:rPr>
                <w:color w:val="000000"/>
                <w:sz w:val="24"/>
              </w:rPr>
              <w:t>CD099</w:t>
            </w:r>
          </w:p>
        </w:tc>
        <w:tc>
          <w:tcPr>
            <w:tcW w:w="0" w:type="auto"/>
            <w:vAlign w:val="center"/>
          </w:tcPr>
          <w:p w:rsidR="00384C82" w:rsidRDefault="002B7D03">
            <w:pPr>
              <w:jc w:val="right"/>
            </w:pPr>
            <w:r>
              <w:rPr>
                <w:color w:val="000000"/>
                <w:sz w:val="24"/>
              </w:rPr>
              <w:t>1,000,000</w:t>
            </w:r>
          </w:p>
        </w:tc>
        <w:tc>
          <w:tcPr>
            <w:tcW w:w="0" w:type="auto"/>
            <w:vAlign w:val="center"/>
          </w:tcPr>
          <w:p w:rsidR="00384C82" w:rsidRDefault="002B7D03">
            <w:pPr>
              <w:jc w:val="right"/>
            </w:pPr>
            <w:r>
              <w:rPr>
                <w:color w:val="000000"/>
                <w:sz w:val="24"/>
              </w:rPr>
              <w:t>99,349,810.61</w:t>
            </w:r>
          </w:p>
        </w:tc>
        <w:tc>
          <w:tcPr>
            <w:tcW w:w="0" w:type="auto"/>
            <w:vAlign w:val="center"/>
          </w:tcPr>
          <w:p w:rsidR="00384C82" w:rsidRDefault="002B7D03">
            <w:pPr>
              <w:jc w:val="right"/>
            </w:pPr>
            <w:r>
              <w:rPr>
                <w:color w:val="000000"/>
                <w:sz w:val="24"/>
              </w:rPr>
              <w:t>4.22</w:t>
            </w:r>
          </w:p>
        </w:tc>
      </w:tr>
      <w:tr w:rsidR="00384C82">
        <w:tc>
          <w:tcPr>
            <w:tcW w:w="0" w:type="auto"/>
            <w:vAlign w:val="center"/>
          </w:tcPr>
          <w:p w:rsidR="00384C82" w:rsidRDefault="002B7D03">
            <w:pPr>
              <w:jc w:val="center"/>
            </w:pPr>
            <w:r>
              <w:rPr>
                <w:color w:val="000000"/>
                <w:sz w:val="24"/>
              </w:rPr>
              <w:t>5</w:t>
            </w:r>
          </w:p>
        </w:tc>
        <w:tc>
          <w:tcPr>
            <w:tcW w:w="0" w:type="auto"/>
            <w:vAlign w:val="center"/>
          </w:tcPr>
          <w:p w:rsidR="00384C82" w:rsidRDefault="002B7D03">
            <w:pPr>
              <w:jc w:val="center"/>
            </w:pPr>
            <w:r>
              <w:rPr>
                <w:color w:val="000000"/>
                <w:sz w:val="24"/>
              </w:rPr>
              <w:t>111908046</w:t>
            </w:r>
          </w:p>
        </w:tc>
        <w:tc>
          <w:tcPr>
            <w:tcW w:w="0" w:type="auto"/>
            <w:vAlign w:val="center"/>
          </w:tcPr>
          <w:p w:rsidR="00384C82" w:rsidRDefault="002B7D03">
            <w:pPr>
              <w:jc w:val="center"/>
            </w:pPr>
            <w:r>
              <w:rPr>
                <w:color w:val="000000"/>
                <w:sz w:val="24"/>
              </w:rPr>
              <w:t>19</w:t>
            </w:r>
            <w:r>
              <w:rPr>
                <w:color w:val="000000"/>
                <w:sz w:val="24"/>
              </w:rPr>
              <w:t>中信银行</w:t>
            </w:r>
            <w:r>
              <w:rPr>
                <w:color w:val="000000"/>
                <w:sz w:val="24"/>
              </w:rPr>
              <w:t>CD046</w:t>
            </w:r>
          </w:p>
        </w:tc>
        <w:tc>
          <w:tcPr>
            <w:tcW w:w="0" w:type="auto"/>
            <w:vAlign w:val="center"/>
          </w:tcPr>
          <w:p w:rsidR="00384C82" w:rsidRDefault="002B7D03">
            <w:pPr>
              <w:jc w:val="right"/>
            </w:pPr>
            <w:r>
              <w:rPr>
                <w:color w:val="000000"/>
                <w:sz w:val="24"/>
              </w:rPr>
              <w:t>1,000,000</w:t>
            </w:r>
          </w:p>
        </w:tc>
        <w:tc>
          <w:tcPr>
            <w:tcW w:w="0" w:type="auto"/>
            <w:vAlign w:val="center"/>
          </w:tcPr>
          <w:p w:rsidR="00384C82" w:rsidRDefault="002B7D03">
            <w:pPr>
              <w:jc w:val="right"/>
            </w:pPr>
            <w:r>
              <w:rPr>
                <w:color w:val="000000"/>
                <w:sz w:val="24"/>
              </w:rPr>
              <w:t>98,615,923.94</w:t>
            </w:r>
          </w:p>
        </w:tc>
        <w:tc>
          <w:tcPr>
            <w:tcW w:w="0" w:type="auto"/>
            <w:vAlign w:val="center"/>
          </w:tcPr>
          <w:p w:rsidR="00384C82" w:rsidRDefault="002B7D03">
            <w:pPr>
              <w:jc w:val="right"/>
            </w:pPr>
            <w:r>
              <w:rPr>
                <w:color w:val="000000"/>
                <w:sz w:val="24"/>
              </w:rPr>
              <w:t>4.19</w:t>
            </w:r>
          </w:p>
        </w:tc>
      </w:tr>
      <w:tr w:rsidR="00384C82">
        <w:tc>
          <w:tcPr>
            <w:tcW w:w="0" w:type="auto"/>
            <w:vAlign w:val="center"/>
          </w:tcPr>
          <w:p w:rsidR="00384C82" w:rsidRDefault="002B7D03">
            <w:pPr>
              <w:jc w:val="center"/>
            </w:pPr>
            <w:r>
              <w:rPr>
                <w:color w:val="000000"/>
                <w:sz w:val="24"/>
              </w:rPr>
              <w:t>6</w:t>
            </w:r>
          </w:p>
        </w:tc>
        <w:tc>
          <w:tcPr>
            <w:tcW w:w="0" w:type="auto"/>
            <w:vAlign w:val="center"/>
          </w:tcPr>
          <w:p w:rsidR="00384C82" w:rsidRDefault="002B7D03">
            <w:pPr>
              <w:jc w:val="center"/>
            </w:pPr>
            <w:r>
              <w:rPr>
                <w:color w:val="000000"/>
                <w:sz w:val="24"/>
              </w:rPr>
              <w:t>111906119</w:t>
            </w:r>
          </w:p>
        </w:tc>
        <w:tc>
          <w:tcPr>
            <w:tcW w:w="0" w:type="auto"/>
            <w:vAlign w:val="center"/>
          </w:tcPr>
          <w:p w:rsidR="00384C82" w:rsidRDefault="002B7D03">
            <w:pPr>
              <w:jc w:val="center"/>
            </w:pPr>
            <w:r>
              <w:rPr>
                <w:color w:val="000000"/>
                <w:sz w:val="24"/>
              </w:rPr>
              <w:t>19</w:t>
            </w:r>
            <w:r>
              <w:rPr>
                <w:color w:val="000000"/>
                <w:sz w:val="24"/>
              </w:rPr>
              <w:t>交通银行</w:t>
            </w:r>
            <w:r>
              <w:rPr>
                <w:color w:val="000000"/>
                <w:sz w:val="24"/>
              </w:rPr>
              <w:t>CD119</w:t>
            </w:r>
          </w:p>
        </w:tc>
        <w:tc>
          <w:tcPr>
            <w:tcW w:w="0" w:type="auto"/>
            <w:vAlign w:val="center"/>
          </w:tcPr>
          <w:p w:rsidR="00384C82" w:rsidRDefault="002B7D03">
            <w:pPr>
              <w:jc w:val="right"/>
            </w:pPr>
            <w:r>
              <w:rPr>
                <w:color w:val="000000"/>
                <w:sz w:val="24"/>
              </w:rPr>
              <w:t>1,000,000</w:t>
            </w:r>
          </w:p>
        </w:tc>
        <w:tc>
          <w:tcPr>
            <w:tcW w:w="0" w:type="auto"/>
            <w:vAlign w:val="center"/>
          </w:tcPr>
          <w:p w:rsidR="00384C82" w:rsidRDefault="002B7D03">
            <w:pPr>
              <w:jc w:val="right"/>
            </w:pPr>
            <w:r>
              <w:rPr>
                <w:color w:val="000000"/>
                <w:sz w:val="24"/>
              </w:rPr>
              <w:t>98,440,099.44</w:t>
            </w:r>
          </w:p>
        </w:tc>
        <w:tc>
          <w:tcPr>
            <w:tcW w:w="0" w:type="auto"/>
            <w:vAlign w:val="center"/>
          </w:tcPr>
          <w:p w:rsidR="00384C82" w:rsidRDefault="002B7D03">
            <w:pPr>
              <w:jc w:val="right"/>
            </w:pPr>
            <w:r>
              <w:rPr>
                <w:color w:val="000000"/>
                <w:sz w:val="24"/>
              </w:rPr>
              <w:t>4.18</w:t>
            </w:r>
          </w:p>
        </w:tc>
      </w:tr>
      <w:tr w:rsidR="00384C82">
        <w:tc>
          <w:tcPr>
            <w:tcW w:w="0" w:type="auto"/>
            <w:vAlign w:val="center"/>
          </w:tcPr>
          <w:p w:rsidR="00384C82" w:rsidRDefault="002B7D03">
            <w:pPr>
              <w:jc w:val="center"/>
            </w:pPr>
            <w:r>
              <w:rPr>
                <w:color w:val="000000"/>
                <w:sz w:val="24"/>
              </w:rPr>
              <w:t>7</w:t>
            </w:r>
          </w:p>
        </w:tc>
        <w:tc>
          <w:tcPr>
            <w:tcW w:w="0" w:type="auto"/>
            <w:vAlign w:val="center"/>
          </w:tcPr>
          <w:p w:rsidR="00384C82" w:rsidRDefault="002B7D03">
            <w:pPr>
              <w:jc w:val="center"/>
            </w:pPr>
            <w:r>
              <w:rPr>
                <w:color w:val="000000"/>
                <w:sz w:val="24"/>
              </w:rPr>
              <w:t>111903111</w:t>
            </w:r>
          </w:p>
        </w:tc>
        <w:tc>
          <w:tcPr>
            <w:tcW w:w="0" w:type="auto"/>
            <w:vAlign w:val="center"/>
          </w:tcPr>
          <w:p w:rsidR="00384C82" w:rsidRDefault="002B7D03">
            <w:pPr>
              <w:jc w:val="center"/>
            </w:pPr>
            <w:r>
              <w:rPr>
                <w:color w:val="000000"/>
                <w:sz w:val="24"/>
              </w:rPr>
              <w:t>19</w:t>
            </w:r>
            <w:r>
              <w:rPr>
                <w:color w:val="000000"/>
                <w:sz w:val="24"/>
              </w:rPr>
              <w:t>农业银行</w:t>
            </w:r>
            <w:r>
              <w:rPr>
                <w:color w:val="000000"/>
                <w:sz w:val="24"/>
              </w:rPr>
              <w:t>CD111</w:t>
            </w:r>
          </w:p>
        </w:tc>
        <w:tc>
          <w:tcPr>
            <w:tcW w:w="0" w:type="auto"/>
            <w:vAlign w:val="center"/>
          </w:tcPr>
          <w:p w:rsidR="00384C82" w:rsidRDefault="002B7D03">
            <w:pPr>
              <w:jc w:val="right"/>
            </w:pPr>
            <w:r>
              <w:rPr>
                <w:color w:val="000000"/>
                <w:sz w:val="24"/>
              </w:rPr>
              <w:t>1,000,000</w:t>
            </w:r>
          </w:p>
        </w:tc>
        <w:tc>
          <w:tcPr>
            <w:tcW w:w="0" w:type="auto"/>
            <w:vAlign w:val="center"/>
          </w:tcPr>
          <w:p w:rsidR="00384C82" w:rsidRDefault="002B7D03">
            <w:pPr>
              <w:jc w:val="right"/>
            </w:pPr>
            <w:r>
              <w:rPr>
                <w:color w:val="000000"/>
                <w:sz w:val="24"/>
              </w:rPr>
              <w:t>97,110,550.59</w:t>
            </w:r>
          </w:p>
        </w:tc>
        <w:tc>
          <w:tcPr>
            <w:tcW w:w="0" w:type="auto"/>
            <w:vAlign w:val="center"/>
          </w:tcPr>
          <w:p w:rsidR="00384C82" w:rsidRDefault="002B7D03">
            <w:pPr>
              <w:jc w:val="right"/>
            </w:pPr>
            <w:r>
              <w:rPr>
                <w:color w:val="000000"/>
                <w:sz w:val="24"/>
              </w:rPr>
              <w:t>4.12</w:t>
            </w:r>
          </w:p>
        </w:tc>
      </w:tr>
      <w:tr w:rsidR="00384C82">
        <w:tc>
          <w:tcPr>
            <w:tcW w:w="0" w:type="auto"/>
            <w:vAlign w:val="center"/>
          </w:tcPr>
          <w:p w:rsidR="00384C82" w:rsidRDefault="002B7D03">
            <w:pPr>
              <w:jc w:val="center"/>
            </w:pPr>
            <w:r>
              <w:rPr>
                <w:color w:val="000000"/>
                <w:sz w:val="24"/>
              </w:rPr>
              <w:t>8</w:t>
            </w:r>
          </w:p>
        </w:tc>
        <w:tc>
          <w:tcPr>
            <w:tcW w:w="0" w:type="auto"/>
            <w:vAlign w:val="center"/>
          </w:tcPr>
          <w:p w:rsidR="00384C82" w:rsidRDefault="002B7D03">
            <w:pPr>
              <w:jc w:val="center"/>
            </w:pPr>
            <w:r>
              <w:rPr>
                <w:color w:val="000000"/>
                <w:sz w:val="24"/>
              </w:rPr>
              <w:t>150203</w:t>
            </w:r>
          </w:p>
        </w:tc>
        <w:tc>
          <w:tcPr>
            <w:tcW w:w="0" w:type="auto"/>
            <w:vAlign w:val="center"/>
          </w:tcPr>
          <w:p w:rsidR="00384C82" w:rsidRDefault="002B7D03">
            <w:pPr>
              <w:jc w:val="center"/>
            </w:pPr>
            <w:r>
              <w:rPr>
                <w:color w:val="000000"/>
                <w:sz w:val="24"/>
              </w:rPr>
              <w:t>15</w:t>
            </w:r>
            <w:r>
              <w:rPr>
                <w:color w:val="000000"/>
                <w:sz w:val="24"/>
              </w:rPr>
              <w:t>国开</w:t>
            </w:r>
            <w:r>
              <w:rPr>
                <w:color w:val="000000"/>
                <w:sz w:val="24"/>
              </w:rPr>
              <w:t>03</w:t>
            </w:r>
          </w:p>
        </w:tc>
        <w:tc>
          <w:tcPr>
            <w:tcW w:w="0" w:type="auto"/>
            <w:vAlign w:val="center"/>
          </w:tcPr>
          <w:p w:rsidR="00384C82" w:rsidRDefault="002B7D03">
            <w:pPr>
              <w:jc w:val="right"/>
            </w:pPr>
            <w:r>
              <w:rPr>
                <w:color w:val="000000"/>
                <w:sz w:val="24"/>
              </w:rPr>
              <w:t>500,000</w:t>
            </w:r>
          </w:p>
        </w:tc>
        <w:tc>
          <w:tcPr>
            <w:tcW w:w="0" w:type="auto"/>
            <w:vAlign w:val="center"/>
          </w:tcPr>
          <w:p w:rsidR="00384C82" w:rsidRDefault="002B7D03">
            <w:pPr>
              <w:jc w:val="right"/>
            </w:pPr>
            <w:r>
              <w:rPr>
                <w:color w:val="000000"/>
                <w:sz w:val="24"/>
              </w:rPr>
              <w:t>50,200,331.53</w:t>
            </w:r>
          </w:p>
        </w:tc>
        <w:tc>
          <w:tcPr>
            <w:tcW w:w="0" w:type="auto"/>
            <w:vAlign w:val="center"/>
          </w:tcPr>
          <w:p w:rsidR="00384C82" w:rsidRDefault="002B7D03">
            <w:pPr>
              <w:jc w:val="right"/>
            </w:pPr>
            <w:r>
              <w:rPr>
                <w:color w:val="000000"/>
                <w:sz w:val="24"/>
              </w:rPr>
              <w:t>2.13</w:t>
            </w:r>
          </w:p>
        </w:tc>
      </w:tr>
      <w:tr w:rsidR="00384C82">
        <w:tc>
          <w:tcPr>
            <w:tcW w:w="0" w:type="auto"/>
            <w:vAlign w:val="center"/>
          </w:tcPr>
          <w:p w:rsidR="00384C82" w:rsidRDefault="002B7D03">
            <w:pPr>
              <w:jc w:val="center"/>
            </w:pPr>
            <w:r>
              <w:rPr>
                <w:color w:val="000000"/>
                <w:sz w:val="24"/>
              </w:rPr>
              <w:t>9</w:t>
            </w:r>
          </w:p>
        </w:tc>
        <w:tc>
          <w:tcPr>
            <w:tcW w:w="0" w:type="auto"/>
            <w:vAlign w:val="center"/>
          </w:tcPr>
          <w:p w:rsidR="00384C82" w:rsidRDefault="002B7D03">
            <w:pPr>
              <w:jc w:val="center"/>
            </w:pPr>
            <w:r>
              <w:rPr>
                <w:color w:val="000000"/>
                <w:sz w:val="24"/>
              </w:rPr>
              <w:t>101752003</w:t>
            </w:r>
          </w:p>
        </w:tc>
        <w:tc>
          <w:tcPr>
            <w:tcW w:w="0" w:type="auto"/>
            <w:vAlign w:val="center"/>
          </w:tcPr>
          <w:p w:rsidR="00384C82" w:rsidRDefault="002B7D03">
            <w:pPr>
              <w:jc w:val="center"/>
            </w:pPr>
            <w:r>
              <w:rPr>
                <w:color w:val="000000"/>
                <w:sz w:val="24"/>
              </w:rPr>
              <w:t>17</w:t>
            </w:r>
            <w:r>
              <w:rPr>
                <w:color w:val="000000"/>
                <w:sz w:val="24"/>
              </w:rPr>
              <w:t>兖矿</w:t>
            </w:r>
            <w:r>
              <w:rPr>
                <w:color w:val="000000"/>
                <w:sz w:val="24"/>
              </w:rPr>
              <w:t>MTN001</w:t>
            </w:r>
          </w:p>
        </w:tc>
        <w:tc>
          <w:tcPr>
            <w:tcW w:w="0" w:type="auto"/>
            <w:vAlign w:val="center"/>
          </w:tcPr>
          <w:p w:rsidR="00384C82" w:rsidRDefault="002B7D03">
            <w:pPr>
              <w:jc w:val="right"/>
            </w:pPr>
            <w:r>
              <w:rPr>
                <w:color w:val="000000"/>
                <w:sz w:val="24"/>
              </w:rPr>
              <w:t>400,000</w:t>
            </w:r>
          </w:p>
        </w:tc>
        <w:tc>
          <w:tcPr>
            <w:tcW w:w="0" w:type="auto"/>
            <w:vAlign w:val="center"/>
          </w:tcPr>
          <w:p w:rsidR="00384C82" w:rsidRDefault="002B7D03">
            <w:pPr>
              <w:jc w:val="right"/>
            </w:pPr>
            <w:r>
              <w:rPr>
                <w:color w:val="000000"/>
                <w:sz w:val="24"/>
              </w:rPr>
              <w:t>40,030,686.26</w:t>
            </w:r>
          </w:p>
        </w:tc>
        <w:tc>
          <w:tcPr>
            <w:tcW w:w="0" w:type="auto"/>
            <w:vAlign w:val="center"/>
          </w:tcPr>
          <w:p w:rsidR="00384C82" w:rsidRDefault="002B7D03">
            <w:pPr>
              <w:jc w:val="right"/>
            </w:pPr>
            <w:r>
              <w:rPr>
                <w:color w:val="000000"/>
                <w:sz w:val="24"/>
              </w:rPr>
              <w:t>1.70</w:t>
            </w:r>
          </w:p>
        </w:tc>
      </w:tr>
      <w:tr w:rsidR="00384C82">
        <w:tc>
          <w:tcPr>
            <w:tcW w:w="0" w:type="auto"/>
            <w:vAlign w:val="center"/>
          </w:tcPr>
          <w:p w:rsidR="00384C82" w:rsidRDefault="002B7D03">
            <w:pPr>
              <w:jc w:val="center"/>
            </w:pPr>
            <w:r>
              <w:rPr>
                <w:color w:val="000000"/>
                <w:sz w:val="24"/>
              </w:rPr>
              <w:t>10</w:t>
            </w:r>
          </w:p>
        </w:tc>
        <w:tc>
          <w:tcPr>
            <w:tcW w:w="0" w:type="auto"/>
            <w:vAlign w:val="center"/>
          </w:tcPr>
          <w:p w:rsidR="00384C82" w:rsidRDefault="002B7D03">
            <w:pPr>
              <w:jc w:val="center"/>
            </w:pPr>
            <w:r>
              <w:rPr>
                <w:color w:val="000000"/>
                <w:sz w:val="24"/>
              </w:rPr>
              <w:t>041900005</w:t>
            </w:r>
          </w:p>
        </w:tc>
        <w:tc>
          <w:tcPr>
            <w:tcW w:w="0" w:type="auto"/>
            <w:vAlign w:val="center"/>
          </w:tcPr>
          <w:p w:rsidR="00384C82" w:rsidRDefault="002B7D03">
            <w:pPr>
              <w:jc w:val="center"/>
            </w:pPr>
            <w:r>
              <w:rPr>
                <w:color w:val="000000"/>
                <w:sz w:val="24"/>
              </w:rPr>
              <w:t>19</w:t>
            </w:r>
            <w:r>
              <w:rPr>
                <w:color w:val="000000"/>
                <w:sz w:val="24"/>
              </w:rPr>
              <w:t>津城建</w:t>
            </w:r>
            <w:r>
              <w:rPr>
                <w:color w:val="000000"/>
                <w:sz w:val="24"/>
              </w:rPr>
              <w:t>CP001</w:t>
            </w:r>
          </w:p>
        </w:tc>
        <w:tc>
          <w:tcPr>
            <w:tcW w:w="0" w:type="auto"/>
            <w:vAlign w:val="center"/>
          </w:tcPr>
          <w:p w:rsidR="00384C82" w:rsidRDefault="002B7D03">
            <w:pPr>
              <w:jc w:val="right"/>
            </w:pPr>
            <w:r>
              <w:rPr>
                <w:color w:val="000000"/>
                <w:sz w:val="24"/>
              </w:rPr>
              <w:t>400,000</w:t>
            </w:r>
          </w:p>
        </w:tc>
        <w:tc>
          <w:tcPr>
            <w:tcW w:w="0" w:type="auto"/>
            <w:vAlign w:val="center"/>
          </w:tcPr>
          <w:p w:rsidR="00384C82" w:rsidRDefault="002B7D03">
            <w:pPr>
              <w:jc w:val="right"/>
            </w:pPr>
            <w:r>
              <w:rPr>
                <w:color w:val="000000"/>
                <w:sz w:val="24"/>
              </w:rPr>
              <w:t>39,970,929.93</w:t>
            </w:r>
          </w:p>
        </w:tc>
        <w:tc>
          <w:tcPr>
            <w:tcW w:w="0" w:type="auto"/>
            <w:vAlign w:val="center"/>
          </w:tcPr>
          <w:p w:rsidR="00384C82" w:rsidRDefault="002B7D03">
            <w:pPr>
              <w:jc w:val="right"/>
            </w:pPr>
            <w:r>
              <w:rPr>
                <w:color w:val="000000"/>
                <w:sz w:val="24"/>
              </w:rPr>
              <w:t>1.70</w:t>
            </w:r>
          </w:p>
        </w:tc>
      </w:tr>
    </w:tbl>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5.</w:t>
      </w:r>
      <w:r w:rsidR="00DA3FE3">
        <w:rPr>
          <w:rFonts w:ascii="宋体" w:hAnsi="宋体" w:cs="Arial" w:hint="eastAsia"/>
          <w:b/>
          <w:color w:val="000000"/>
          <w:kern w:val="0"/>
          <w:sz w:val="24"/>
        </w:rPr>
        <w:t>7</w:t>
      </w:r>
      <w:r w:rsidRPr="006662B2">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670"/>
        <w:gridCol w:w="3524"/>
      </w:tblGrid>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项目</w:t>
            </w:r>
          </w:p>
        </w:tc>
        <w:tc>
          <w:tcPr>
            <w:tcW w:w="3524"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center"/>
              <w:rPr>
                <w:color w:val="000000"/>
                <w:kern w:val="0"/>
                <w:sz w:val="24"/>
              </w:rPr>
            </w:pPr>
            <w:r w:rsidRPr="009F4D34">
              <w:rPr>
                <w:color w:val="000000"/>
                <w:kern w:val="0"/>
                <w:sz w:val="24"/>
              </w:rPr>
              <w:t>偏离情况</w:t>
            </w:r>
          </w:p>
        </w:tc>
      </w:tr>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kern w:val="0"/>
                <w:sz w:val="24"/>
              </w:rPr>
              <w:t>报告期内偏离度的绝对值在</w:t>
            </w:r>
            <w:r w:rsidRPr="009F4D34">
              <w:rPr>
                <w:color w:val="000000"/>
                <w:kern w:val="0"/>
                <w:sz w:val="24"/>
              </w:rPr>
              <w:t>0.25(</w:t>
            </w:r>
            <w:r w:rsidRPr="009F4D34">
              <w:rPr>
                <w:color w:val="000000"/>
                <w:kern w:val="0"/>
                <w:sz w:val="24"/>
              </w:rPr>
              <w:t>含</w:t>
            </w:r>
            <w:r w:rsidRPr="009F4D34">
              <w:rPr>
                <w:color w:val="000000"/>
                <w:kern w:val="0"/>
                <w:sz w:val="24"/>
              </w:rPr>
              <w:t>)-0.5%</w:t>
            </w:r>
            <w:r w:rsidRPr="009F4D34">
              <w:rPr>
                <w:color w:val="000000"/>
                <w:kern w:val="0"/>
                <w:sz w:val="24"/>
              </w:rPr>
              <w:t>间的次数</w:t>
            </w:r>
          </w:p>
        </w:tc>
        <w:tc>
          <w:tcPr>
            <w:tcW w:w="3524" w:type="dxa"/>
            <w:tcBorders>
              <w:top w:val="single" w:sz="8" w:space="0" w:color="000000"/>
              <w:left w:val="single" w:sz="8" w:space="0" w:color="000000"/>
              <w:bottom w:val="single" w:sz="8" w:space="0" w:color="000000"/>
              <w:right w:val="single" w:sz="8" w:space="0" w:color="000000"/>
            </w:tcBorders>
            <w:vAlign w:val="bottom"/>
          </w:tcPr>
          <w:p w:rsidR="00701DE9" w:rsidRPr="009F4D34" w:rsidRDefault="00701DE9" w:rsidP="000E6630">
            <w:pPr>
              <w:spacing w:line="360" w:lineRule="auto"/>
              <w:jc w:val="right"/>
              <w:rPr>
                <w:sz w:val="24"/>
              </w:rPr>
            </w:pPr>
            <w:r w:rsidRPr="009F4D34">
              <w:rPr>
                <w:color w:val="000000"/>
                <w:sz w:val="24"/>
              </w:rPr>
              <w:t>0</w:t>
            </w:r>
            <w:r w:rsidRPr="009F4D34">
              <w:rPr>
                <w:color w:val="000000"/>
                <w:sz w:val="24"/>
              </w:rPr>
              <w:t>次</w:t>
            </w:r>
          </w:p>
        </w:tc>
      </w:tr>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kern w:val="0"/>
                <w:sz w:val="24"/>
              </w:rPr>
              <w:t>报告期内偏离度的最高值</w:t>
            </w:r>
          </w:p>
        </w:tc>
        <w:tc>
          <w:tcPr>
            <w:tcW w:w="3524" w:type="dxa"/>
            <w:tcBorders>
              <w:top w:val="single" w:sz="8" w:space="0" w:color="000000"/>
              <w:left w:val="single" w:sz="8" w:space="0" w:color="000000"/>
              <w:bottom w:val="single" w:sz="8" w:space="0" w:color="000000"/>
              <w:right w:val="single" w:sz="8" w:space="0" w:color="000000"/>
            </w:tcBorders>
            <w:vAlign w:val="bottom"/>
          </w:tcPr>
          <w:p w:rsidR="00701DE9" w:rsidRPr="009F4D34" w:rsidRDefault="00701DE9" w:rsidP="00814461">
            <w:pPr>
              <w:spacing w:line="360" w:lineRule="auto"/>
              <w:jc w:val="right"/>
              <w:rPr>
                <w:sz w:val="24"/>
              </w:rPr>
            </w:pPr>
            <w:r w:rsidRPr="009F4D34">
              <w:rPr>
                <w:color w:val="000000"/>
                <w:sz w:val="24"/>
              </w:rPr>
              <w:t>0.1103%</w:t>
            </w:r>
          </w:p>
        </w:tc>
      </w:tr>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814461">
            <w:pPr>
              <w:autoSpaceDE w:val="0"/>
              <w:autoSpaceDN w:val="0"/>
              <w:adjustRightInd w:val="0"/>
              <w:spacing w:before="29" w:line="360" w:lineRule="auto"/>
              <w:ind w:left="15"/>
              <w:jc w:val="left"/>
              <w:rPr>
                <w:color w:val="000000"/>
                <w:kern w:val="0"/>
                <w:sz w:val="24"/>
              </w:rPr>
            </w:pPr>
            <w:r w:rsidRPr="009F4D34">
              <w:rPr>
                <w:color w:val="000000"/>
                <w:kern w:val="0"/>
                <w:sz w:val="24"/>
              </w:rPr>
              <w:t>报告期内偏离度的最低值</w:t>
            </w:r>
          </w:p>
        </w:tc>
        <w:tc>
          <w:tcPr>
            <w:tcW w:w="3524" w:type="dxa"/>
            <w:tcBorders>
              <w:top w:val="single" w:sz="8" w:space="0" w:color="000000"/>
              <w:left w:val="single" w:sz="8" w:space="0" w:color="000000"/>
              <w:bottom w:val="single" w:sz="8" w:space="0" w:color="000000"/>
              <w:right w:val="single" w:sz="8" w:space="0" w:color="000000"/>
            </w:tcBorders>
            <w:vAlign w:val="bottom"/>
          </w:tcPr>
          <w:p w:rsidR="00701DE9" w:rsidRPr="009F4D34" w:rsidRDefault="00701DE9" w:rsidP="00814461">
            <w:pPr>
              <w:spacing w:line="360" w:lineRule="auto"/>
              <w:jc w:val="right"/>
              <w:rPr>
                <w:sz w:val="24"/>
              </w:rPr>
            </w:pPr>
            <w:r w:rsidRPr="009F4D34">
              <w:rPr>
                <w:color w:val="000000"/>
                <w:sz w:val="24"/>
              </w:rPr>
              <w:t>0.0546%</w:t>
            </w:r>
          </w:p>
        </w:tc>
      </w:tr>
      <w:tr w:rsidR="00701DE9" w:rsidRPr="006662B2" w:rsidTr="00B47322">
        <w:tc>
          <w:tcPr>
            <w:tcW w:w="5670"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440C71">
            <w:pPr>
              <w:autoSpaceDE w:val="0"/>
              <w:autoSpaceDN w:val="0"/>
              <w:adjustRightInd w:val="0"/>
              <w:spacing w:before="29" w:line="360" w:lineRule="auto"/>
              <w:ind w:left="15"/>
              <w:jc w:val="left"/>
              <w:rPr>
                <w:color w:val="000000"/>
                <w:kern w:val="0"/>
                <w:sz w:val="24"/>
              </w:rPr>
            </w:pPr>
            <w:r w:rsidRPr="009F4D34">
              <w:rPr>
                <w:color w:val="000000"/>
                <w:kern w:val="0"/>
                <w:sz w:val="24"/>
              </w:rPr>
              <w:t>报告期内每个</w:t>
            </w:r>
            <w:r w:rsidRPr="009F4D34">
              <w:rPr>
                <w:color w:val="000000"/>
                <w:sz w:val="24"/>
              </w:rPr>
              <w:t>工作日</w:t>
            </w:r>
            <w:r w:rsidRPr="009F4D34">
              <w:rPr>
                <w:color w:val="000000"/>
                <w:kern w:val="0"/>
                <w:sz w:val="24"/>
              </w:rPr>
              <w:t>偏离度的绝对值的简单平均值</w:t>
            </w:r>
          </w:p>
        </w:tc>
        <w:tc>
          <w:tcPr>
            <w:tcW w:w="3524" w:type="dxa"/>
            <w:tcBorders>
              <w:top w:val="single" w:sz="8" w:space="0" w:color="000000"/>
              <w:left w:val="single" w:sz="8" w:space="0" w:color="000000"/>
              <w:bottom w:val="single" w:sz="8" w:space="0" w:color="000000"/>
              <w:right w:val="single" w:sz="8" w:space="0" w:color="000000"/>
            </w:tcBorders>
            <w:vAlign w:val="bottom"/>
          </w:tcPr>
          <w:p w:rsidR="00701DE9" w:rsidRPr="009F4D34" w:rsidRDefault="00701DE9" w:rsidP="00814461">
            <w:pPr>
              <w:spacing w:line="360" w:lineRule="auto"/>
              <w:jc w:val="right"/>
              <w:rPr>
                <w:sz w:val="24"/>
              </w:rPr>
            </w:pPr>
            <w:r w:rsidRPr="009F4D34">
              <w:rPr>
                <w:color w:val="000000"/>
                <w:sz w:val="24"/>
              </w:rPr>
              <w:t>0.0814%</w:t>
            </w:r>
          </w:p>
        </w:tc>
      </w:tr>
    </w:tbl>
    <w:p w:rsidR="00DA3FE3" w:rsidRPr="003025FA" w:rsidRDefault="00DA3FE3" w:rsidP="00DA3FE3">
      <w:pPr>
        <w:spacing w:line="360" w:lineRule="auto"/>
        <w:rPr>
          <w:rFonts w:asciiTheme="minorEastAsia" w:eastAsiaTheme="minorEastAsia" w:hAnsiTheme="minorEastAsia" w:cs="Arial"/>
          <w:b/>
          <w:color w:val="000000" w:themeColor="text1"/>
          <w:kern w:val="0"/>
          <w:sz w:val="24"/>
        </w:rPr>
      </w:pPr>
      <w:r>
        <w:rPr>
          <w:rFonts w:ascii="宋体" w:hAnsi="宋体" w:hint="eastAsia"/>
          <w:b/>
          <w:color w:val="000000"/>
          <w:sz w:val="24"/>
        </w:rPr>
        <w:t>报告期内负偏离度的绝对值达到0.25%情况说明</w:t>
      </w:r>
    </w:p>
    <w:p w:rsidR="00DA3FE3" w:rsidRPr="00DA3FE3" w:rsidRDefault="00DA3FE3" w:rsidP="00DA3FE3">
      <w:pPr>
        <w:spacing w:line="360" w:lineRule="auto"/>
        <w:ind w:firstLineChars="200" w:firstLine="480"/>
        <w:rPr>
          <w:color w:val="000000"/>
          <w:sz w:val="24"/>
        </w:rPr>
      </w:pPr>
      <w:r w:rsidRPr="00DA3FE3">
        <w:rPr>
          <w:color w:val="000000"/>
          <w:sz w:val="24"/>
        </w:rPr>
        <w:t>本基金本报告期内不存在负偏离度的绝对值达到</w:t>
      </w:r>
      <w:r w:rsidRPr="00DA3FE3">
        <w:rPr>
          <w:color w:val="000000"/>
          <w:sz w:val="24"/>
        </w:rPr>
        <w:t>0.25%</w:t>
      </w:r>
      <w:r w:rsidRPr="00DA3FE3">
        <w:rPr>
          <w:color w:val="000000"/>
          <w:sz w:val="24"/>
        </w:rPr>
        <w:t>的情况。</w:t>
      </w:r>
    </w:p>
    <w:p w:rsidR="00DA3FE3" w:rsidRPr="00DA3FE3" w:rsidRDefault="00DA3FE3" w:rsidP="00DA3FE3">
      <w:pPr>
        <w:spacing w:line="360" w:lineRule="auto"/>
        <w:rPr>
          <w:rFonts w:eastAsiaTheme="minorEastAsia"/>
          <w:b/>
          <w:color w:val="000000" w:themeColor="text1"/>
          <w:kern w:val="0"/>
          <w:sz w:val="24"/>
        </w:rPr>
      </w:pPr>
      <w:r w:rsidRPr="00DA3FE3">
        <w:rPr>
          <w:b/>
          <w:color w:val="000000"/>
          <w:sz w:val="24"/>
        </w:rPr>
        <w:t>报告期内正偏离度的绝对值达到</w:t>
      </w:r>
      <w:r w:rsidRPr="00DA3FE3">
        <w:rPr>
          <w:b/>
          <w:color w:val="000000"/>
          <w:sz w:val="24"/>
        </w:rPr>
        <w:t>0.5%</w:t>
      </w:r>
      <w:r w:rsidRPr="00DA3FE3">
        <w:rPr>
          <w:b/>
          <w:color w:val="000000"/>
          <w:sz w:val="24"/>
        </w:rPr>
        <w:t>情况说明</w:t>
      </w:r>
    </w:p>
    <w:p w:rsidR="00DA3FE3" w:rsidRPr="00DA3FE3" w:rsidRDefault="00DA3FE3" w:rsidP="009B5A25">
      <w:pPr>
        <w:spacing w:line="360" w:lineRule="auto"/>
        <w:ind w:firstLineChars="200" w:firstLine="480"/>
        <w:rPr>
          <w:color w:val="000000"/>
          <w:sz w:val="24"/>
        </w:rPr>
      </w:pPr>
      <w:r w:rsidRPr="00DA3FE3">
        <w:rPr>
          <w:rFonts w:eastAsiaTheme="minorEastAsia"/>
          <w:color w:val="000000" w:themeColor="text1"/>
          <w:sz w:val="24"/>
        </w:rPr>
        <w:t>本基金本报告期内不存在正偏离度的绝对值达到</w:t>
      </w:r>
      <w:r w:rsidRPr="00DA3FE3">
        <w:rPr>
          <w:rFonts w:eastAsiaTheme="minorEastAsia"/>
          <w:color w:val="000000" w:themeColor="text1"/>
          <w:sz w:val="24"/>
        </w:rPr>
        <w:t>0.5%</w:t>
      </w:r>
      <w:r w:rsidRPr="00DA3FE3">
        <w:rPr>
          <w:rFonts w:eastAsiaTheme="minorEastAsia"/>
          <w:color w:val="000000" w:themeColor="text1"/>
          <w:sz w:val="24"/>
        </w:rPr>
        <w:t>的情况。</w:t>
      </w:r>
    </w:p>
    <w:p w:rsidR="00701DE9" w:rsidRPr="006662B2" w:rsidRDefault="00701DE9" w:rsidP="00437706">
      <w:pPr>
        <w:spacing w:line="360" w:lineRule="auto"/>
        <w:rPr>
          <w:rFonts w:ascii="宋体" w:cs="Arial"/>
          <w:b/>
          <w:color w:val="000000"/>
          <w:kern w:val="0"/>
          <w:sz w:val="24"/>
        </w:rPr>
      </w:pPr>
      <w:r w:rsidRPr="006662B2">
        <w:rPr>
          <w:rFonts w:ascii="宋体" w:hAnsi="宋体" w:cs="Arial"/>
          <w:b/>
          <w:color w:val="000000"/>
          <w:kern w:val="0"/>
          <w:sz w:val="24"/>
        </w:rPr>
        <w:t>5.</w:t>
      </w:r>
      <w:r w:rsidR="00DA3FE3">
        <w:rPr>
          <w:rFonts w:ascii="宋体" w:hAnsi="宋体" w:cs="Arial" w:hint="eastAsia"/>
          <w:b/>
          <w:color w:val="000000"/>
          <w:kern w:val="0"/>
          <w:sz w:val="24"/>
        </w:rPr>
        <w:t>8</w:t>
      </w:r>
      <w:r w:rsidR="00075BDA">
        <w:rPr>
          <w:rFonts w:ascii="宋体" w:hAnsi="宋体" w:cs="Arial" w:hint="eastAsia"/>
          <w:b/>
          <w:color w:val="000000"/>
          <w:kern w:val="0"/>
          <w:sz w:val="24"/>
        </w:rPr>
        <w:t>报告期末按公允价值占基金资产净值比例大小排名</w:t>
      </w:r>
      <w:r w:rsidRPr="006662B2">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1238"/>
        <w:gridCol w:w="1444"/>
        <w:gridCol w:w="1819"/>
        <w:gridCol w:w="1841"/>
        <w:gridCol w:w="1706"/>
      </w:tblGrid>
      <w:tr w:rsidR="00701DE9" w:rsidRPr="006662B2" w:rsidTr="00EB0947">
        <w:tc>
          <w:tcPr>
            <w:tcW w:w="1239"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序号</w:t>
            </w:r>
          </w:p>
        </w:tc>
        <w:tc>
          <w:tcPr>
            <w:tcW w:w="1238"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证券代码</w:t>
            </w:r>
          </w:p>
        </w:tc>
        <w:tc>
          <w:tcPr>
            <w:tcW w:w="1444"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证券名称</w:t>
            </w:r>
          </w:p>
        </w:tc>
        <w:tc>
          <w:tcPr>
            <w:tcW w:w="1819" w:type="dxa"/>
            <w:vAlign w:val="center"/>
          </w:tcPr>
          <w:p w:rsidR="00701DE9" w:rsidRPr="009F4D34" w:rsidRDefault="00701DE9" w:rsidP="00E75ABA">
            <w:pPr>
              <w:autoSpaceDE w:val="0"/>
              <w:autoSpaceDN w:val="0"/>
              <w:adjustRightInd w:val="0"/>
              <w:spacing w:before="29" w:line="360" w:lineRule="auto"/>
              <w:ind w:left="15"/>
              <w:jc w:val="center"/>
              <w:rPr>
                <w:color w:val="000000"/>
                <w:kern w:val="0"/>
                <w:sz w:val="24"/>
              </w:rPr>
            </w:pPr>
            <w:r w:rsidRPr="009F4D34">
              <w:rPr>
                <w:color w:val="000000"/>
                <w:kern w:val="0"/>
                <w:sz w:val="24"/>
              </w:rPr>
              <w:t>数量</w:t>
            </w:r>
            <w:r w:rsidR="00E75ABA" w:rsidRPr="009F4D34">
              <w:rPr>
                <w:color w:val="000000"/>
                <w:kern w:val="0"/>
                <w:sz w:val="24"/>
              </w:rPr>
              <w:t>（份）</w:t>
            </w:r>
          </w:p>
        </w:tc>
        <w:tc>
          <w:tcPr>
            <w:tcW w:w="1841" w:type="dxa"/>
            <w:vAlign w:val="center"/>
          </w:tcPr>
          <w:p w:rsidR="00701DE9" w:rsidRPr="009F4D34" w:rsidRDefault="00701DE9" w:rsidP="00E753E4">
            <w:pPr>
              <w:autoSpaceDE w:val="0"/>
              <w:autoSpaceDN w:val="0"/>
              <w:adjustRightInd w:val="0"/>
              <w:spacing w:before="29" w:line="360" w:lineRule="auto"/>
              <w:ind w:left="15"/>
              <w:jc w:val="center"/>
              <w:rPr>
                <w:color w:val="000000"/>
                <w:kern w:val="0"/>
                <w:sz w:val="24"/>
              </w:rPr>
            </w:pPr>
            <w:r w:rsidRPr="009F4D34">
              <w:rPr>
                <w:color w:val="000000"/>
                <w:kern w:val="0"/>
                <w:sz w:val="24"/>
              </w:rPr>
              <w:t>公允价值</w:t>
            </w:r>
            <w:r w:rsidR="00E753E4" w:rsidRPr="009F4D34">
              <w:rPr>
                <w:color w:val="000000"/>
                <w:kern w:val="0"/>
                <w:sz w:val="24"/>
              </w:rPr>
              <w:t>（元）</w:t>
            </w:r>
          </w:p>
        </w:tc>
        <w:tc>
          <w:tcPr>
            <w:tcW w:w="1706"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kern w:val="0"/>
                <w:sz w:val="24"/>
              </w:rPr>
              <w:t>占基金资产净值比例（％）</w:t>
            </w:r>
          </w:p>
        </w:tc>
      </w:tr>
      <w:tr w:rsidR="00384C82">
        <w:tc>
          <w:tcPr>
            <w:tcW w:w="0" w:type="auto"/>
            <w:vAlign w:val="center"/>
          </w:tcPr>
          <w:p w:rsidR="00384C82" w:rsidRDefault="002B7D03">
            <w:pPr>
              <w:jc w:val="center"/>
            </w:pPr>
            <w:r>
              <w:rPr>
                <w:color w:val="000000"/>
                <w:sz w:val="24"/>
              </w:rPr>
              <w:t>1</w:t>
            </w:r>
          </w:p>
        </w:tc>
        <w:tc>
          <w:tcPr>
            <w:tcW w:w="0" w:type="auto"/>
            <w:vAlign w:val="center"/>
          </w:tcPr>
          <w:p w:rsidR="00384C82" w:rsidRDefault="002B7D03">
            <w:pPr>
              <w:jc w:val="center"/>
            </w:pPr>
            <w:r>
              <w:rPr>
                <w:color w:val="000000"/>
                <w:sz w:val="24"/>
              </w:rPr>
              <w:t>139466</w:t>
            </w:r>
          </w:p>
        </w:tc>
        <w:tc>
          <w:tcPr>
            <w:tcW w:w="0" w:type="auto"/>
            <w:vAlign w:val="center"/>
          </w:tcPr>
          <w:p w:rsidR="00384C82" w:rsidRDefault="002B7D03">
            <w:pPr>
              <w:jc w:val="center"/>
            </w:pPr>
            <w:r>
              <w:rPr>
                <w:color w:val="000000"/>
                <w:sz w:val="24"/>
              </w:rPr>
              <w:t>联易融</w:t>
            </w:r>
            <w:r>
              <w:rPr>
                <w:color w:val="000000"/>
                <w:sz w:val="24"/>
              </w:rPr>
              <w:t>10</w:t>
            </w:r>
          </w:p>
        </w:tc>
        <w:tc>
          <w:tcPr>
            <w:tcW w:w="0" w:type="auto"/>
            <w:vAlign w:val="center"/>
          </w:tcPr>
          <w:p w:rsidR="00384C82" w:rsidRDefault="002B7D03">
            <w:pPr>
              <w:jc w:val="right"/>
            </w:pPr>
            <w:r>
              <w:rPr>
                <w:color w:val="000000"/>
                <w:sz w:val="24"/>
              </w:rPr>
              <w:t>400,000</w:t>
            </w:r>
          </w:p>
        </w:tc>
        <w:tc>
          <w:tcPr>
            <w:tcW w:w="0" w:type="auto"/>
            <w:vAlign w:val="center"/>
          </w:tcPr>
          <w:p w:rsidR="00384C82" w:rsidRDefault="002B7D03">
            <w:pPr>
              <w:jc w:val="right"/>
            </w:pPr>
            <w:r>
              <w:rPr>
                <w:color w:val="000000"/>
                <w:sz w:val="24"/>
              </w:rPr>
              <w:t>40,000,000.00</w:t>
            </w:r>
          </w:p>
        </w:tc>
        <w:tc>
          <w:tcPr>
            <w:tcW w:w="0" w:type="auto"/>
            <w:vAlign w:val="center"/>
          </w:tcPr>
          <w:p w:rsidR="00384C82" w:rsidRDefault="002B7D03">
            <w:pPr>
              <w:jc w:val="right"/>
            </w:pPr>
            <w:r>
              <w:rPr>
                <w:color w:val="000000"/>
                <w:sz w:val="24"/>
              </w:rPr>
              <w:t>1.70</w:t>
            </w:r>
          </w:p>
        </w:tc>
      </w:tr>
      <w:tr w:rsidR="00384C82">
        <w:tc>
          <w:tcPr>
            <w:tcW w:w="0" w:type="auto"/>
            <w:vAlign w:val="center"/>
          </w:tcPr>
          <w:p w:rsidR="00384C82" w:rsidRDefault="002B7D03">
            <w:pPr>
              <w:jc w:val="center"/>
            </w:pPr>
            <w:r>
              <w:rPr>
                <w:color w:val="000000"/>
                <w:sz w:val="24"/>
              </w:rPr>
              <w:t>2</w:t>
            </w:r>
          </w:p>
        </w:tc>
        <w:tc>
          <w:tcPr>
            <w:tcW w:w="0" w:type="auto"/>
            <w:vAlign w:val="center"/>
          </w:tcPr>
          <w:p w:rsidR="00384C82" w:rsidRDefault="002B7D03">
            <w:pPr>
              <w:jc w:val="center"/>
            </w:pPr>
            <w:r>
              <w:rPr>
                <w:color w:val="000000"/>
                <w:sz w:val="24"/>
              </w:rPr>
              <w:t>139732</w:t>
            </w:r>
          </w:p>
        </w:tc>
        <w:tc>
          <w:tcPr>
            <w:tcW w:w="0" w:type="auto"/>
            <w:vAlign w:val="center"/>
          </w:tcPr>
          <w:p w:rsidR="00384C82" w:rsidRDefault="002B7D03">
            <w:pPr>
              <w:jc w:val="center"/>
            </w:pPr>
            <w:r>
              <w:rPr>
                <w:color w:val="000000"/>
                <w:sz w:val="24"/>
              </w:rPr>
              <w:t>永熙优</w:t>
            </w:r>
            <w:r>
              <w:rPr>
                <w:color w:val="000000"/>
                <w:sz w:val="24"/>
              </w:rPr>
              <w:t>06</w:t>
            </w:r>
          </w:p>
        </w:tc>
        <w:tc>
          <w:tcPr>
            <w:tcW w:w="0" w:type="auto"/>
            <w:vAlign w:val="center"/>
          </w:tcPr>
          <w:p w:rsidR="00384C82" w:rsidRDefault="002B7D03">
            <w:pPr>
              <w:jc w:val="right"/>
            </w:pPr>
            <w:r>
              <w:rPr>
                <w:color w:val="000000"/>
                <w:sz w:val="24"/>
              </w:rPr>
              <w:t>180,000</w:t>
            </w:r>
          </w:p>
        </w:tc>
        <w:tc>
          <w:tcPr>
            <w:tcW w:w="0" w:type="auto"/>
            <w:vAlign w:val="center"/>
          </w:tcPr>
          <w:p w:rsidR="00384C82" w:rsidRDefault="002B7D03">
            <w:pPr>
              <w:jc w:val="right"/>
            </w:pPr>
            <w:r>
              <w:rPr>
                <w:color w:val="000000"/>
                <w:sz w:val="24"/>
              </w:rPr>
              <w:t>18,000,000.00</w:t>
            </w:r>
          </w:p>
        </w:tc>
        <w:tc>
          <w:tcPr>
            <w:tcW w:w="0" w:type="auto"/>
            <w:vAlign w:val="center"/>
          </w:tcPr>
          <w:p w:rsidR="00384C82" w:rsidRDefault="002B7D03">
            <w:pPr>
              <w:jc w:val="right"/>
            </w:pPr>
            <w:r>
              <w:rPr>
                <w:color w:val="000000"/>
                <w:sz w:val="24"/>
              </w:rPr>
              <w:t>0.76</w:t>
            </w:r>
          </w:p>
        </w:tc>
      </w:tr>
    </w:tbl>
    <w:p w:rsidR="00701DE9" w:rsidRPr="006662B2" w:rsidRDefault="00701DE9" w:rsidP="00B76977">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DA3FE3" w:rsidRPr="00DA3FE3" w:rsidRDefault="00DA3FE3" w:rsidP="00DA3FE3">
      <w:pPr>
        <w:spacing w:line="360" w:lineRule="auto"/>
        <w:rPr>
          <w:rFonts w:eastAsiaTheme="minorEastAsia"/>
          <w:color w:val="000000" w:themeColor="text1"/>
          <w:sz w:val="24"/>
        </w:rPr>
      </w:pPr>
      <w:r w:rsidRPr="00DA3FE3">
        <w:rPr>
          <w:rFonts w:eastAsiaTheme="minorEastAsia"/>
          <w:color w:val="000000" w:themeColor="text1"/>
          <w:sz w:val="24"/>
        </w:rPr>
        <w:t>5.9.1</w:t>
      </w:r>
      <w:r w:rsidRPr="00DA3FE3">
        <w:rPr>
          <w:rFonts w:eastAsiaTheme="minorEastAsia"/>
          <w:color w:val="000000" w:themeColor="text1"/>
          <w:sz w:val="24"/>
        </w:rPr>
        <w:t>基金计价方法说明</w:t>
      </w:r>
    </w:p>
    <w:p w:rsidR="00384C82" w:rsidRDefault="002B7D03">
      <w:pPr>
        <w:spacing w:line="360" w:lineRule="auto"/>
        <w:ind w:firstLineChars="200" w:firstLine="480"/>
        <w:rPr>
          <w:rFonts w:eastAsiaTheme="minorEastAsia"/>
          <w:color w:val="000000" w:themeColor="text1"/>
          <w:sz w:val="24"/>
        </w:rPr>
      </w:pPr>
      <w:r>
        <w:rPr>
          <w:rFonts w:eastAsiaTheme="minorEastAsia"/>
          <w:color w:val="000000" w:themeColor="text1"/>
          <w:sz w:val="24"/>
        </w:rPr>
        <w:t>本基金目前投资工具的估值方法如下：</w:t>
      </w:r>
    </w:p>
    <w:p w:rsidR="00384C82" w:rsidRDefault="002B7D03">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）基金持有的债券（包括票据）购买时采用实际支付价款（包含交易费用）确</w:t>
      </w:r>
      <w:r>
        <w:rPr>
          <w:rFonts w:eastAsiaTheme="minorEastAsia"/>
          <w:color w:val="000000" w:themeColor="text1"/>
          <w:sz w:val="24"/>
        </w:rPr>
        <w:lastRenderedPageBreak/>
        <w:t>定初始成本，按实际利率计算其摊余成本及各期利息收入，每日计提收益；</w:t>
      </w:r>
    </w:p>
    <w:p w:rsidR="00384C82" w:rsidRDefault="002B7D03">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）基金持有的回购以成本列示，按实际利率在实际持有期间内逐日计提利息；合同利率与实际利率差异较小的，也可采用合同利率计算确定利息收入；</w:t>
      </w:r>
    </w:p>
    <w:p w:rsidR="00384C82" w:rsidRDefault="002B7D03">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）基金持有的银行存款以本金列示，按实际协议利率逐日计提利息。</w:t>
      </w:r>
    </w:p>
    <w:p w:rsidR="00384C82" w:rsidRDefault="002B7D03">
      <w:pPr>
        <w:spacing w:line="360" w:lineRule="auto"/>
        <w:ind w:firstLineChars="200" w:firstLine="480"/>
        <w:rPr>
          <w:rFonts w:eastAsiaTheme="minorEastAsia"/>
          <w:color w:val="000000" w:themeColor="text1"/>
          <w:sz w:val="24"/>
        </w:rPr>
      </w:pPr>
      <w:r>
        <w:rPr>
          <w:rFonts w:eastAsiaTheme="minorEastAsia"/>
          <w:color w:val="000000" w:themeColor="text1"/>
          <w:sz w:val="24"/>
        </w:rPr>
        <w:t>如有确凿证据表明按上述方法进行估值不能客观反映其公允价值的，基金管理人可根据具体情况与基金托管人商定后，按最能反映公允价值的方法估值。</w:t>
      </w:r>
    </w:p>
    <w:p w:rsidR="00DA3FE3" w:rsidRPr="00DA3FE3" w:rsidRDefault="00DA3FE3" w:rsidP="00DA3FE3">
      <w:pPr>
        <w:spacing w:line="360" w:lineRule="auto"/>
        <w:ind w:firstLineChars="200" w:firstLine="480"/>
        <w:rPr>
          <w:rFonts w:eastAsiaTheme="minorEastAsia"/>
          <w:color w:val="000000" w:themeColor="text1"/>
          <w:sz w:val="24"/>
        </w:rPr>
      </w:pPr>
      <w:r w:rsidRPr="00DA3FE3">
        <w:rPr>
          <w:rFonts w:eastAsiaTheme="minorEastAsia"/>
          <w:color w:val="000000" w:themeColor="text1"/>
          <w:sz w:val="24"/>
        </w:rPr>
        <w:t>如有新增事项，按国家最新规定估值。</w:t>
      </w:r>
    </w:p>
    <w:p w:rsidR="00701DE9" w:rsidRPr="00DA3FE3" w:rsidRDefault="00DA3FE3" w:rsidP="009F4D34">
      <w:pPr>
        <w:widowControl/>
        <w:spacing w:line="360" w:lineRule="auto"/>
        <w:rPr>
          <w:rFonts w:eastAsiaTheme="minorEastAsia"/>
          <w:color w:val="000000" w:themeColor="text1"/>
          <w:sz w:val="24"/>
        </w:rPr>
      </w:pPr>
      <w:r w:rsidRPr="00DA3FE3">
        <w:rPr>
          <w:rFonts w:eastAsiaTheme="minorEastAsia"/>
          <w:color w:val="000000" w:themeColor="text1"/>
          <w:sz w:val="24"/>
        </w:rPr>
        <w:t>5.9.219</w:t>
      </w:r>
      <w:r w:rsidRPr="00DA3FE3">
        <w:rPr>
          <w:rFonts w:eastAsiaTheme="minorEastAsia"/>
          <w:color w:val="000000" w:themeColor="text1"/>
          <w:sz w:val="24"/>
        </w:rPr>
        <w:t>建设银行</w:t>
      </w:r>
      <w:r w:rsidRPr="00DA3FE3">
        <w:rPr>
          <w:rFonts w:eastAsiaTheme="minorEastAsia"/>
          <w:color w:val="000000" w:themeColor="text1"/>
          <w:sz w:val="24"/>
        </w:rPr>
        <w:t>CD027</w:t>
      </w:r>
      <w:r w:rsidRPr="00DA3FE3">
        <w:rPr>
          <w:rFonts w:eastAsiaTheme="minorEastAsia"/>
          <w:color w:val="000000" w:themeColor="text1"/>
          <w:sz w:val="24"/>
        </w:rPr>
        <w:t>（代码：</w:t>
      </w:r>
      <w:r w:rsidRPr="00DA3FE3">
        <w:rPr>
          <w:rFonts w:eastAsiaTheme="minorEastAsia"/>
          <w:color w:val="000000" w:themeColor="text1"/>
          <w:sz w:val="24"/>
        </w:rPr>
        <w:t>111905027</w:t>
      </w:r>
      <w:r w:rsidRPr="00DA3FE3">
        <w:rPr>
          <w:rFonts w:eastAsiaTheme="minorEastAsia"/>
          <w:color w:val="000000" w:themeColor="text1"/>
          <w:sz w:val="24"/>
        </w:rPr>
        <w:t>）是易方达增金宝货币市场基金的前十大持仓证券。</w:t>
      </w:r>
      <w:r w:rsidRPr="00DA3FE3">
        <w:rPr>
          <w:rFonts w:eastAsiaTheme="minorEastAsia"/>
          <w:color w:val="000000" w:themeColor="text1"/>
          <w:sz w:val="24"/>
        </w:rPr>
        <w:t>2019</w:t>
      </w:r>
      <w:r w:rsidRPr="00DA3FE3">
        <w:rPr>
          <w:rFonts w:eastAsiaTheme="minorEastAsia"/>
          <w:color w:val="000000" w:themeColor="text1"/>
          <w:sz w:val="24"/>
        </w:rPr>
        <w:t>年</w:t>
      </w:r>
      <w:r w:rsidRPr="00DA3FE3">
        <w:rPr>
          <w:rFonts w:eastAsiaTheme="minorEastAsia"/>
          <w:color w:val="000000" w:themeColor="text1"/>
          <w:sz w:val="24"/>
        </w:rPr>
        <w:t>5</w:t>
      </w:r>
      <w:r w:rsidRPr="00DA3FE3">
        <w:rPr>
          <w:rFonts w:eastAsiaTheme="minorEastAsia"/>
          <w:color w:val="000000" w:themeColor="text1"/>
          <w:sz w:val="24"/>
        </w:rPr>
        <w:t>月</w:t>
      </w:r>
      <w:r w:rsidRPr="00DA3FE3">
        <w:rPr>
          <w:rFonts w:eastAsiaTheme="minorEastAsia"/>
          <w:color w:val="000000" w:themeColor="text1"/>
          <w:sz w:val="24"/>
        </w:rPr>
        <w:t>7</w:t>
      </w:r>
      <w:r w:rsidRPr="00DA3FE3">
        <w:rPr>
          <w:rFonts w:eastAsiaTheme="minorEastAsia"/>
          <w:color w:val="000000" w:themeColor="text1"/>
          <w:sz w:val="24"/>
        </w:rPr>
        <w:t>日，中国银行保险监督管理委员会上海监管局针对中国建设银行股份有限公司信用卡中心的如下违法违规行为作出</w:t>
      </w:r>
      <w:r w:rsidRPr="00DA3FE3">
        <w:rPr>
          <w:rFonts w:eastAsiaTheme="minorEastAsia"/>
          <w:color w:val="000000" w:themeColor="text1"/>
          <w:sz w:val="24"/>
        </w:rPr>
        <w:t>“</w:t>
      </w:r>
      <w:r w:rsidRPr="00DA3FE3">
        <w:rPr>
          <w:rFonts w:eastAsiaTheme="minorEastAsia"/>
          <w:color w:val="000000" w:themeColor="text1"/>
          <w:sz w:val="24"/>
        </w:rPr>
        <w:t>责令改正，并处罚款</w:t>
      </w:r>
      <w:r w:rsidRPr="00DA3FE3">
        <w:rPr>
          <w:rFonts w:eastAsiaTheme="minorEastAsia"/>
          <w:color w:val="000000" w:themeColor="text1"/>
          <w:sz w:val="24"/>
        </w:rPr>
        <w:t>50</w:t>
      </w:r>
      <w:r w:rsidRPr="00DA3FE3">
        <w:rPr>
          <w:rFonts w:eastAsiaTheme="minorEastAsia"/>
          <w:color w:val="000000" w:themeColor="text1"/>
          <w:sz w:val="24"/>
        </w:rPr>
        <w:t>万元</w:t>
      </w:r>
      <w:r w:rsidRPr="00DA3FE3">
        <w:rPr>
          <w:rFonts w:eastAsiaTheme="minorEastAsia"/>
          <w:color w:val="000000" w:themeColor="text1"/>
          <w:sz w:val="24"/>
        </w:rPr>
        <w:t>”</w:t>
      </w:r>
      <w:r w:rsidRPr="00DA3FE3">
        <w:rPr>
          <w:rFonts w:eastAsiaTheme="minorEastAsia"/>
          <w:color w:val="000000" w:themeColor="text1"/>
          <w:sz w:val="24"/>
        </w:rPr>
        <w:t>的行政处罚决定：</w:t>
      </w:r>
      <w:r w:rsidRPr="00DA3FE3">
        <w:rPr>
          <w:rFonts w:eastAsiaTheme="minorEastAsia"/>
          <w:color w:val="000000" w:themeColor="text1"/>
          <w:sz w:val="24"/>
        </w:rPr>
        <w:t>2016</w:t>
      </w:r>
      <w:r w:rsidRPr="00DA3FE3">
        <w:rPr>
          <w:rFonts w:eastAsiaTheme="minorEastAsia"/>
          <w:color w:val="000000" w:themeColor="text1"/>
          <w:sz w:val="24"/>
        </w:rPr>
        <w:t>年至</w:t>
      </w:r>
      <w:r w:rsidRPr="00DA3FE3">
        <w:rPr>
          <w:rFonts w:eastAsiaTheme="minorEastAsia"/>
          <w:color w:val="000000" w:themeColor="text1"/>
          <w:sz w:val="24"/>
        </w:rPr>
        <w:t>2017</w:t>
      </w:r>
      <w:r w:rsidRPr="00DA3FE3">
        <w:rPr>
          <w:rFonts w:eastAsiaTheme="minorEastAsia"/>
          <w:color w:val="000000" w:themeColor="text1"/>
          <w:sz w:val="24"/>
        </w:rPr>
        <w:t>年</w:t>
      </w:r>
      <w:r w:rsidRPr="00DA3FE3">
        <w:rPr>
          <w:rFonts w:eastAsiaTheme="minorEastAsia"/>
          <w:color w:val="000000" w:themeColor="text1"/>
          <w:sz w:val="24"/>
        </w:rPr>
        <w:t>6</w:t>
      </w:r>
      <w:r w:rsidRPr="00DA3FE3">
        <w:rPr>
          <w:rFonts w:eastAsiaTheme="minorEastAsia"/>
          <w:color w:val="000000" w:themeColor="text1"/>
          <w:sz w:val="24"/>
        </w:rPr>
        <w:t>月间部分信用卡资金违规用于非消费领域。</w:t>
      </w:r>
      <w:r w:rsidRPr="00DA3FE3">
        <w:rPr>
          <w:rFonts w:eastAsiaTheme="minorEastAsia"/>
          <w:color w:val="000000" w:themeColor="text1"/>
          <w:sz w:val="24"/>
        </w:rPr>
        <w:t>2019</w:t>
      </w:r>
      <w:r w:rsidRPr="00DA3FE3">
        <w:rPr>
          <w:rFonts w:eastAsiaTheme="minorEastAsia"/>
          <w:color w:val="000000" w:themeColor="text1"/>
          <w:sz w:val="24"/>
        </w:rPr>
        <w:t>年</w:t>
      </w:r>
      <w:r w:rsidRPr="00DA3FE3">
        <w:rPr>
          <w:rFonts w:eastAsiaTheme="minorEastAsia"/>
          <w:color w:val="000000" w:themeColor="text1"/>
          <w:sz w:val="24"/>
        </w:rPr>
        <w:t>7</w:t>
      </w:r>
      <w:r w:rsidRPr="00DA3FE3">
        <w:rPr>
          <w:rFonts w:eastAsiaTheme="minorEastAsia"/>
          <w:color w:val="000000" w:themeColor="text1"/>
          <w:sz w:val="24"/>
        </w:rPr>
        <w:t>月</w:t>
      </w:r>
      <w:r w:rsidRPr="00DA3FE3">
        <w:rPr>
          <w:rFonts w:eastAsiaTheme="minorEastAsia"/>
          <w:color w:val="000000" w:themeColor="text1"/>
          <w:sz w:val="24"/>
        </w:rPr>
        <w:t>8</w:t>
      </w:r>
      <w:r w:rsidRPr="00DA3FE3">
        <w:rPr>
          <w:rFonts w:eastAsiaTheme="minorEastAsia"/>
          <w:color w:val="000000" w:themeColor="text1"/>
          <w:sz w:val="24"/>
        </w:rPr>
        <w:t>日，中国银行保险监督管理委员会上海监管局针对中国建设银行股份有限公司信用卡中心的如下违法违规行为作出</w:t>
      </w:r>
      <w:r w:rsidRPr="00DA3FE3">
        <w:rPr>
          <w:rFonts w:eastAsiaTheme="minorEastAsia"/>
          <w:color w:val="000000" w:themeColor="text1"/>
          <w:sz w:val="24"/>
        </w:rPr>
        <w:t>“</w:t>
      </w:r>
      <w:r w:rsidRPr="00DA3FE3">
        <w:rPr>
          <w:rFonts w:eastAsiaTheme="minorEastAsia"/>
          <w:color w:val="000000" w:themeColor="text1"/>
          <w:sz w:val="24"/>
        </w:rPr>
        <w:t>责令改正，并处罚款</w:t>
      </w:r>
      <w:r w:rsidRPr="00DA3FE3">
        <w:rPr>
          <w:rFonts w:eastAsiaTheme="minorEastAsia"/>
          <w:color w:val="000000" w:themeColor="text1"/>
          <w:sz w:val="24"/>
        </w:rPr>
        <w:t>30</w:t>
      </w:r>
      <w:r w:rsidRPr="00DA3FE3">
        <w:rPr>
          <w:rFonts w:eastAsiaTheme="minorEastAsia"/>
          <w:color w:val="000000" w:themeColor="text1"/>
          <w:sz w:val="24"/>
        </w:rPr>
        <w:t>万元</w:t>
      </w:r>
      <w:r w:rsidRPr="00DA3FE3">
        <w:rPr>
          <w:rFonts w:eastAsiaTheme="minorEastAsia"/>
          <w:color w:val="000000" w:themeColor="text1"/>
          <w:sz w:val="24"/>
        </w:rPr>
        <w:t>”</w:t>
      </w:r>
      <w:r w:rsidRPr="00DA3FE3">
        <w:rPr>
          <w:rFonts w:eastAsiaTheme="minorEastAsia"/>
          <w:color w:val="000000" w:themeColor="text1"/>
          <w:sz w:val="24"/>
        </w:rPr>
        <w:t>的行政处罚决定：</w:t>
      </w:r>
      <w:r w:rsidRPr="00DA3FE3">
        <w:rPr>
          <w:rFonts w:eastAsiaTheme="minorEastAsia"/>
          <w:color w:val="000000" w:themeColor="text1"/>
          <w:sz w:val="24"/>
        </w:rPr>
        <w:t>1</w:t>
      </w:r>
      <w:r w:rsidRPr="00DA3FE3">
        <w:rPr>
          <w:rFonts w:eastAsiaTheme="minorEastAsia"/>
          <w:color w:val="000000" w:themeColor="text1"/>
          <w:sz w:val="24"/>
        </w:rPr>
        <w:t>、</w:t>
      </w:r>
      <w:r w:rsidRPr="00DA3FE3">
        <w:rPr>
          <w:rFonts w:eastAsiaTheme="minorEastAsia"/>
          <w:color w:val="000000" w:themeColor="text1"/>
          <w:sz w:val="24"/>
        </w:rPr>
        <w:t>2017</w:t>
      </w:r>
      <w:r w:rsidRPr="00DA3FE3">
        <w:rPr>
          <w:rFonts w:eastAsiaTheme="minorEastAsia"/>
          <w:color w:val="000000" w:themeColor="text1"/>
          <w:sz w:val="24"/>
        </w:rPr>
        <w:t>年</w:t>
      </w:r>
      <w:r w:rsidRPr="00DA3FE3">
        <w:rPr>
          <w:rFonts w:eastAsiaTheme="minorEastAsia"/>
          <w:color w:val="000000" w:themeColor="text1"/>
          <w:sz w:val="24"/>
        </w:rPr>
        <w:t>5</w:t>
      </w:r>
      <w:r w:rsidRPr="00DA3FE3">
        <w:rPr>
          <w:rFonts w:eastAsiaTheme="minorEastAsia"/>
          <w:color w:val="000000" w:themeColor="text1"/>
          <w:sz w:val="24"/>
        </w:rPr>
        <w:t>月在为部分客户办理信用卡业务时，未遵守总授信额度管理制度；</w:t>
      </w:r>
      <w:r w:rsidRPr="00DA3FE3">
        <w:rPr>
          <w:rFonts w:eastAsiaTheme="minorEastAsia"/>
          <w:color w:val="000000" w:themeColor="text1"/>
          <w:sz w:val="24"/>
        </w:rPr>
        <w:t>2</w:t>
      </w:r>
      <w:r w:rsidRPr="00DA3FE3">
        <w:rPr>
          <w:rFonts w:eastAsiaTheme="minorEastAsia"/>
          <w:color w:val="000000" w:themeColor="text1"/>
          <w:sz w:val="24"/>
        </w:rPr>
        <w:t>、</w:t>
      </w:r>
      <w:r w:rsidRPr="00DA3FE3">
        <w:rPr>
          <w:rFonts w:eastAsiaTheme="minorEastAsia"/>
          <w:color w:val="000000" w:themeColor="text1"/>
          <w:sz w:val="24"/>
        </w:rPr>
        <w:t>2017</w:t>
      </w:r>
      <w:r w:rsidRPr="00DA3FE3">
        <w:rPr>
          <w:rFonts w:eastAsiaTheme="minorEastAsia"/>
          <w:color w:val="000000" w:themeColor="text1"/>
          <w:sz w:val="24"/>
        </w:rPr>
        <w:t>年</w:t>
      </w:r>
      <w:r w:rsidRPr="00DA3FE3">
        <w:rPr>
          <w:rFonts w:eastAsiaTheme="minorEastAsia"/>
          <w:color w:val="000000" w:themeColor="text1"/>
          <w:sz w:val="24"/>
        </w:rPr>
        <w:t>9</w:t>
      </w:r>
      <w:r w:rsidRPr="00DA3FE3">
        <w:rPr>
          <w:rFonts w:eastAsiaTheme="minorEastAsia"/>
          <w:color w:val="000000" w:themeColor="text1"/>
          <w:sz w:val="24"/>
        </w:rPr>
        <w:t>月、</w:t>
      </w:r>
      <w:r w:rsidRPr="00DA3FE3">
        <w:rPr>
          <w:rFonts w:eastAsiaTheme="minorEastAsia"/>
          <w:color w:val="000000" w:themeColor="text1"/>
          <w:sz w:val="24"/>
        </w:rPr>
        <w:t>10</w:t>
      </w:r>
      <w:r w:rsidRPr="00DA3FE3">
        <w:rPr>
          <w:rFonts w:eastAsiaTheme="minorEastAsia"/>
          <w:color w:val="000000" w:themeColor="text1"/>
          <w:sz w:val="24"/>
        </w:rPr>
        <w:t>月对部分信用卡申请人资信水平调查严重不尽职。</w:t>
      </w:r>
    </w:p>
    <w:p w:rsidR="00384C82" w:rsidRDefault="002B7D03">
      <w:pPr>
        <w:widowControl/>
        <w:spacing w:line="360" w:lineRule="auto"/>
        <w:rPr>
          <w:rFonts w:eastAsiaTheme="minorEastAsia"/>
          <w:color w:val="000000" w:themeColor="text1"/>
          <w:sz w:val="24"/>
        </w:rPr>
      </w:pP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CD103</w:t>
      </w:r>
      <w:r>
        <w:rPr>
          <w:rFonts w:eastAsiaTheme="minorEastAsia"/>
          <w:color w:val="000000" w:themeColor="text1"/>
          <w:sz w:val="24"/>
        </w:rPr>
        <w:t>（代码：</w:t>
      </w:r>
      <w:r>
        <w:rPr>
          <w:rFonts w:eastAsiaTheme="minorEastAsia"/>
          <w:color w:val="000000" w:themeColor="text1"/>
          <w:sz w:val="24"/>
        </w:rPr>
        <w:t>111903103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CD111</w:t>
      </w:r>
      <w:r>
        <w:rPr>
          <w:rFonts w:eastAsiaTheme="minorEastAsia"/>
          <w:color w:val="000000" w:themeColor="text1"/>
          <w:sz w:val="24"/>
        </w:rPr>
        <w:t>（代码：</w:t>
      </w:r>
      <w:r>
        <w:rPr>
          <w:rFonts w:eastAsiaTheme="minorEastAsia"/>
          <w:color w:val="000000" w:themeColor="text1"/>
          <w:sz w:val="24"/>
        </w:rPr>
        <w:t>111903111</w:t>
      </w:r>
      <w:r>
        <w:rPr>
          <w:rFonts w:eastAsiaTheme="minorEastAsia"/>
          <w:color w:val="000000" w:themeColor="text1"/>
          <w:sz w:val="24"/>
        </w:rPr>
        <w:t>）是易方达增金宝货币市场基金的前十大持仓证券。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w:t>
      </w:r>
      <w:r>
        <w:rPr>
          <w:rFonts w:eastAsiaTheme="minorEastAsia"/>
          <w:color w:val="000000" w:themeColor="text1"/>
          <w:sz w:val="24"/>
        </w:rPr>
        <w:t>7</w:t>
      </w:r>
      <w:r>
        <w:rPr>
          <w:rFonts w:eastAsiaTheme="minorEastAsia"/>
          <w:color w:val="000000" w:themeColor="text1"/>
          <w:sz w:val="24"/>
        </w:rPr>
        <w:t>日，中国银保监会上海监管局针对中国农业银行股份有限公司中心部分信用卡资金违规用于非消费领域的违法违规行为，作出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50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日，中国银行保险监督管理委员会上海监管局针对中国农业银</w:t>
      </w:r>
      <w:r>
        <w:rPr>
          <w:rFonts w:eastAsiaTheme="minorEastAsia"/>
          <w:color w:val="000000" w:themeColor="text1"/>
          <w:sz w:val="24"/>
        </w:rPr>
        <w:t>行股份有限公司信用卡中心的如下违法违规行为作出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20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月在办理部分客户信用卡业务时未遵守总授信额度管理制度的违法违规事实。</w:t>
      </w:r>
    </w:p>
    <w:p w:rsidR="00384C82" w:rsidRDefault="002B7D03">
      <w:pPr>
        <w:widowControl/>
        <w:spacing w:line="360" w:lineRule="auto"/>
        <w:rPr>
          <w:rFonts w:eastAsiaTheme="minorEastAsia"/>
          <w:color w:val="000000" w:themeColor="text1"/>
          <w:sz w:val="24"/>
        </w:rPr>
      </w:pP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CD043</w:t>
      </w:r>
      <w:r>
        <w:rPr>
          <w:rFonts w:eastAsiaTheme="minorEastAsia"/>
          <w:color w:val="000000" w:themeColor="text1"/>
          <w:sz w:val="24"/>
        </w:rPr>
        <w:t>（代码：</w:t>
      </w:r>
      <w:r>
        <w:rPr>
          <w:rFonts w:eastAsiaTheme="minorEastAsia"/>
          <w:color w:val="000000" w:themeColor="text1"/>
          <w:sz w:val="24"/>
        </w:rPr>
        <w:t>111906043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CD119</w:t>
      </w:r>
      <w:r>
        <w:rPr>
          <w:rFonts w:eastAsiaTheme="minorEastAsia"/>
          <w:color w:val="000000" w:themeColor="text1"/>
          <w:sz w:val="24"/>
        </w:rPr>
        <w:t>（代码：</w:t>
      </w:r>
      <w:r>
        <w:rPr>
          <w:rFonts w:eastAsiaTheme="minorEastAsia"/>
          <w:color w:val="000000" w:themeColor="text1"/>
          <w:sz w:val="24"/>
        </w:rPr>
        <w:t>111906119</w:t>
      </w:r>
      <w:r>
        <w:rPr>
          <w:rFonts w:eastAsiaTheme="minorEastAsia"/>
          <w:color w:val="000000" w:themeColor="text1"/>
          <w:sz w:val="24"/>
        </w:rPr>
        <w:t>）是易方达增金宝货币市场基金的前十大持仓证券。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18</w:t>
      </w:r>
      <w:r>
        <w:rPr>
          <w:rFonts w:eastAsiaTheme="minorEastAsia"/>
          <w:color w:val="000000" w:themeColor="text1"/>
          <w:sz w:val="24"/>
        </w:rPr>
        <w:t>日，中国保监会上海保监局针对交通银行股份有限公司的有关违法违规行为作出</w:t>
      </w:r>
      <w:r>
        <w:rPr>
          <w:rFonts w:eastAsiaTheme="minorEastAsia"/>
          <w:color w:val="000000" w:themeColor="text1"/>
          <w:sz w:val="24"/>
        </w:rPr>
        <w:t>“</w:t>
      </w:r>
      <w:r>
        <w:rPr>
          <w:rFonts w:eastAsiaTheme="minorEastAsia"/>
          <w:color w:val="000000" w:themeColor="text1"/>
          <w:sz w:val="24"/>
        </w:rPr>
        <w:t>责令改正，并处</w:t>
      </w:r>
      <w:r>
        <w:rPr>
          <w:rFonts w:eastAsiaTheme="minorEastAsia"/>
          <w:color w:val="000000" w:themeColor="text1"/>
          <w:sz w:val="24"/>
        </w:rPr>
        <w:t>34</w:t>
      </w:r>
      <w:r>
        <w:rPr>
          <w:rFonts w:eastAsiaTheme="minorEastAsia"/>
          <w:color w:val="000000" w:themeColor="text1"/>
          <w:sz w:val="24"/>
        </w:rPr>
        <w:t>万元罚款</w:t>
      </w:r>
      <w:r>
        <w:rPr>
          <w:rFonts w:eastAsiaTheme="minorEastAsia"/>
          <w:color w:val="000000" w:themeColor="text1"/>
          <w:sz w:val="24"/>
        </w:rPr>
        <w:t>”</w:t>
      </w:r>
      <w:r>
        <w:rPr>
          <w:rFonts w:eastAsiaTheme="minorEastAsia"/>
          <w:color w:val="000000" w:themeColor="text1"/>
          <w:sz w:val="24"/>
        </w:rPr>
        <w:t>的行政处罚决定：（一）欺骗投保人；（二）向投保人隐瞒与合</w:t>
      </w:r>
      <w:r>
        <w:rPr>
          <w:rFonts w:eastAsiaTheme="minorEastAsia"/>
          <w:color w:val="000000" w:themeColor="text1"/>
          <w:sz w:val="24"/>
        </w:rPr>
        <w:t>同有关的重要情况。</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9</w:t>
      </w:r>
      <w:r>
        <w:rPr>
          <w:rFonts w:eastAsiaTheme="minorEastAsia"/>
          <w:color w:val="000000" w:themeColor="text1"/>
          <w:sz w:val="24"/>
        </w:rPr>
        <w:t>日，中国银行保险监督管理委员会对交通银行股份有限公司的有关违法违规行为罚款</w:t>
      </w:r>
      <w:r>
        <w:rPr>
          <w:rFonts w:eastAsiaTheme="minorEastAsia"/>
          <w:color w:val="000000" w:themeColor="text1"/>
          <w:sz w:val="24"/>
        </w:rPr>
        <w:t>50</w:t>
      </w:r>
      <w:r>
        <w:rPr>
          <w:rFonts w:eastAsiaTheme="minorEastAsia"/>
          <w:color w:val="000000" w:themeColor="text1"/>
          <w:sz w:val="24"/>
        </w:rPr>
        <w:t>万元：并购贷款占并购交易价款比例不合规、并购贷款尽职调查和风险评</w:t>
      </w:r>
      <w:r>
        <w:rPr>
          <w:rFonts w:eastAsiaTheme="minorEastAsia"/>
          <w:color w:val="000000" w:themeColor="text1"/>
          <w:sz w:val="24"/>
        </w:rPr>
        <w:lastRenderedPageBreak/>
        <w:t>估不到位。</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9</w:t>
      </w:r>
      <w:r>
        <w:rPr>
          <w:rFonts w:eastAsiaTheme="minorEastAsia"/>
          <w:color w:val="000000" w:themeColor="text1"/>
          <w:sz w:val="24"/>
        </w:rPr>
        <w:t>日，中国银行保险监督管理委员会对交通银行股份有限公司的有关违法违规行为罚款</w:t>
      </w:r>
      <w:r>
        <w:rPr>
          <w:rFonts w:eastAsiaTheme="minorEastAsia"/>
          <w:color w:val="000000" w:themeColor="text1"/>
          <w:sz w:val="24"/>
        </w:rPr>
        <w:t>690</w:t>
      </w:r>
      <w:r>
        <w:rPr>
          <w:rFonts w:eastAsiaTheme="minorEastAsia"/>
          <w:color w:val="000000" w:themeColor="text1"/>
          <w:sz w:val="24"/>
        </w:rPr>
        <w:t>万元：（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w:t>
      </w:r>
      <w:r>
        <w:rPr>
          <w:rFonts w:eastAsiaTheme="minorEastAsia"/>
          <w:color w:val="000000" w:themeColor="text1"/>
          <w:sz w:val="24"/>
        </w:rPr>
        <w:t>地储备机构提供融资；（六）信贷资金违规承接本行表外理财资产；（七）理财资金违规投资项目资本金；（八）部分理财产品信息披露不合规；（九）现场检查配合不力。</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日，中国银行保险监督管理委员会上海监管局对交通银行股份有限公司太平洋信用卡中心的如下违法违规行为作出</w:t>
      </w:r>
      <w:r>
        <w:rPr>
          <w:rFonts w:eastAsiaTheme="minorEastAsia"/>
          <w:color w:val="000000" w:themeColor="text1"/>
          <w:sz w:val="24"/>
        </w:rPr>
        <w:t>“</w:t>
      </w:r>
      <w:r>
        <w:rPr>
          <w:rFonts w:eastAsiaTheme="minorEastAsia"/>
          <w:color w:val="000000" w:themeColor="text1"/>
          <w:sz w:val="24"/>
        </w:rPr>
        <w:t>处以责令改正，并处罚款</w:t>
      </w:r>
      <w:r>
        <w:rPr>
          <w:rFonts w:eastAsiaTheme="minorEastAsia"/>
          <w:color w:val="000000" w:themeColor="text1"/>
          <w:sz w:val="24"/>
        </w:rPr>
        <w:t>40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月至</w:t>
      </w:r>
      <w:r>
        <w:rPr>
          <w:rFonts w:eastAsiaTheme="minorEastAsia"/>
          <w:color w:val="000000" w:themeColor="text1"/>
          <w:sz w:val="24"/>
        </w:rPr>
        <w:t>10</w:t>
      </w:r>
      <w:r>
        <w:rPr>
          <w:rFonts w:eastAsiaTheme="minorEastAsia"/>
          <w:color w:val="000000" w:themeColor="text1"/>
          <w:sz w:val="24"/>
        </w:rPr>
        <w:t>月期间在办理部分客户信用卡业务时未遵守总授信额度管理制度。</w:t>
      </w:r>
    </w:p>
    <w:p w:rsidR="00384C82" w:rsidRDefault="002B7D03">
      <w:pPr>
        <w:widowControl/>
        <w:spacing w:line="360" w:lineRule="auto"/>
        <w:rPr>
          <w:rFonts w:eastAsiaTheme="minorEastAsia"/>
          <w:color w:val="000000" w:themeColor="text1"/>
          <w:sz w:val="24"/>
        </w:rPr>
      </w:pP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CD099</w:t>
      </w:r>
      <w:r>
        <w:rPr>
          <w:rFonts w:eastAsiaTheme="minorEastAsia"/>
          <w:color w:val="000000" w:themeColor="text1"/>
          <w:sz w:val="24"/>
        </w:rPr>
        <w:t>（代码：</w:t>
      </w:r>
      <w:r>
        <w:rPr>
          <w:rFonts w:eastAsiaTheme="minorEastAsia"/>
          <w:color w:val="000000" w:themeColor="text1"/>
          <w:sz w:val="24"/>
        </w:rPr>
        <w:t>111907099</w:t>
      </w:r>
      <w:r>
        <w:rPr>
          <w:rFonts w:eastAsiaTheme="minorEastAsia"/>
          <w:color w:val="000000" w:themeColor="text1"/>
          <w:sz w:val="24"/>
        </w:rPr>
        <w:t>）是易方达增金宝货币市场基金的前十大持仓证券。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w:t>
      </w:r>
      <w:r>
        <w:rPr>
          <w:rFonts w:eastAsiaTheme="minorEastAsia"/>
          <w:color w:val="000000" w:themeColor="text1"/>
          <w:sz w:val="24"/>
        </w:rPr>
        <w:t>，中国银行保险监督管理委员会上海监管局针对招商银行股份有限公司信用卡中心在为部分客户办理信用卡业务时未遵守总授信额度管理制度的行为，对招商银行股份有限公司处以责令改正，并处罚款</w:t>
      </w:r>
      <w:r>
        <w:rPr>
          <w:rFonts w:eastAsiaTheme="minorEastAsia"/>
          <w:color w:val="000000" w:themeColor="text1"/>
          <w:sz w:val="24"/>
        </w:rPr>
        <w:t>20</w:t>
      </w:r>
      <w:r>
        <w:rPr>
          <w:rFonts w:eastAsiaTheme="minorEastAsia"/>
          <w:color w:val="000000" w:themeColor="text1"/>
          <w:sz w:val="24"/>
        </w:rPr>
        <w:t>万元。</w:t>
      </w:r>
    </w:p>
    <w:p w:rsidR="00384C82" w:rsidRDefault="002B7D03">
      <w:pPr>
        <w:widowControl/>
        <w:spacing w:line="360" w:lineRule="auto"/>
        <w:rPr>
          <w:rFonts w:eastAsiaTheme="minorEastAsia"/>
          <w:color w:val="000000" w:themeColor="text1"/>
          <w:sz w:val="24"/>
        </w:rPr>
      </w:pP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CD046</w:t>
      </w:r>
      <w:r>
        <w:rPr>
          <w:rFonts w:eastAsiaTheme="minorEastAsia"/>
          <w:color w:val="000000" w:themeColor="text1"/>
          <w:sz w:val="24"/>
        </w:rPr>
        <w:t>（代码：</w:t>
      </w:r>
      <w:r>
        <w:rPr>
          <w:rFonts w:eastAsiaTheme="minorEastAsia"/>
          <w:color w:val="000000" w:themeColor="text1"/>
          <w:sz w:val="24"/>
        </w:rPr>
        <w:t>111908046</w:t>
      </w:r>
      <w:r>
        <w:rPr>
          <w:rFonts w:eastAsiaTheme="minorEastAsia"/>
          <w:color w:val="000000" w:themeColor="text1"/>
          <w:sz w:val="24"/>
        </w:rPr>
        <w:t>）是易方达增金宝货币市场基金的前十大持仓证券。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19</w:t>
      </w:r>
      <w:r>
        <w:rPr>
          <w:rFonts w:eastAsiaTheme="minorEastAsia"/>
          <w:color w:val="000000" w:themeColor="text1"/>
          <w:sz w:val="24"/>
        </w:rPr>
        <w:t>日，中国银行保险监督管理委员会针对中信银行股份有限公司的如下违法违规行为作出罚款</w:t>
      </w:r>
      <w:r>
        <w:rPr>
          <w:rFonts w:eastAsiaTheme="minorEastAsia"/>
          <w:color w:val="000000" w:themeColor="text1"/>
          <w:sz w:val="24"/>
        </w:rPr>
        <w:t>2280</w:t>
      </w:r>
      <w:r>
        <w:rPr>
          <w:rFonts w:eastAsiaTheme="minorEastAsia"/>
          <w:color w:val="000000" w:themeColor="text1"/>
          <w:sz w:val="24"/>
        </w:rPr>
        <w:t>万元的行政处罚决定：（一）理财资金违规缴纳土地款；（二）自有资金融资违规缴纳土地款；（三）为非保本理财产品提供保本承诺；（</w:t>
      </w:r>
      <w:r>
        <w:rPr>
          <w:rFonts w:eastAsiaTheme="minorEastAsia"/>
          <w:color w:val="000000" w:themeColor="text1"/>
          <w:sz w:val="24"/>
        </w:rPr>
        <w:t>四）本行信贷资金为理财产品提供融资；（五）收益权转让业务违规提供信用担保；（六）项目投资审核严重缺位。</w:t>
      </w:r>
      <w:r>
        <w:rPr>
          <w:rFonts w:eastAsiaTheme="minorEastAsia"/>
          <w:color w:val="000000" w:themeColor="text1"/>
          <w:sz w:val="24"/>
        </w:rPr>
        <w:t xml:space="preserve"> 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3</w:t>
      </w:r>
      <w:r>
        <w:rPr>
          <w:rFonts w:eastAsiaTheme="minorEastAsia"/>
          <w:color w:val="000000" w:themeColor="text1"/>
          <w:sz w:val="24"/>
        </w:rPr>
        <w:t>日，中国银行保险监督管理委员会针对中信银行股份有限公司的如下违法违规行为，作出</w:t>
      </w:r>
      <w:r>
        <w:rPr>
          <w:rFonts w:eastAsiaTheme="minorEastAsia"/>
          <w:color w:val="000000" w:themeColor="text1"/>
          <w:sz w:val="24"/>
        </w:rPr>
        <w:t>“</w:t>
      </w:r>
      <w:r>
        <w:rPr>
          <w:rFonts w:eastAsiaTheme="minorEastAsia"/>
          <w:color w:val="000000" w:themeColor="text1"/>
          <w:sz w:val="24"/>
        </w:rPr>
        <w:t>没收违法所得</w:t>
      </w:r>
      <w:r>
        <w:rPr>
          <w:rFonts w:eastAsiaTheme="minorEastAsia"/>
          <w:color w:val="000000" w:themeColor="text1"/>
          <w:sz w:val="24"/>
        </w:rPr>
        <w:t>33.6677</w:t>
      </w:r>
      <w:r>
        <w:rPr>
          <w:rFonts w:eastAsiaTheme="minorEastAsia"/>
          <w:color w:val="000000" w:themeColor="text1"/>
          <w:sz w:val="24"/>
        </w:rPr>
        <w:t>万元，罚款</w:t>
      </w:r>
      <w:r>
        <w:rPr>
          <w:rFonts w:eastAsiaTheme="minorEastAsia"/>
          <w:color w:val="000000" w:themeColor="text1"/>
          <w:sz w:val="24"/>
        </w:rPr>
        <w:t>2190</w:t>
      </w:r>
      <w:r>
        <w:rPr>
          <w:rFonts w:eastAsiaTheme="minorEastAsia"/>
          <w:color w:val="000000" w:themeColor="text1"/>
          <w:sz w:val="24"/>
        </w:rPr>
        <w:t>万元，合计</w:t>
      </w:r>
      <w:r>
        <w:rPr>
          <w:rFonts w:eastAsiaTheme="minorEastAsia"/>
          <w:color w:val="000000" w:themeColor="text1"/>
          <w:sz w:val="24"/>
        </w:rPr>
        <w:t>2223.6677</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的行政处罚决定：（一）未按规定提供报表且逾期未改正</w:t>
      </w:r>
      <w:r>
        <w:rPr>
          <w:rFonts w:eastAsiaTheme="minorEastAsia"/>
          <w:color w:val="000000" w:themeColor="text1"/>
          <w:sz w:val="24"/>
        </w:rPr>
        <w:t>;</w:t>
      </w:r>
      <w:r>
        <w:rPr>
          <w:rFonts w:eastAsiaTheme="minorEastAsia"/>
          <w:color w:val="000000" w:themeColor="text1"/>
          <w:sz w:val="24"/>
        </w:rPr>
        <w:t>（二）错报、漏报银行业监管统计资料；（三）未向监管部门报告重要信息系统运营中断事件</w:t>
      </w:r>
      <w:r>
        <w:rPr>
          <w:rFonts w:eastAsiaTheme="minorEastAsia"/>
          <w:color w:val="000000" w:themeColor="text1"/>
          <w:sz w:val="24"/>
        </w:rPr>
        <w:t>;</w:t>
      </w:r>
      <w:r>
        <w:rPr>
          <w:rFonts w:eastAsiaTheme="minorEastAsia"/>
          <w:color w:val="000000" w:themeColor="text1"/>
          <w:sz w:val="24"/>
        </w:rPr>
        <w:t>（四）信息系统控制存在较大安全漏洞，未做到有效的安全控制</w:t>
      </w:r>
      <w:r>
        <w:rPr>
          <w:rFonts w:eastAsiaTheme="minorEastAsia"/>
          <w:color w:val="000000" w:themeColor="text1"/>
          <w:sz w:val="24"/>
        </w:rPr>
        <w:t>;</w:t>
      </w:r>
      <w:r>
        <w:rPr>
          <w:rFonts w:eastAsiaTheme="minorEastAsia"/>
          <w:color w:val="000000" w:themeColor="text1"/>
          <w:sz w:val="24"/>
        </w:rPr>
        <w:t>（五）未按企业划型标准将多家企业划分为小</w:t>
      </w:r>
      <w:r>
        <w:rPr>
          <w:rFonts w:eastAsiaTheme="minorEastAsia"/>
          <w:color w:val="000000" w:themeColor="text1"/>
          <w:sz w:val="24"/>
        </w:rPr>
        <w:t>微型企业，报送监管数据不真实</w:t>
      </w:r>
      <w:r>
        <w:rPr>
          <w:rFonts w:eastAsiaTheme="minorEastAsia"/>
          <w:color w:val="000000" w:themeColor="text1"/>
          <w:sz w:val="24"/>
        </w:rPr>
        <w:t>;</w:t>
      </w:r>
      <w:r>
        <w:rPr>
          <w:rFonts w:eastAsiaTheme="minorEastAsia"/>
          <w:color w:val="000000" w:themeColor="text1"/>
          <w:sz w:val="24"/>
        </w:rPr>
        <w:t>（六）向关系人发放信用贷款、向关系人发放担保贷款的条件优于其他借款人同类贷款条件</w:t>
      </w:r>
      <w:r>
        <w:rPr>
          <w:rFonts w:eastAsiaTheme="minorEastAsia"/>
          <w:color w:val="000000" w:themeColor="text1"/>
          <w:sz w:val="24"/>
        </w:rPr>
        <w:t>;</w:t>
      </w:r>
      <w:r>
        <w:rPr>
          <w:rFonts w:eastAsiaTheme="minorEastAsia"/>
          <w:color w:val="000000" w:themeColor="text1"/>
          <w:sz w:val="24"/>
        </w:rPr>
        <w:t>（七）重大关联交易未按规定审查审批且未向监管部门报告</w:t>
      </w:r>
      <w:r>
        <w:rPr>
          <w:rFonts w:eastAsiaTheme="minorEastAsia"/>
          <w:color w:val="000000" w:themeColor="text1"/>
          <w:sz w:val="24"/>
        </w:rPr>
        <w:t>;</w:t>
      </w:r>
      <w:r>
        <w:rPr>
          <w:rFonts w:eastAsiaTheme="minorEastAsia"/>
          <w:color w:val="000000" w:themeColor="text1"/>
          <w:sz w:val="24"/>
        </w:rPr>
        <w:t>（八）贷后管理不到位导致贷款资金被挪用</w:t>
      </w:r>
      <w:r>
        <w:rPr>
          <w:rFonts w:eastAsiaTheme="minorEastAsia"/>
          <w:color w:val="000000" w:themeColor="text1"/>
          <w:sz w:val="24"/>
        </w:rPr>
        <w:t>;</w:t>
      </w:r>
      <w:r>
        <w:rPr>
          <w:rFonts w:eastAsiaTheme="minorEastAsia"/>
          <w:color w:val="000000" w:themeColor="text1"/>
          <w:sz w:val="24"/>
        </w:rPr>
        <w:t>（九）以流动资金贷款名义发放房地产开发贷款</w:t>
      </w:r>
      <w:r>
        <w:rPr>
          <w:rFonts w:eastAsiaTheme="minorEastAsia"/>
          <w:color w:val="000000" w:themeColor="text1"/>
          <w:sz w:val="24"/>
        </w:rPr>
        <w:t>;</w:t>
      </w:r>
      <w:r>
        <w:rPr>
          <w:rFonts w:eastAsiaTheme="minorEastAsia"/>
          <w:color w:val="000000" w:themeColor="text1"/>
          <w:sz w:val="24"/>
        </w:rPr>
        <w:t>（十）未将房地产企业贷款计入房地产开发贷款科目</w:t>
      </w:r>
      <w:r>
        <w:rPr>
          <w:rFonts w:eastAsiaTheme="minorEastAsia"/>
          <w:color w:val="000000" w:themeColor="text1"/>
          <w:sz w:val="24"/>
        </w:rPr>
        <w:t>;</w:t>
      </w:r>
      <w:r>
        <w:rPr>
          <w:rFonts w:eastAsiaTheme="minorEastAsia"/>
          <w:color w:val="000000" w:themeColor="text1"/>
          <w:sz w:val="24"/>
        </w:rPr>
        <w:lastRenderedPageBreak/>
        <w:t>（十一）投资同一家银行机构同期非保本理财产品采用风险权重不一致</w:t>
      </w:r>
      <w:r>
        <w:rPr>
          <w:rFonts w:eastAsiaTheme="minorEastAsia"/>
          <w:color w:val="000000" w:themeColor="text1"/>
          <w:sz w:val="24"/>
        </w:rPr>
        <w:t>;</w:t>
      </w:r>
      <w:r>
        <w:rPr>
          <w:rFonts w:eastAsiaTheme="minorEastAsia"/>
          <w:color w:val="000000" w:themeColor="text1"/>
          <w:sz w:val="24"/>
        </w:rPr>
        <w:t>（十二）购买非保本理财产品签订可提前赎回协议，未准确计量风险加权资产</w:t>
      </w:r>
      <w:r>
        <w:rPr>
          <w:rFonts w:eastAsiaTheme="minorEastAsia"/>
          <w:color w:val="000000" w:themeColor="text1"/>
          <w:sz w:val="24"/>
        </w:rPr>
        <w:t>;</w:t>
      </w:r>
      <w:r>
        <w:rPr>
          <w:rFonts w:eastAsiaTheme="minorEastAsia"/>
          <w:color w:val="000000" w:themeColor="text1"/>
          <w:sz w:val="24"/>
        </w:rPr>
        <w:t>（十三）未按规定计提资产支持证券业务的风险加权资产。</w:t>
      </w:r>
    </w:p>
    <w:p w:rsidR="00384C82" w:rsidRDefault="002B7D03">
      <w:pPr>
        <w:widowControl/>
        <w:spacing w:line="360" w:lineRule="auto"/>
        <w:rPr>
          <w:rFonts w:eastAsiaTheme="minorEastAsia"/>
          <w:color w:val="000000" w:themeColor="text1"/>
          <w:sz w:val="24"/>
        </w:rPr>
      </w:pPr>
      <w:r>
        <w:rPr>
          <w:rFonts w:eastAsiaTheme="minorEastAsia"/>
          <w:color w:val="000000" w:themeColor="text1"/>
          <w:sz w:val="24"/>
        </w:rPr>
        <w:t>本基金投资</w:t>
      </w:r>
      <w:r>
        <w:rPr>
          <w:rFonts w:eastAsiaTheme="minorEastAsia"/>
          <w:color w:val="000000" w:themeColor="text1"/>
          <w:sz w:val="24"/>
        </w:rPr>
        <w:t>19</w:t>
      </w:r>
      <w:r>
        <w:rPr>
          <w:rFonts w:eastAsiaTheme="minorEastAsia"/>
          <w:color w:val="000000" w:themeColor="text1"/>
          <w:sz w:val="24"/>
        </w:rPr>
        <w:t>建设银行</w:t>
      </w:r>
      <w:r>
        <w:rPr>
          <w:rFonts w:eastAsiaTheme="minorEastAsia"/>
          <w:color w:val="000000" w:themeColor="text1"/>
          <w:sz w:val="24"/>
        </w:rPr>
        <w:t>CD</w:t>
      </w:r>
      <w:r>
        <w:rPr>
          <w:rFonts w:eastAsiaTheme="minorEastAsia"/>
          <w:color w:val="000000" w:themeColor="text1"/>
          <w:sz w:val="24"/>
        </w:rPr>
        <w:t>027</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CD103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CD043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CD119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CD099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CD046</w:t>
      </w:r>
      <w:r>
        <w:rPr>
          <w:rFonts w:eastAsiaTheme="minorEastAsia"/>
          <w:color w:val="000000" w:themeColor="text1"/>
          <w:sz w:val="24"/>
        </w:rPr>
        <w:t>的投资决策程序符合公司投资制度的规定。</w:t>
      </w:r>
    </w:p>
    <w:p w:rsidR="00384C82" w:rsidRDefault="002B7D03">
      <w:pPr>
        <w:widowControl/>
        <w:spacing w:line="360" w:lineRule="auto"/>
        <w:rPr>
          <w:rFonts w:eastAsiaTheme="minorEastAsia"/>
          <w:color w:val="000000" w:themeColor="text1"/>
          <w:sz w:val="24"/>
        </w:rPr>
      </w:pPr>
      <w:r>
        <w:rPr>
          <w:rFonts w:eastAsiaTheme="minorEastAsia"/>
          <w:color w:val="000000" w:themeColor="text1"/>
          <w:sz w:val="24"/>
        </w:rPr>
        <w:t>除</w:t>
      </w:r>
      <w:r>
        <w:rPr>
          <w:rFonts w:eastAsiaTheme="minorEastAsia"/>
          <w:color w:val="000000" w:themeColor="text1"/>
          <w:sz w:val="24"/>
        </w:rPr>
        <w:t>19</w:t>
      </w:r>
      <w:r>
        <w:rPr>
          <w:rFonts w:eastAsiaTheme="minorEastAsia"/>
          <w:color w:val="000000" w:themeColor="text1"/>
          <w:sz w:val="24"/>
        </w:rPr>
        <w:t>建设银行</w:t>
      </w:r>
      <w:r>
        <w:rPr>
          <w:rFonts w:eastAsiaTheme="minorEastAsia"/>
          <w:color w:val="000000" w:themeColor="text1"/>
          <w:sz w:val="24"/>
        </w:rPr>
        <w:t>CD027</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CD103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CD043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CD119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CD099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CD046</w:t>
      </w:r>
      <w:r>
        <w:rPr>
          <w:rFonts w:eastAsiaTheme="minorEastAsia"/>
          <w:color w:val="000000" w:themeColor="text1"/>
          <w:sz w:val="24"/>
        </w:rPr>
        <w:t>外，本基金投资的前十名证券的发行主体本期没有出现被监管部门立案调查，或在报告编制日前一年内受到公开谴责、处罚的情形。</w:t>
      </w:r>
    </w:p>
    <w:p w:rsidR="00701DE9" w:rsidRPr="00DA3FE3" w:rsidRDefault="00701DE9" w:rsidP="00B76977">
      <w:pPr>
        <w:spacing w:line="360" w:lineRule="auto"/>
        <w:rPr>
          <w:bCs/>
          <w:sz w:val="24"/>
        </w:rPr>
      </w:pPr>
      <w:r w:rsidRPr="00DA3FE3">
        <w:rPr>
          <w:sz w:val="24"/>
        </w:rPr>
        <w:t>5.9.3</w:t>
      </w:r>
      <w:r w:rsidRPr="00DA3FE3">
        <w:rPr>
          <w:sz w:val="24"/>
        </w:rPr>
        <w:t>其他各项资产构成</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2"/>
        <w:gridCol w:w="3535"/>
        <w:gridCol w:w="4808"/>
      </w:tblGrid>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7"/>
              <w:jc w:val="center"/>
              <w:rPr>
                <w:color w:val="000000"/>
                <w:kern w:val="0"/>
                <w:sz w:val="24"/>
              </w:rPr>
            </w:pPr>
            <w:r w:rsidRPr="009F4D34">
              <w:rPr>
                <w:color w:val="000000"/>
                <w:kern w:val="0"/>
                <w:sz w:val="24"/>
              </w:rPr>
              <w:t>序号</w:t>
            </w:r>
          </w:p>
        </w:tc>
        <w:tc>
          <w:tcPr>
            <w:tcW w:w="3535" w:type="dxa"/>
            <w:vAlign w:val="center"/>
          </w:tcPr>
          <w:p w:rsidR="00701DE9" w:rsidRPr="009F4D34" w:rsidRDefault="00701DE9" w:rsidP="000E5E52">
            <w:pPr>
              <w:autoSpaceDE w:val="0"/>
              <w:autoSpaceDN w:val="0"/>
              <w:adjustRightInd w:val="0"/>
              <w:spacing w:before="29" w:line="360" w:lineRule="auto"/>
              <w:ind w:left="17"/>
              <w:jc w:val="center"/>
              <w:rPr>
                <w:color w:val="000000"/>
                <w:kern w:val="0"/>
                <w:sz w:val="24"/>
              </w:rPr>
            </w:pPr>
            <w:r w:rsidRPr="009F4D34">
              <w:rPr>
                <w:color w:val="000000"/>
                <w:kern w:val="0"/>
                <w:sz w:val="24"/>
              </w:rPr>
              <w:t>名称</w:t>
            </w:r>
          </w:p>
        </w:tc>
        <w:tc>
          <w:tcPr>
            <w:tcW w:w="4808" w:type="dxa"/>
            <w:vAlign w:val="center"/>
          </w:tcPr>
          <w:p w:rsidR="00701DE9" w:rsidRPr="009F4D34" w:rsidRDefault="00701DE9" w:rsidP="000E5E52">
            <w:pPr>
              <w:autoSpaceDE w:val="0"/>
              <w:autoSpaceDN w:val="0"/>
              <w:adjustRightInd w:val="0"/>
              <w:spacing w:before="29" w:line="360" w:lineRule="auto"/>
              <w:ind w:left="17"/>
              <w:jc w:val="center"/>
              <w:rPr>
                <w:color w:val="000000"/>
                <w:kern w:val="0"/>
                <w:sz w:val="24"/>
              </w:rPr>
            </w:pPr>
            <w:r w:rsidRPr="009F4D34">
              <w:rPr>
                <w:color w:val="000000"/>
                <w:kern w:val="0"/>
                <w:sz w:val="24"/>
              </w:rPr>
              <w:t>金额</w:t>
            </w:r>
            <w:r w:rsidR="009327CC" w:rsidRPr="009F4D34">
              <w:rPr>
                <w:color w:val="000000"/>
                <w:kern w:val="0"/>
                <w:sz w:val="24"/>
              </w:rPr>
              <w:t>（元）</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kern w:val="0"/>
                <w:sz w:val="24"/>
              </w:rPr>
            </w:pPr>
            <w:r w:rsidRPr="009F4D34">
              <w:rPr>
                <w:color w:val="000000"/>
                <w:sz w:val="24"/>
              </w:rPr>
              <w:t>1</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存出保证金</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2</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应收证券清算款</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3</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应收利息</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11,118,576.44</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4</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应收申购款</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277,556.60</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5</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其他应收款</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390.00</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6</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待摊费用</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7</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其他</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w:t>
            </w:r>
          </w:p>
        </w:tc>
      </w:tr>
      <w:tr w:rsidR="00701DE9" w:rsidRPr="006662B2" w:rsidTr="000E5E52">
        <w:tc>
          <w:tcPr>
            <w:tcW w:w="942" w:type="dxa"/>
            <w:vAlign w:val="center"/>
          </w:tcPr>
          <w:p w:rsidR="00701DE9" w:rsidRPr="009F4D34" w:rsidRDefault="00701DE9" w:rsidP="000E5E52">
            <w:pPr>
              <w:autoSpaceDE w:val="0"/>
              <w:autoSpaceDN w:val="0"/>
              <w:adjustRightInd w:val="0"/>
              <w:spacing w:before="29" w:line="360" w:lineRule="auto"/>
              <w:ind w:left="15"/>
              <w:jc w:val="center"/>
              <w:rPr>
                <w:color w:val="000000"/>
                <w:sz w:val="24"/>
              </w:rPr>
            </w:pPr>
            <w:r w:rsidRPr="009F4D34">
              <w:rPr>
                <w:color w:val="000000"/>
                <w:sz w:val="24"/>
              </w:rPr>
              <w:t>8</w:t>
            </w:r>
          </w:p>
        </w:tc>
        <w:tc>
          <w:tcPr>
            <w:tcW w:w="3535" w:type="dxa"/>
            <w:vAlign w:val="center"/>
          </w:tcPr>
          <w:p w:rsidR="00701DE9" w:rsidRPr="009F4D34" w:rsidRDefault="00701DE9" w:rsidP="000E5E52">
            <w:pPr>
              <w:autoSpaceDE w:val="0"/>
              <w:autoSpaceDN w:val="0"/>
              <w:adjustRightInd w:val="0"/>
              <w:spacing w:before="29" w:line="360" w:lineRule="auto"/>
              <w:ind w:left="15"/>
              <w:jc w:val="left"/>
              <w:rPr>
                <w:color w:val="000000"/>
                <w:kern w:val="0"/>
                <w:sz w:val="24"/>
              </w:rPr>
            </w:pPr>
            <w:r w:rsidRPr="009F4D34">
              <w:rPr>
                <w:color w:val="000000"/>
                <w:kern w:val="0"/>
                <w:sz w:val="24"/>
              </w:rPr>
              <w:t>合计</w:t>
            </w:r>
          </w:p>
        </w:tc>
        <w:tc>
          <w:tcPr>
            <w:tcW w:w="4808" w:type="dxa"/>
            <w:vAlign w:val="center"/>
          </w:tcPr>
          <w:p w:rsidR="00701DE9" w:rsidRPr="009F4D34" w:rsidRDefault="00701DE9" w:rsidP="000E5E52">
            <w:pPr>
              <w:autoSpaceDE w:val="0"/>
              <w:autoSpaceDN w:val="0"/>
              <w:adjustRightInd w:val="0"/>
              <w:spacing w:before="29" w:line="360" w:lineRule="auto"/>
              <w:ind w:left="15"/>
              <w:jc w:val="right"/>
              <w:rPr>
                <w:color w:val="000000"/>
                <w:kern w:val="0"/>
                <w:sz w:val="24"/>
              </w:rPr>
            </w:pPr>
            <w:r w:rsidRPr="009F4D34">
              <w:rPr>
                <w:color w:val="000000"/>
                <w:kern w:val="0"/>
                <w:sz w:val="24"/>
              </w:rPr>
              <w:t>11,396,523.04</w:t>
            </w:r>
          </w:p>
        </w:tc>
      </w:tr>
    </w:tbl>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Pr>
          <w:rFonts w:ascii="宋体" w:hAnsi="宋体" w:cs="Arial"/>
          <w:color w:val="000000"/>
          <w:kern w:val="0"/>
          <w:sz w:val="24"/>
          <w:szCs w:val="24"/>
        </w:rPr>
        <w:t>6</w:t>
      </w:r>
      <w:r w:rsidR="005D6999" w:rsidRPr="006662B2">
        <w:rPr>
          <w:rFonts w:ascii="宋体" w:hAnsi="宋体" w:cs="Arial"/>
          <w:color w:val="000000"/>
          <w:kern w:val="0"/>
          <w:sz w:val="24"/>
          <w:szCs w:val="24"/>
        </w:rPr>
        <w:t xml:space="preserve">  </w:t>
      </w:r>
      <w:r w:rsidRPr="006662B2">
        <w:rPr>
          <w:rFonts w:ascii="宋体" w:hAnsi="宋体" w:cs="Arial" w:hint="eastAsia"/>
          <w:color w:val="000000"/>
          <w:kern w:val="0"/>
          <w:sz w:val="24"/>
          <w:szCs w:val="24"/>
        </w:rPr>
        <w:t>开放式基金份额变动</w:t>
      </w:r>
    </w:p>
    <w:p w:rsidR="00701DE9" w:rsidRPr="006662B2" w:rsidRDefault="00701DE9" w:rsidP="00814461">
      <w:pPr>
        <w:autoSpaceDE w:val="0"/>
        <w:autoSpaceDN w:val="0"/>
        <w:adjustRightInd w:val="0"/>
        <w:spacing w:before="29" w:line="360" w:lineRule="auto"/>
        <w:ind w:left="15"/>
        <w:jc w:val="right"/>
        <w:rPr>
          <w:rFonts w:ascii="宋体" w:cs="Arial"/>
          <w:color w:val="000000"/>
          <w:kern w:val="0"/>
          <w:sz w:val="24"/>
        </w:rPr>
      </w:pPr>
      <w:r w:rsidRPr="006662B2">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4609"/>
        <w:gridCol w:w="4025"/>
      </w:tblGrid>
      <w:tr w:rsidR="00701DE9" w:rsidRPr="00264E55" w:rsidTr="00587524">
        <w:tc>
          <w:tcPr>
            <w:tcW w:w="4609"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left"/>
              <w:rPr>
                <w:color w:val="000000"/>
                <w:kern w:val="0"/>
                <w:sz w:val="24"/>
              </w:rPr>
            </w:pPr>
            <w:r w:rsidRPr="009F4D34">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right"/>
              <w:rPr>
                <w:color w:val="000000"/>
                <w:sz w:val="24"/>
              </w:rPr>
            </w:pPr>
            <w:r w:rsidRPr="009F4D34">
              <w:rPr>
                <w:color w:val="000000"/>
                <w:sz w:val="24"/>
              </w:rPr>
              <w:t>3,482,934,826.23</w:t>
            </w:r>
          </w:p>
        </w:tc>
      </w:tr>
      <w:tr w:rsidR="00701DE9" w:rsidRPr="00264E55" w:rsidTr="00650A4F">
        <w:tc>
          <w:tcPr>
            <w:tcW w:w="4609" w:type="dxa"/>
            <w:tcBorders>
              <w:top w:val="single" w:sz="8" w:space="0" w:color="000000"/>
              <w:left w:val="single" w:sz="8" w:space="0" w:color="000000"/>
              <w:bottom w:val="single" w:sz="8" w:space="0" w:color="000000"/>
              <w:right w:val="single" w:sz="8" w:space="0" w:color="000000"/>
            </w:tcBorders>
          </w:tcPr>
          <w:p w:rsidR="00701DE9" w:rsidRPr="009F4D34" w:rsidRDefault="00701DE9" w:rsidP="00D25A77">
            <w:pPr>
              <w:adjustRightInd w:val="0"/>
              <w:snapToGrid w:val="0"/>
              <w:spacing w:line="340" w:lineRule="exact"/>
              <w:rPr>
                <w:color w:val="000000"/>
                <w:sz w:val="24"/>
              </w:rPr>
            </w:pPr>
            <w:r w:rsidRPr="009F4D34">
              <w:rPr>
                <w:color w:val="000000"/>
                <w:kern w:val="0"/>
                <w:sz w:val="24"/>
              </w:rPr>
              <w:t>报告期</w:t>
            </w:r>
            <w:r w:rsidRPr="009F4D34">
              <w:rPr>
                <w:color w:val="00000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right"/>
              <w:rPr>
                <w:color w:val="000000"/>
                <w:sz w:val="24"/>
              </w:rPr>
            </w:pPr>
            <w:r w:rsidRPr="009F4D34">
              <w:rPr>
                <w:color w:val="000000"/>
                <w:sz w:val="24"/>
              </w:rPr>
              <w:t>692,050,842.48</w:t>
            </w:r>
          </w:p>
        </w:tc>
      </w:tr>
      <w:tr w:rsidR="00701DE9" w:rsidRPr="00264E55" w:rsidTr="00650A4F">
        <w:tc>
          <w:tcPr>
            <w:tcW w:w="4609" w:type="dxa"/>
            <w:tcBorders>
              <w:top w:val="single" w:sz="8" w:space="0" w:color="000000"/>
              <w:left w:val="single" w:sz="8" w:space="0" w:color="000000"/>
              <w:bottom w:val="single" w:sz="8" w:space="0" w:color="000000"/>
              <w:right w:val="single" w:sz="8" w:space="0" w:color="000000"/>
            </w:tcBorders>
          </w:tcPr>
          <w:p w:rsidR="00701DE9" w:rsidRPr="009F4D34" w:rsidRDefault="00701DE9" w:rsidP="00D25A77">
            <w:pPr>
              <w:adjustRightInd w:val="0"/>
              <w:snapToGrid w:val="0"/>
              <w:spacing w:line="340" w:lineRule="exact"/>
              <w:rPr>
                <w:color w:val="000000"/>
                <w:sz w:val="24"/>
              </w:rPr>
            </w:pPr>
            <w:r w:rsidRPr="009F4D34">
              <w:rPr>
                <w:color w:val="000000"/>
                <w:kern w:val="0"/>
                <w:sz w:val="24"/>
              </w:rPr>
              <w:t>报告期</w:t>
            </w:r>
            <w:r w:rsidRPr="009F4D34">
              <w:rPr>
                <w:color w:val="00000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right"/>
              <w:rPr>
                <w:color w:val="000000"/>
                <w:sz w:val="24"/>
              </w:rPr>
            </w:pPr>
            <w:r w:rsidRPr="009F4D34">
              <w:rPr>
                <w:color w:val="000000"/>
                <w:sz w:val="24"/>
              </w:rPr>
              <w:t>1,819,600,078.99</w:t>
            </w:r>
          </w:p>
        </w:tc>
      </w:tr>
      <w:tr w:rsidR="00701DE9" w:rsidRPr="00264E55" w:rsidTr="00650A4F">
        <w:tc>
          <w:tcPr>
            <w:tcW w:w="4609" w:type="dxa"/>
            <w:tcBorders>
              <w:top w:val="single" w:sz="8" w:space="0" w:color="000000"/>
              <w:left w:val="single" w:sz="8" w:space="0" w:color="000000"/>
              <w:bottom w:val="single" w:sz="8" w:space="0" w:color="000000"/>
              <w:right w:val="single" w:sz="8" w:space="0" w:color="000000"/>
            </w:tcBorders>
          </w:tcPr>
          <w:p w:rsidR="00701DE9" w:rsidRPr="009F4D34" w:rsidRDefault="00701DE9" w:rsidP="00587524">
            <w:pPr>
              <w:adjustRightInd w:val="0"/>
              <w:snapToGrid w:val="0"/>
              <w:spacing w:line="340" w:lineRule="exact"/>
              <w:rPr>
                <w:color w:val="000000"/>
                <w:sz w:val="24"/>
              </w:rPr>
            </w:pPr>
            <w:r w:rsidRPr="009F4D34">
              <w:rPr>
                <w:color w:val="00000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01DE9" w:rsidRPr="009F4D34" w:rsidRDefault="00701DE9" w:rsidP="00587524">
            <w:pPr>
              <w:autoSpaceDE w:val="0"/>
              <w:autoSpaceDN w:val="0"/>
              <w:adjustRightInd w:val="0"/>
              <w:spacing w:before="29" w:line="360" w:lineRule="auto"/>
              <w:ind w:left="17"/>
              <w:jc w:val="right"/>
              <w:rPr>
                <w:color w:val="000000"/>
                <w:sz w:val="24"/>
              </w:rPr>
            </w:pPr>
            <w:r w:rsidRPr="009F4D34">
              <w:rPr>
                <w:color w:val="000000"/>
                <w:sz w:val="24"/>
              </w:rPr>
              <w:t>2,355,385,589.72</w:t>
            </w:r>
          </w:p>
        </w:tc>
      </w:tr>
    </w:tbl>
    <w:p w:rsidR="00701DE9" w:rsidRPr="00264E55" w:rsidRDefault="00701DE9" w:rsidP="00305CB5">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lastRenderedPageBreak/>
        <w:t>§</w:t>
      </w:r>
      <w:r w:rsidRPr="00264E55">
        <w:rPr>
          <w:rFonts w:ascii="宋体"/>
          <w:color w:val="000000"/>
          <w:kern w:val="0"/>
          <w:sz w:val="24"/>
          <w:szCs w:val="24"/>
        </w:rPr>
        <w:t>7</w:t>
      </w:r>
      <w:r w:rsidR="005D6999" w:rsidRPr="006662B2">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701DE9" w:rsidRPr="009B5A25" w:rsidRDefault="00701DE9" w:rsidP="009B5A25">
      <w:pPr>
        <w:spacing w:line="360" w:lineRule="auto"/>
        <w:ind w:firstLineChars="200" w:firstLine="480"/>
        <w:rPr>
          <w:color w:val="000000"/>
          <w:sz w:val="24"/>
        </w:rPr>
      </w:pPr>
      <w:r w:rsidRPr="009B5A25">
        <w:rPr>
          <w:color w:val="000000"/>
          <w:sz w:val="24"/>
        </w:rPr>
        <w:t>本报告期内基金管理人未运用固有资金申购、赎回、买卖本基金份额。</w:t>
      </w:r>
    </w:p>
    <w:p w:rsidR="00701DE9" w:rsidRPr="006662B2" w:rsidRDefault="00701DE9" w:rsidP="00305CB5">
      <w:pPr>
        <w:pStyle w:val="1"/>
        <w:spacing w:beforeLines="100" w:before="312" w:afterLines="100" w:after="312" w:line="360" w:lineRule="auto"/>
        <w:jc w:val="center"/>
        <w:rPr>
          <w:rFonts w:ascii="宋体" w:cs="Arial"/>
          <w:color w:val="000000"/>
          <w:kern w:val="0"/>
          <w:sz w:val="24"/>
          <w:szCs w:val="24"/>
        </w:rPr>
      </w:pPr>
      <w:r w:rsidRPr="006662B2">
        <w:rPr>
          <w:rFonts w:ascii="宋体" w:hAnsi="宋体" w:cs="Arial" w:hint="eastAsia"/>
          <w:color w:val="000000"/>
          <w:kern w:val="0"/>
          <w:sz w:val="24"/>
          <w:szCs w:val="24"/>
        </w:rPr>
        <w:t>§</w:t>
      </w:r>
      <w:r w:rsidRPr="006662B2">
        <w:rPr>
          <w:rFonts w:ascii="宋体" w:hAnsi="宋体" w:cs="Arial"/>
          <w:color w:val="000000"/>
          <w:kern w:val="0"/>
          <w:sz w:val="24"/>
          <w:szCs w:val="24"/>
        </w:rPr>
        <w:t>8</w:t>
      </w:r>
      <w:r w:rsidR="005D6999" w:rsidRPr="006662B2">
        <w:rPr>
          <w:rFonts w:ascii="宋体" w:hAnsi="宋体" w:cs="Arial"/>
          <w:color w:val="000000"/>
          <w:kern w:val="0"/>
          <w:sz w:val="24"/>
          <w:szCs w:val="24"/>
        </w:rPr>
        <w:t xml:space="preserve">  </w:t>
      </w:r>
      <w:r w:rsidRPr="006662B2">
        <w:rPr>
          <w:rFonts w:ascii="宋体" w:hAnsi="宋体" w:cs="Arial" w:hint="eastAsia"/>
          <w:color w:val="000000"/>
          <w:kern w:val="0"/>
          <w:sz w:val="24"/>
          <w:szCs w:val="24"/>
        </w:rPr>
        <w:t>备查文件目录</w:t>
      </w:r>
    </w:p>
    <w:p w:rsidR="00701DE9" w:rsidRPr="006662B2" w:rsidRDefault="00701DE9" w:rsidP="004E3ADB">
      <w:pPr>
        <w:autoSpaceDE w:val="0"/>
        <w:autoSpaceDN w:val="0"/>
        <w:adjustRightInd w:val="0"/>
        <w:spacing w:line="360" w:lineRule="auto"/>
        <w:jc w:val="left"/>
        <w:rPr>
          <w:rFonts w:ascii="宋体"/>
          <w:b/>
          <w:bCs/>
          <w:color w:val="000000"/>
          <w:kern w:val="0"/>
          <w:sz w:val="24"/>
        </w:rPr>
      </w:pPr>
      <w:r w:rsidRPr="006662B2">
        <w:rPr>
          <w:rFonts w:ascii="宋体" w:hAnsi="宋体" w:cs="Arial"/>
          <w:b/>
          <w:color w:val="000000"/>
          <w:kern w:val="0"/>
          <w:sz w:val="24"/>
        </w:rPr>
        <w:t>8</w:t>
      </w:r>
      <w:r w:rsidRPr="006662B2">
        <w:rPr>
          <w:rFonts w:ascii="宋体" w:hAnsi="宋体"/>
          <w:b/>
          <w:bCs/>
          <w:color w:val="000000"/>
          <w:kern w:val="0"/>
          <w:sz w:val="24"/>
        </w:rPr>
        <w:t xml:space="preserve">.1 </w:t>
      </w:r>
      <w:r w:rsidRPr="006662B2">
        <w:rPr>
          <w:rFonts w:ascii="宋体" w:hAnsi="宋体" w:hint="eastAsia"/>
          <w:b/>
          <w:bCs/>
          <w:color w:val="000000"/>
          <w:kern w:val="0"/>
          <w:sz w:val="24"/>
        </w:rPr>
        <w:t>备查文件目录</w:t>
      </w:r>
    </w:p>
    <w:p w:rsidR="00384C82" w:rsidRDefault="002B7D03">
      <w:pPr>
        <w:spacing w:line="360" w:lineRule="auto"/>
        <w:ind w:firstLineChars="200" w:firstLine="480"/>
        <w:rPr>
          <w:color w:val="000000"/>
          <w:sz w:val="24"/>
        </w:rPr>
      </w:pPr>
      <w:r>
        <w:rPr>
          <w:color w:val="000000"/>
          <w:sz w:val="24"/>
        </w:rPr>
        <w:t>1.</w:t>
      </w:r>
      <w:r>
        <w:rPr>
          <w:color w:val="000000"/>
          <w:sz w:val="24"/>
        </w:rPr>
        <w:t>中国证监会注册易方达增金宝货币市场基金募集的文件；</w:t>
      </w:r>
    </w:p>
    <w:p w:rsidR="00384C82" w:rsidRDefault="002B7D03">
      <w:pPr>
        <w:spacing w:line="360" w:lineRule="auto"/>
        <w:ind w:firstLineChars="200" w:firstLine="480"/>
        <w:rPr>
          <w:color w:val="000000"/>
          <w:sz w:val="24"/>
        </w:rPr>
      </w:pPr>
      <w:r>
        <w:rPr>
          <w:color w:val="000000"/>
          <w:sz w:val="24"/>
        </w:rPr>
        <w:t>2.</w:t>
      </w:r>
      <w:r>
        <w:rPr>
          <w:color w:val="000000"/>
          <w:sz w:val="24"/>
        </w:rPr>
        <w:t>《易方达增金宝货币市场基金基金合同》；</w:t>
      </w:r>
    </w:p>
    <w:p w:rsidR="00384C82" w:rsidRDefault="002B7D03">
      <w:pPr>
        <w:spacing w:line="360" w:lineRule="auto"/>
        <w:ind w:firstLineChars="200" w:firstLine="480"/>
        <w:rPr>
          <w:color w:val="000000"/>
          <w:sz w:val="24"/>
        </w:rPr>
      </w:pPr>
      <w:r>
        <w:rPr>
          <w:color w:val="000000"/>
          <w:sz w:val="24"/>
        </w:rPr>
        <w:t>3.</w:t>
      </w:r>
      <w:r>
        <w:rPr>
          <w:color w:val="000000"/>
          <w:sz w:val="24"/>
        </w:rPr>
        <w:t>《易方达增金宝货币市场基金托管协议》；</w:t>
      </w:r>
    </w:p>
    <w:p w:rsidR="00384C82" w:rsidRDefault="002B7D03">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701DE9" w:rsidRPr="009F4D34" w:rsidRDefault="00701DE9" w:rsidP="009F4D34">
      <w:pPr>
        <w:spacing w:line="360" w:lineRule="auto"/>
        <w:ind w:firstLineChars="200" w:firstLine="480"/>
        <w:rPr>
          <w:color w:val="000000"/>
          <w:sz w:val="24"/>
        </w:rPr>
      </w:pPr>
      <w:r w:rsidRPr="009B5A25">
        <w:rPr>
          <w:color w:val="000000"/>
          <w:sz w:val="24"/>
        </w:rPr>
        <w:t>5.</w:t>
      </w:r>
      <w:r w:rsidRPr="009B5A25">
        <w:rPr>
          <w:color w:val="000000"/>
          <w:sz w:val="24"/>
        </w:rPr>
        <w:t>基金管理人业务资格批件、营业执照。</w:t>
      </w:r>
    </w:p>
    <w:p w:rsidR="00701DE9" w:rsidRPr="006662B2" w:rsidRDefault="00701DE9" w:rsidP="004E3ADB">
      <w:pPr>
        <w:autoSpaceDE w:val="0"/>
        <w:autoSpaceDN w:val="0"/>
        <w:adjustRightInd w:val="0"/>
        <w:spacing w:line="360" w:lineRule="auto"/>
        <w:jc w:val="left"/>
        <w:rPr>
          <w:rFonts w:ascii="宋体"/>
          <w:b/>
          <w:bCs/>
          <w:color w:val="000000"/>
          <w:kern w:val="0"/>
          <w:sz w:val="24"/>
        </w:rPr>
      </w:pPr>
      <w:r w:rsidRPr="006662B2">
        <w:rPr>
          <w:rFonts w:ascii="宋体" w:hAnsi="宋体" w:cs="Arial"/>
          <w:b/>
          <w:color w:val="000000"/>
          <w:kern w:val="0"/>
          <w:sz w:val="24"/>
        </w:rPr>
        <w:t>8</w:t>
      </w:r>
      <w:r w:rsidRPr="006662B2">
        <w:rPr>
          <w:rFonts w:ascii="宋体" w:hAnsi="宋体"/>
          <w:b/>
          <w:bCs/>
          <w:color w:val="000000"/>
          <w:kern w:val="0"/>
          <w:sz w:val="24"/>
        </w:rPr>
        <w:t xml:space="preserve">.2 </w:t>
      </w:r>
      <w:r w:rsidRPr="006662B2">
        <w:rPr>
          <w:rFonts w:ascii="宋体" w:hAnsi="宋体" w:hint="eastAsia"/>
          <w:b/>
          <w:bCs/>
          <w:color w:val="000000"/>
          <w:kern w:val="0"/>
          <w:sz w:val="24"/>
        </w:rPr>
        <w:t>存放地点</w:t>
      </w:r>
    </w:p>
    <w:p w:rsidR="00701DE9" w:rsidRPr="009F4D34" w:rsidRDefault="00701DE9" w:rsidP="009F4D34">
      <w:pPr>
        <w:spacing w:line="360" w:lineRule="auto"/>
        <w:ind w:firstLineChars="200" w:firstLine="480"/>
        <w:rPr>
          <w:color w:val="000000"/>
          <w:sz w:val="24"/>
        </w:rPr>
      </w:pPr>
      <w:r w:rsidRPr="009B5A25">
        <w:rPr>
          <w:color w:val="000000"/>
          <w:sz w:val="24"/>
        </w:rPr>
        <w:t>广州市天河区珠江新城珠江东路</w:t>
      </w:r>
      <w:r w:rsidRPr="009B5A25">
        <w:rPr>
          <w:color w:val="000000"/>
          <w:sz w:val="24"/>
        </w:rPr>
        <w:t>30</w:t>
      </w:r>
      <w:r w:rsidRPr="009B5A25">
        <w:rPr>
          <w:color w:val="000000"/>
          <w:sz w:val="24"/>
        </w:rPr>
        <w:t>号广州银行大厦</w:t>
      </w:r>
      <w:r w:rsidRPr="009B5A25">
        <w:rPr>
          <w:color w:val="000000"/>
          <w:sz w:val="24"/>
        </w:rPr>
        <w:t>40-43</w:t>
      </w:r>
      <w:r w:rsidRPr="009B5A25">
        <w:rPr>
          <w:color w:val="000000"/>
          <w:sz w:val="24"/>
        </w:rPr>
        <w:t>楼。</w:t>
      </w:r>
    </w:p>
    <w:p w:rsidR="00701DE9" w:rsidRPr="006662B2" w:rsidRDefault="00701DE9" w:rsidP="004E3ADB">
      <w:pPr>
        <w:autoSpaceDE w:val="0"/>
        <w:autoSpaceDN w:val="0"/>
        <w:adjustRightInd w:val="0"/>
        <w:spacing w:line="360" w:lineRule="auto"/>
        <w:jc w:val="left"/>
        <w:rPr>
          <w:rFonts w:ascii="宋体"/>
          <w:b/>
          <w:bCs/>
          <w:color w:val="000000"/>
          <w:kern w:val="0"/>
          <w:sz w:val="24"/>
        </w:rPr>
      </w:pPr>
      <w:r w:rsidRPr="006662B2">
        <w:rPr>
          <w:rFonts w:ascii="宋体" w:hAnsi="宋体" w:cs="Arial"/>
          <w:b/>
          <w:color w:val="000000"/>
          <w:kern w:val="0"/>
          <w:sz w:val="24"/>
        </w:rPr>
        <w:t>8</w:t>
      </w:r>
      <w:r w:rsidRPr="006662B2">
        <w:rPr>
          <w:rFonts w:ascii="宋体" w:hAnsi="宋体"/>
          <w:b/>
          <w:bCs/>
          <w:color w:val="000000"/>
          <w:kern w:val="0"/>
          <w:sz w:val="24"/>
        </w:rPr>
        <w:t xml:space="preserve">.3 </w:t>
      </w:r>
      <w:r w:rsidRPr="006662B2">
        <w:rPr>
          <w:rFonts w:ascii="宋体" w:hAnsi="宋体" w:hint="eastAsia"/>
          <w:b/>
          <w:bCs/>
          <w:color w:val="000000"/>
          <w:kern w:val="0"/>
          <w:sz w:val="24"/>
        </w:rPr>
        <w:t>查阅方式</w:t>
      </w:r>
    </w:p>
    <w:p w:rsidR="00701DE9" w:rsidRPr="009B5A25" w:rsidRDefault="00701DE9" w:rsidP="00EE29A9">
      <w:pPr>
        <w:spacing w:line="360" w:lineRule="auto"/>
        <w:ind w:firstLineChars="200" w:firstLine="480"/>
        <w:rPr>
          <w:color w:val="000000"/>
          <w:sz w:val="24"/>
        </w:rPr>
      </w:pPr>
      <w:r w:rsidRPr="009B5A25">
        <w:rPr>
          <w:color w:val="000000"/>
          <w:sz w:val="24"/>
        </w:rPr>
        <w:t>投资者可在营业时间免费查阅，也可按工本费购买复印件。</w:t>
      </w: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Default="00701DE9" w:rsidP="00814461">
      <w:pPr>
        <w:spacing w:line="360" w:lineRule="auto"/>
        <w:ind w:left="840"/>
        <w:jc w:val="right"/>
        <w:rPr>
          <w:rFonts w:ascii="宋体"/>
          <w:color w:val="000000"/>
          <w:sz w:val="24"/>
        </w:rPr>
      </w:pPr>
    </w:p>
    <w:p w:rsidR="00701DE9" w:rsidRPr="006662B2" w:rsidRDefault="00701DE9" w:rsidP="00814461">
      <w:pPr>
        <w:spacing w:line="360" w:lineRule="auto"/>
        <w:ind w:left="840"/>
        <w:jc w:val="right"/>
        <w:rPr>
          <w:rFonts w:ascii="宋体"/>
          <w:color w:val="000000"/>
          <w:sz w:val="24"/>
        </w:rPr>
      </w:pPr>
    </w:p>
    <w:p w:rsidR="00701DE9" w:rsidRPr="006662B2" w:rsidRDefault="00701DE9" w:rsidP="00814461">
      <w:pPr>
        <w:spacing w:line="360" w:lineRule="auto"/>
        <w:ind w:left="840"/>
        <w:jc w:val="right"/>
        <w:rPr>
          <w:rFonts w:ascii="宋体"/>
          <w:color w:val="000000"/>
          <w:sz w:val="24"/>
        </w:rPr>
      </w:pPr>
    </w:p>
    <w:p w:rsidR="00701DE9" w:rsidRPr="006662B2" w:rsidRDefault="00701DE9" w:rsidP="004E3ADB">
      <w:pPr>
        <w:spacing w:line="360" w:lineRule="auto"/>
        <w:jc w:val="right"/>
        <w:rPr>
          <w:rFonts w:ascii="宋体" w:hAnsi="宋体"/>
          <w:b/>
          <w:bCs/>
          <w:sz w:val="24"/>
        </w:rPr>
      </w:pPr>
      <w:r w:rsidRPr="006662B2">
        <w:rPr>
          <w:rFonts w:ascii="宋体" w:hAnsi="宋体"/>
          <w:b/>
          <w:bCs/>
          <w:sz w:val="24"/>
        </w:rPr>
        <w:t>易方达基金管理有限公司</w:t>
      </w:r>
    </w:p>
    <w:p w:rsidR="00701DE9" w:rsidRPr="006662B2" w:rsidRDefault="00701DE9" w:rsidP="004E3ADB">
      <w:pPr>
        <w:spacing w:line="360" w:lineRule="auto"/>
        <w:jc w:val="right"/>
        <w:rPr>
          <w:rFonts w:ascii="宋体" w:hAnsi="宋体"/>
          <w:b/>
          <w:bCs/>
          <w:sz w:val="24"/>
        </w:rPr>
      </w:pPr>
      <w:r w:rsidRPr="006662B2">
        <w:rPr>
          <w:rFonts w:ascii="宋体" w:hAnsi="宋体"/>
          <w:b/>
          <w:bCs/>
          <w:sz w:val="24"/>
        </w:rPr>
        <w:t>二〇一九年十月二十四日</w:t>
      </w:r>
    </w:p>
    <w:sectPr w:rsidR="00701DE9" w:rsidRPr="006662B2" w:rsidSect="00A13382">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9DB" w:rsidRDefault="008079DB">
      <w:r>
        <w:separator/>
      </w:r>
    </w:p>
  </w:endnote>
  <w:endnote w:type="continuationSeparator" w:id="0">
    <w:p w:rsidR="008079DB" w:rsidRDefault="0080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DE9" w:rsidRPr="001D0DB0" w:rsidRDefault="00701DE9" w:rsidP="001D0DB0">
    <w:pPr>
      <w:pStyle w:val="a5"/>
      <w:jc w:val="center"/>
    </w:pPr>
    <w:r>
      <w:rPr>
        <w:rFonts w:hint="eastAsia"/>
        <w:szCs w:val="21"/>
      </w:rPr>
      <w:t>第</w:t>
    </w:r>
    <w:r w:rsidR="006040BA">
      <w:rPr>
        <w:szCs w:val="21"/>
      </w:rPr>
      <w:fldChar w:fldCharType="begin"/>
    </w:r>
    <w:r>
      <w:rPr>
        <w:szCs w:val="21"/>
      </w:rPr>
      <w:instrText xml:space="preserve"> PAGE </w:instrText>
    </w:r>
    <w:r w:rsidR="006040BA">
      <w:rPr>
        <w:szCs w:val="21"/>
      </w:rPr>
      <w:fldChar w:fldCharType="separate"/>
    </w:r>
    <w:r w:rsidR="002B7D03">
      <w:rPr>
        <w:noProof/>
        <w:szCs w:val="21"/>
      </w:rPr>
      <w:t>1</w:t>
    </w:r>
    <w:r w:rsidR="006040BA">
      <w:rPr>
        <w:szCs w:val="21"/>
      </w:rPr>
      <w:fldChar w:fldCharType="end"/>
    </w:r>
    <w:r>
      <w:rPr>
        <w:rFonts w:hint="eastAsia"/>
        <w:szCs w:val="21"/>
      </w:rPr>
      <w:t>页共</w:t>
    </w:r>
    <w:r w:rsidR="006040BA">
      <w:rPr>
        <w:szCs w:val="21"/>
      </w:rPr>
      <w:fldChar w:fldCharType="begin"/>
    </w:r>
    <w:r>
      <w:rPr>
        <w:szCs w:val="21"/>
      </w:rPr>
      <w:instrText xml:space="preserve"> NUMPAGES </w:instrText>
    </w:r>
    <w:r w:rsidR="006040BA">
      <w:rPr>
        <w:szCs w:val="21"/>
      </w:rPr>
      <w:fldChar w:fldCharType="separate"/>
    </w:r>
    <w:r w:rsidR="002B7D03">
      <w:rPr>
        <w:noProof/>
        <w:szCs w:val="21"/>
      </w:rPr>
      <w:t>3</w:t>
    </w:r>
    <w:r w:rsidR="006040BA">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9DB" w:rsidRDefault="008079DB">
      <w:r>
        <w:separator/>
      </w:r>
    </w:p>
  </w:footnote>
  <w:footnote w:type="continuationSeparator" w:id="0">
    <w:p w:rsidR="008079DB" w:rsidRDefault="00807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DE9" w:rsidRPr="00447795" w:rsidRDefault="00701DE9" w:rsidP="00FE5BB6">
    <w:pPr>
      <w:pStyle w:val="a4"/>
      <w:pBdr>
        <w:bottom w:val="single" w:sz="6" w:space="0" w:color="auto"/>
      </w:pBdr>
      <w:jc w:val="right"/>
      <w:rPr>
        <w:sz w:val="15"/>
      </w:rPr>
    </w:pPr>
    <w:r w:rsidRPr="00447795">
      <w:rPr>
        <w:szCs w:val="21"/>
      </w:rPr>
      <w:t>易方达增金宝货币市场基金</w:t>
    </w:r>
    <w:r w:rsidRPr="00447795">
      <w:rPr>
        <w:szCs w:val="21"/>
      </w:rPr>
      <w:t>2019</w:t>
    </w:r>
    <w:r w:rsidRPr="00447795">
      <w:rPr>
        <w:szCs w:val="21"/>
      </w:rPr>
      <w:t>年第</w:t>
    </w:r>
    <w:r w:rsidRPr="00447795">
      <w:rPr>
        <w:szCs w:val="21"/>
      </w:rPr>
      <w:t>3</w:t>
    </w:r>
    <w:r w:rsidRPr="00447795">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4E4B"/>
    <w:rsid w:val="000028CE"/>
    <w:rsid w:val="00004773"/>
    <w:rsid w:val="00004DE7"/>
    <w:rsid w:val="00011307"/>
    <w:rsid w:val="00014416"/>
    <w:rsid w:val="0001552D"/>
    <w:rsid w:val="00017C6F"/>
    <w:rsid w:val="00017E35"/>
    <w:rsid w:val="0004063B"/>
    <w:rsid w:val="00041165"/>
    <w:rsid w:val="00047661"/>
    <w:rsid w:val="00052CA4"/>
    <w:rsid w:val="0005518A"/>
    <w:rsid w:val="0005571F"/>
    <w:rsid w:val="00057D26"/>
    <w:rsid w:val="000636E5"/>
    <w:rsid w:val="0006661F"/>
    <w:rsid w:val="0006697D"/>
    <w:rsid w:val="00070092"/>
    <w:rsid w:val="0007109E"/>
    <w:rsid w:val="00075BDA"/>
    <w:rsid w:val="00075CA2"/>
    <w:rsid w:val="000818ED"/>
    <w:rsid w:val="00082C37"/>
    <w:rsid w:val="000844BD"/>
    <w:rsid w:val="000851A7"/>
    <w:rsid w:val="00085416"/>
    <w:rsid w:val="00093E9D"/>
    <w:rsid w:val="000A11FB"/>
    <w:rsid w:val="000A2104"/>
    <w:rsid w:val="000A22A2"/>
    <w:rsid w:val="000B0144"/>
    <w:rsid w:val="000B3935"/>
    <w:rsid w:val="000C0602"/>
    <w:rsid w:val="000C7BA0"/>
    <w:rsid w:val="000D0F44"/>
    <w:rsid w:val="000D5CA8"/>
    <w:rsid w:val="000D5E16"/>
    <w:rsid w:val="000D774B"/>
    <w:rsid w:val="000E2F13"/>
    <w:rsid w:val="000E5E52"/>
    <w:rsid w:val="000E6630"/>
    <w:rsid w:val="000F1F3F"/>
    <w:rsid w:val="000F4826"/>
    <w:rsid w:val="000F5AE3"/>
    <w:rsid w:val="00100A35"/>
    <w:rsid w:val="00100EC8"/>
    <w:rsid w:val="00101278"/>
    <w:rsid w:val="00103B93"/>
    <w:rsid w:val="001059C8"/>
    <w:rsid w:val="00114310"/>
    <w:rsid w:val="001170EA"/>
    <w:rsid w:val="00126B62"/>
    <w:rsid w:val="001302DB"/>
    <w:rsid w:val="001429FF"/>
    <w:rsid w:val="0015340D"/>
    <w:rsid w:val="001540CE"/>
    <w:rsid w:val="001614B5"/>
    <w:rsid w:val="00175DFC"/>
    <w:rsid w:val="001806FA"/>
    <w:rsid w:val="0018401C"/>
    <w:rsid w:val="00186667"/>
    <w:rsid w:val="001878B0"/>
    <w:rsid w:val="00190115"/>
    <w:rsid w:val="00190674"/>
    <w:rsid w:val="00191B28"/>
    <w:rsid w:val="00192AF8"/>
    <w:rsid w:val="00193BCF"/>
    <w:rsid w:val="00195C6F"/>
    <w:rsid w:val="001A0592"/>
    <w:rsid w:val="001A19C5"/>
    <w:rsid w:val="001C5457"/>
    <w:rsid w:val="001C5D80"/>
    <w:rsid w:val="001C611E"/>
    <w:rsid w:val="001D0D4C"/>
    <w:rsid w:val="001D0DB0"/>
    <w:rsid w:val="001D3FAC"/>
    <w:rsid w:val="001D54B1"/>
    <w:rsid w:val="001D6ECD"/>
    <w:rsid w:val="001D76DD"/>
    <w:rsid w:val="001E1344"/>
    <w:rsid w:val="001E30A4"/>
    <w:rsid w:val="001F0286"/>
    <w:rsid w:val="001F302C"/>
    <w:rsid w:val="001F6D09"/>
    <w:rsid w:val="001F6FF8"/>
    <w:rsid w:val="001F78C1"/>
    <w:rsid w:val="0020640F"/>
    <w:rsid w:val="00221191"/>
    <w:rsid w:val="0022445E"/>
    <w:rsid w:val="002315C8"/>
    <w:rsid w:val="00232095"/>
    <w:rsid w:val="0024072D"/>
    <w:rsid w:val="00251E3E"/>
    <w:rsid w:val="002525C7"/>
    <w:rsid w:val="00254040"/>
    <w:rsid w:val="0025593D"/>
    <w:rsid w:val="002623A6"/>
    <w:rsid w:val="00264E55"/>
    <w:rsid w:val="00267283"/>
    <w:rsid w:val="00274097"/>
    <w:rsid w:val="00274FAC"/>
    <w:rsid w:val="0027576B"/>
    <w:rsid w:val="00280B02"/>
    <w:rsid w:val="0028250D"/>
    <w:rsid w:val="0029158C"/>
    <w:rsid w:val="002A114B"/>
    <w:rsid w:val="002A7841"/>
    <w:rsid w:val="002B45A4"/>
    <w:rsid w:val="002B48E3"/>
    <w:rsid w:val="002B7D03"/>
    <w:rsid w:val="002C22D6"/>
    <w:rsid w:val="002C7D48"/>
    <w:rsid w:val="002D338E"/>
    <w:rsid w:val="002D691E"/>
    <w:rsid w:val="002E0F4A"/>
    <w:rsid w:val="002E0F7F"/>
    <w:rsid w:val="002E333F"/>
    <w:rsid w:val="002E4DBF"/>
    <w:rsid w:val="002E65E3"/>
    <w:rsid w:val="002F0073"/>
    <w:rsid w:val="002F6539"/>
    <w:rsid w:val="002F7A4C"/>
    <w:rsid w:val="003020A8"/>
    <w:rsid w:val="00305CB5"/>
    <w:rsid w:val="003076EF"/>
    <w:rsid w:val="00311ADA"/>
    <w:rsid w:val="0031581B"/>
    <w:rsid w:val="003220F0"/>
    <w:rsid w:val="00340C3A"/>
    <w:rsid w:val="00343AF0"/>
    <w:rsid w:val="00346B82"/>
    <w:rsid w:val="0035215C"/>
    <w:rsid w:val="0035243E"/>
    <w:rsid w:val="003558AF"/>
    <w:rsid w:val="003622A7"/>
    <w:rsid w:val="00371E26"/>
    <w:rsid w:val="003743E1"/>
    <w:rsid w:val="003777F0"/>
    <w:rsid w:val="0038095B"/>
    <w:rsid w:val="00380AE6"/>
    <w:rsid w:val="00384942"/>
    <w:rsid w:val="00384C82"/>
    <w:rsid w:val="003856CF"/>
    <w:rsid w:val="00386903"/>
    <w:rsid w:val="00387992"/>
    <w:rsid w:val="00391065"/>
    <w:rsid w:val="003923B3"/>
    <w:rsid w:val="00395151"/>
    <w:rsid w:val="003A1397"/>
    <w:rsid w:val="003A169E"/>
    <w:rsid w:val="003A49D5"/>
    <w:rsid w:val="003B6DC6"/>
    <w:rsid w:val="003B709E"/>
    <w:rsid w:val="003C0E8C"/>
    <w:rsid w:val="003C1137"/>
    <w:rsid w:val="003D0E87"/>
    <w:rsid w:val="003D48C1"/>
    <w:rsid w:val="003E028A"/>
    <w:rsid w:val="003E14FE"/>
    <w:rsid w:val="003F468F"/>
    <w:rsid w:val="003F65C4"/>
    <w:rsid w:val="003F6B4D"/>
    <w:rsid w:val="00402654"/>
    <w:rsid w:val="00403ED2"/>
    <w:rsid w:val="00406A01"/>
    <w:rsid w:val="00410696"/>
    <w:rsid w:val="00422BC7"/>
    <w:rsid w:val="004250C5"/>
    <w:rsid w:val="00425438"/>
    <w:rsid w:val="00426FAD"/>
    <w:rsid w:val="00431618"/>
    <w:rsid w:val="004359DF"/>
    <w:rsid w:val="004369B0"/>
    <w:rsid w:val="00437706"/>
    <w:rsid w:val="00440C71"/>
    <w:rsid w:val="0044257C"/>
    <w:rsid w:val="00447795"/>
    <w:rsid w:val="0045068A"/>
    <w:rsid w:val="00450812"/>
    <w:rsid w:val="00460000"/>
    <w:rsid w:val="00462488"/>
    <w:rsid w:val="004677E5"/>
    <w:rsid w:val="0047191A"/>
    <w:rsid w:val="004730B4"/>
    <w:rsid w:val="00474896"/>
    <w:rsid w:val="00474A43"/>
    <w:rsid w:val="004771B9"/>
    <w:rsid w:val="0048086E"/>
    <w:rsid w:val="004817F4"/>
    <w:rsid w:val="00492647"/>
    <w:rsid w:val="004926EE"/>
    <w:rsid w:val="004A2432"/>
    <w:rsid w:val="004A3251"/>
    <w:rsid w:val="004A46A0"/>
    <w:rsid w:val="004A5FCE"/>
    <w:rsid w:val="004B1C09"/>
    <w:rsid w:val="004B26A7"/>
    <w:rsid w:val="004B6B25"/>
    <w:rsid w:val="004B7B7F"/>
    <w:rsid w:val="004C3FA9"/>
    <w:rsid w:val="004D0F9C"/>
    <w:rsid w:val="004D22E1"/>
    <w:rsid w:val="004D5065"/>
    <w:rsid w:val="004E041A"/>
    <w:rsid w:val="004E3ADB"/>
    <w:rsid w:val="004F3020"/>
    <w:rsid w:val="004F72E6"/>
    <w:rsid w:val="00512FE1"/>
    <w:rsid w:val="005141F5"/>
    <w:rsid w:val="0051578D"/>
    <w:rsid w:val="00520731"/>
    <w:rsid w:val="00527876"/>
    <w:rsid w:val="00534548"/>
    <w:rsid w:val="0054785C"/>
    <w:rsid w:val="00555883"/>
    <w:rsid w:val="00560D73"/>
    <w:rsid w:val="00561E69"/>
    <w:rsid w:val="005632B4"/>
    <w:rsid w:val="005633AD"/>
    <w:rsid w:val="005648A3"/>
    <w:rsid w:val="00565D1B"/>
    <w:rsid w:val="00575970"/>
    <w:rsid w:val="005773D6"/>
    <w:rsid w:val="00582960"/>
    <w:rsid w:val="00587524"/>
    <w:rsid w:val="00591363"/>
    <w:rsid w:val="00591814"/>
    <w:rsid w:val="00591E69"/>
    <w:rsid w:val="00592D0A"/>
    <w:rsid w:val="00594DCA"/>
    <w:rsid w:val="00595C4A"/>
    <w:rsid w:val="00596386"/>
    <w:rsid w:val="00597360"/>
    <w:rsid w:val="005B527B"/>
    <w:rsid w:val="005B697D"/>
    <w:rsid w:val="005C2541"/>
    <w:rsid w:val="005C3412"/>
    <w:rsid w:val="005C6D15"/>
    <w:rsid w:val="005D6999"/>
    <w:rsid w:val="005E05CC"/>
    <w:rsid w:val="005E2087"/>
    <w:rsid w:val="005E6FA5"/>
    <w:rsid w:val="005F270C"/>
    <w:rsid w:val="005F409A"/>
    <w:rsid w:val="005F46DA"/>
    <w:rsid w:val="00600F5B"/>
    <w:rsid w:val="006040BA"/>
    <w:rsid w:val="00610D87"/>
    <w:rsid w:val="00613327"/>
    <w:rsid w:val="00614780"/>
    <w:rsid w:val="00615C3A"/>
    <w:rsid w:val="00615ED9"/>
    <w:rsid w:val="00617ADB"/>
    <w:rsid w:val="0062091D"/>
    <w:rsid w:val="0062127F"/>
    <w:rsid w:val="006268E8"/>
    <w:rsid w:val="00631C0B"/>
    <w:rsid w:val="0063302E"/>
    <w:rsid w:val="00637395"/>
    <w:rsid w:val="00642494"/>
    <w:rsid w:val="00642F81"/>
    <w:rsid w:val="00650A4F"/>
    <w:rsid w:val="0065220D"/>
    <w:rsid w:val="006548BE"/>
    <w:rsid w:val="0065614E"/>
    <w:rsid w:val="00661E17"/>
    <w:rsid w:val="00664834"/>
    <w:rsid w:val="006662B2"/>
    <w:rsid w:val="0067057E"/>
    <w:rsid w:val="0067106E"/>
    <w:rsid w:val="006710F0"/>
    <w:rsid w:val="00673BA5"/>
    <w:rsid w:val="00673ED8"/>
    <w:rsid w:val="00683E0D"/>
    <w:rsid w:val="006843E2"/>
    <w:rsid w:val="00687B3E"/>
    <w:rsid w:val="006911A1"/>
    <w:rsid w:val="00691A38"/>
    <w:rsid w:val="00695A7B"/>
    <w:rsid w:val="0069632C"/>
    <w:rsid w:val="006A1E40"/>
    <w:rsid w:val="006A2A4A"/>
    <w:rsid w:val="006A2D00"/>
    <w:rsid w:val="006A2EE4"/>
    <w:rsid w:val="006B25FD"/>
    <w:rsid w:val="006B4C67"/>
    <w:rsid w:val="006B56A0"/>
    <w:rsid w:val="006B6EF4"/>
    <w:rsid w:val="006C3781"/>
    <w:rsid w:val="006D4C22"/>
    <w:rsid w:val="006D56D3"/>
    <w:rsid w:val="006E05E1"/>
    <w:rsid w:val="006F30FA"/>
    <w:rsid w:val="006F622C"/>
    <w:rsid w:val="00701DE9"/>
    <w:rsid w:val="00710487"/>
    <w:rsid w:val="007134DD"/>
    <w:rsid w:val="00714B3D"/>
    <w:rsid w:val="007160BD"/>
    <w:rsid w:val="007277D1"/>
    <w:rsid w:val="00727EA0"/>
    <w:rsid w:val="0073105A"/>
    <w:rsid w:val="00741288"/>
    <w:rsid w:val="007478BF"/>
    <w:rsid w:val="00752660"/>
    <w:rsid w:val="007558F2"/>
    <w:rsid w:val="00756489"/>
    <w:rsid w:val="00757A78"/>
    <w:rsid w:val="00761E9C"/>
    <w:rsid w:val="00762E87"/>
    <w:rsid w:val="00771E4D"/>
    <w:rsid w:val="007723FD"/>
    <w:rsid w:val="00772687"/>
    <w:rsid w:val="00775892"/>
    <w:rsid w:val="00780252"/>
    <w:rsid w:val="0078105B"/>
    <w:rsid w:val="00786ACF"/>
    <w:rsid w:val="0079212D"/>
    <w:rsid w:val="00793C17"/>
    <w:rsid w:val="007952CD"/>
    <w:rsid w:val="007B1C3E"/>
    <w:rsid w:val="007C42E5"/>
    <w:rsid w:val="007C6A87"/>
    <w:rsid w:val="007D38EA"/>
    <w:rsid w:val="007E0C74"/>
    <w:rsid w:val="007F525E"/>
    <w:rsid w:val="007F7B68"/>
    <w:rsid w:val="00806609"/>
    <w:rsid w:val="00806882"/>
    <w:rsid w:val="00806E79"/>
    <w:rsid w:val="008079DB"/>
    <w:rsid w:val="00811188"/>
    <w:rsid w:val="008115B6"/>
    <w:rsid w:val="00814461"/>
    <w:rsid w:val="0082024F"/>
    <w:rsid w:val="00822B8F"/>
    <w:rsid w:val="00825EA5"/>
    <w:rsid w:val="00833555"/>
    <w:rsid w:val="008347B3"/>
    <w:rsid w:val="008424EC"/>
    <w:rsid w:val="00843E53"/>
    <w:rsid w:val="00846218"/>
    <w:rsid w:val="008462A0"/>
    <w:rsid w:val="00850906"/>
    <w:rsid w:val="00851F57"/>
    <w:rsid w:val="008544FE"/>
    <w:rsid w:val="00861E09"/>
    <w:rsid w:val="0086245E"/>
    <w:rsid w:val="008727C5"/>
    <w:rsid w:val="00880EE6"/>
    <w:rsid w:val="00882586"/>
    <w:rsid w:val="00882EE2"/>
    <w:rsid w:val="00890FC3"/>
    <w:rsid w:val="008A1DA8"/>
    <w:rsid w:val="008B3CD0"/>
    <w:rsid w:val="008B7FBD"/>
    <w:rsid w:val="008C4909"/>
    <w:rsid w:val="008D023F"/>
    <w:rsid w:val="008D2EEC"/>
    <w:rsid w:val="008E4638"/>
    <w:rsid w:val="008F44F3"/>
    <w:rsid w:val="00900445"/>
    <w:rsid w:val="009004F7"/>
    <w:rsid w:val="00902E3F"/>
    <w:rsid w:val="00903E98"/>
    <w:rsid w:val="00904247"/>
    <w:rsid w:val="00914C4D"/>
    <w:rsid w:val="009153D7"/>
    <w:rsid w:val="00915775"/>
    <w:rsid w:val="00923FB2"/>
    <w:rsid w:val="00924422"/>
    <w:rsid w:val="00926A13"/>
    <w:rsid w:val="00930BA7"/>
    <w:rsid w:val="00930E3A"/>
    <w:rsid w:val="009327CC"/>
    <w:rsid w:val="00936A19"/>
    <w:rsid w:val="00940972"/>
    <w:rsid w:val="0094213C"/>
    <w:rsid w:val="00943183"/>
    <w:rsid w:val="00943AFD"/>
    <w:rsid w:val="0094451B"/>
    <w:rsid w:val="009452B9"/>
    <w:rsid w:val="0095221F"/>
    <w:rsid w:val="009674D7"/>
    <w:rsid w:val="0097021E"/>
    <w:rsid w:val="00971A57"/>
    <w:rsid w:val="00971D35"/>
    <w:rsid w:val="009751C6"/>
    <w:rsid w:val="009802DA"/>
    <w:rsid w:val="00980386"/>
    <w:rsid w:val="0098181F"/>
    <w:rsid w:val="00983FC2"/>
    <w:rsid w:val="00987069"/>
    <w:rsid w:val="009A1A3A"/>
    <w:rsid w:val="009B0994"/>
    <w:rsid w:val="009B0B45"/>
    <w:rsid w:val="009B2693"/>
    <w:rsid w:val="009B2BC4"/>
    <w:rsid w:val="009B4CA6"/>
    <w:rsid w:val="009B5A25"/>
    <w:rsid w:val="009C01AB"/>
    <w:rsid w:val="009C1A42"/>
    <w:rsid w:val="009C1DE9"/>
    <w:rsid w:val="009C5083"/>
    <w:rsid w:val="009C53F8"/>
    <w:rsid w:val="009D0796"/>
    <w:rsid w:val="009D2F0E"/>
    <w:rsid w:val="009D60EB"/>
    <w:rsid w:val="009D74FC"/>
    <w:rsid w:val="009E07F4"/>
    <w:rsid w:val="009E2BAA"/>
    <w:rsid w:val="009E4169"/>
    <w:rsid w:val="009E4601"/>
    <w:rsid w:val="009E7C71"/>
    <w:rsid w:val="009F39B0"/>
    <w:rsid w:val="009F4C55"/>
    <w:rsid w:val="009F4D34"/>
    <w:rsid w:val="009F66E8"/>
    <w:rsid w:val="00A13382"/>
    <w:rsid w:val="00A147F8"/>
    <w:rsid w:val="00A1530B"/>
    <w:rsid w:val="00A16747"/>
    <w:rsid w:val="00A207E5"/>
    <w:rsid w:val="00A3193E"/>
    <w:rsid w:val="00A4057D"/>
    <w:rsid w:val="00A56135"/>
    <w:rsid w:val="00A62762"/>
    <w:rsid w:val="00A7349A"/>
    <w:rsid w:val="00A734B9"/>
    <w:rsid w:val="00A80F9F"/>
    <w:rsid w:val="00A81075"/>
    <w:rsid w:val="00A862D0"/>
    <w:rsid w:val="00A95FA9"/>
    <w:rsid w:val="00A9665C"/>
    <w:rsid w:val="00AA7575"/>
    <w:rsid w:val="00AB3B0D"/>
    <w:rsid w:val="00AB67DE"/>
    <w:rsid w:val="00AC0359"/>
    <w:rsid w:val="00AC1C28"/>
    <w:rsid w:val="00AC2B47"/>
    <w:rsid w:val="00AC7FEB"/>
    <w:rsid w:val="00AD28A5"/>
    <w:rsid w:val="00AD2E4E"/>
    <w:rsid w:val="00AD2F99"/>
    <w:rsid w:val="00AD3AAD"/>
    <w:rsid w:val="00AD752F"/>
    <w:rsid w:val="00AE17F1"/>
    <w:rsid w:val="00AE2FB9"/>
    <w:rsid w:val="00AE4F96"/>
    <w:rsid w:val="00AE60AA"/>
    <w:rsid w:val="00AE6D9A"/>
    <w:rsid w:val="00AF1806"/>
    <w:rsid w:val="00AF2397"/>
    <w:rsid w:val="00B00842"/>
    <w:rsid w:val="00B0789C"/>
    <w:rsid w:val="00B306EF"/>
    <w:rsid w:val="00B33FA5"/>
    <w:rsid w:val="00B415B8"/>
    <w:rsid w:val="00B435B9"/>
    <w:rsid w:val="00B44F2F"/>
    <w:rsid w:val="00B46885"/>
    <w:rsid w:val="00B46A49"/>
    <w:rsid w:val="00B46EE3"/>
    <w:rsid w:val="00B47322"/>
    <w:rsid w:val="00B52A1D"/>
    <w:rsid w:val="00B55F93"/>
    <w:rsid w:val="00B5600C"/>
    <w:rsid w:val="00B612AB"/>
    <w:rsid w:val="00B76977"/>
    <w:rsid w:val="00B76BBB"/>
    <w:rsid w:val="00B83944"/>
    <w:rsid w:val="00B906B6"/>
    <w:rsid w:val="00B9544E"/>
    <w:rsid w:val="00B95A4B"/>
    <w:rsid w:val="00BA2F6A"/>
    <w:rsid w:val="00BA3FBE"/>
    <w:rsid w:val="00BA5353"/>
    <w:rsid w:val="00BA5E15"/>
    <w:rsid w:val="00BB2469"/>
    <w:rsid w:val="00BB7518"/>
    <w:rsid w:val="00BB7638"/>
    <w:rsid w:val="00BC144F"/>
    <w:rsid w:val="00BC1846"/>
    <w:rsid w:val="00BC2146"/>
    <w:rsid w:val="00BC4C3D"/>
    <w:rsid w:val="00BC4CF1"/>
    <w:rsid w:val="00BC4DD4"/>
    <w:rsid w:val="00BC63DF"/>
    <w:rsid w:val="00BD1FF6"/>
    <w:rsid w:val="00BD57A8"/>
    <w:rsid w:val="00BD6918"/>
    <w:rsid w:val="00BE0F50"/>
    <w:rsid w:val="00BE384A"/>
    <w:rsid w:val="00BF1894"/>
    <w:rsid w:val="00BF59DE"/>
    <w:rsid w:val="00C10D80"/>
    <w:rsid w:val="00C1461A"/>
    <w:rsid w:val="00C27CF9"/>
    <w:rsid w:val="00C30110"/>
    <w:rsid w:val="00C31708"/>
    <w:rsid w:val="00C3183C"/>
    <w:rsid w:val="00C40458"/>
    <w:rsid w:val="00C4119D"/>
    <w:rsid w:val="00C43397"/>
    <w:rsid w:val="00C45B13"/>
    <w:rsid w:val="00C4783B"/>
    <w:rsid w:val="00C52039"/>
    <w:rsid w:val="00C637D1"/>
    <w:rsid w:val="00C7033B"/>
    <w:rsid w:val="00C71204"/>
    <w:rsid w:val="00C72367"/>
    <w:rsid w:val="00C75FCF"/>
    <w:rsid w:val="00C82A05"/>
    <w:rsid w:val="00C83157"/>
    <w:rsid w:val="00C833B2"/>
    <w:rsid w:val="00C83F70"/>
    <w:rsid w:val="00C841C9"/>
    <w:rsid w:val="00C84CCE"/>
    <w:rsid w:val="00C86529"/>
    <w:rsid w:val="00CA0F59"/>
    <w:rsid w:val="00CA3808"/>
    <w:rsid w:val="00CA640D"/>
    <w:rsid w:val="00CB1AEB"/>
    <w:rsid w:val="00CC098E"/>
    <w:rsid w:val="00CC7A4E"/>
    <w:rsid w:val="00CD08B5"/>
    <w:rsid w:val="00CE0E18"/>
    <w:rsid w:val="00CE193A"/>
    <w:rsid w:val="00CE636F"/>
    <w:rsid w:val="00D06394"/>
    <w:rsid w:val="00D15D82"/>
    <w:rsid w:val="00D23538"/>
    <w:rsid w:val="00D25291"/>
    <w:rsid w:val="00D25602"/>
    <w:rsid w:val="00D25A77"/>
    <w:rsid w:val="00D267D3"/>
    <w:rsid w:val="00D26DA7"/>
    <w:rsid w:val="00D2743E"/>
    <w:rsid w:val="00D33791"/>
    <w:rsid w:val="00D33BA8"/>
    <w:rsid w:val="00D353E9"/>
    <w:rsid w:val="00D43232"/>
    <w:rsid w:val="00D44E95"/>
    <w:rsid w:val="00D47A56"/>
    <w:rsid w:val="00D51E96"/>
    <w:rsid w:val="00D521DA"/>
    <w:rsid w:val="00D53842"/>
    <w:rsid w:val="00D60639"/>
    <w:rsid w:val="00D638E8"/>
    <w:rsid w:val="00D63B9E"/>
    <w:rsid w:val="00D64248"/>
    <w:rsid w:val="00D65D90"/>
    <w:rsid w:val="00D71160"/>
    <w:rsid w:val="00D769BA"/>
    <w:rsid w:val="00D7751B"/>
    <w:rsid w:val="00D8034F"/>
    <w:rsid w:val="00D91A02"/>
    <w:rsid w:val="00D93109"/>
    <w:rsid w:val="00D9412B"/>
    <w:rsid w:val="00DA2F1E"/>
    <w:rsid w:val="00DA3451"/>
    <w:rsid w:val="00DA3FE3"/>
    <w:rsid w:val="00DA511D"/>
    <w:rsid w:val="00DA5975"/>
    <w:rsid w:val="00DA67B3"/>
    <w:rsid w:val="00DA6A4F"/>
    <w:rsid w:val="00DB2873"/>
    <w:rsid w:val="00DB2BDD"/>
    <w:rsid w:val="00DB2F81"/>
    <w:rsid w:val="00DC101E"/>
    <w:rsid w:val="00DC22F9"/>
    <w:rsid w:val="00DC4482"/>
    <w:rsid w:val="00DD5028"/>
    <w:rsid w:val="00DD590E"/>
    <w:rsid w:val="00DD6704"/>
    <w:rsid w:val="00DE0D94"/>
    <w:rsid w:val="00DF10C1"/>
    <w:rsid w:val="00DF39E3"/>
    <w:rsid w:val="00DF3E1E"/>
    <w:rsid w:val="00DF4506"/>
    <w:rsid w:val="00DF45D5"/>
    <w:rsid w:val="00E04AF5"/>
    <w:rsid w:val="00E069B5"/>
    <w:rsid w:val="00E13B22"/>
    <w:rsid w:val="00E145BC"/>
    <w:rsid w:val="00E149A5"/>
    <w:rsid w:val="00E151DF"/>
    <w:rsid w:val="00E21589"/>
    <w:rsid w:val="00E22F73"/>
    <w:rsid w:val="00E24D9E"/>
    <w:rsid w:val="00E264BD"/>
    <w:rsid w:val="00E26581"/>
    <w:rsid w:val="00E2722E"/>
    <w:rsid w:val="00E30517"/>
    <w:rsid w:val="00E431CE"/>
    <w:rsid w:val="00E4440D"/>
    <w:rsid w:val="00E445F8"/>
    <w:rsid w:val="00E507FD"/>
    <w:rsid w:val="00E611A2"/>
    <w:rsid w:val="00E6219D"/>
    <w:rsid w:val="00E64BF4"/>
    <w:rsid w:val="00E70188"/>
    <w:rsid w:val="00E73AE5"/>
    <w:rsid w:val="00E753E4"/>
    <w:rsid w:val="00E75ABA"/>
    <w:rsid w:val="00E76913"/>
    <w:rsid w:val="00E84A2D"/>
    <w:rsid w:val="00E85AC9"/>
    <w:rsid w:val="00E85CF2"/>
    <w:rsid w:val="00E92AA8"/>
    <w:rsid w:val="00E9312A"/>
    <w:rsid w:val="00E95356"/>
    <w:rsid w:val="00E966E5"/>
    <w:rsid w:val="00EA0BA4"/>
    <w:rsid w:val="00EA1C82"/>
    <w:rsid w:val="00EA3D96"/>
    <w:rsid w:val="00EA4D5C"/>
    <w:rsid w:val="00EA6B7B"/>
    <w:rsid w:val="00EB0947"/>
    <w:rsid w:val="00EB2A39"/>
    <w:rsid w:val="00EB3346"/>
    <w:rsid w:val="00EB3D8B"/>
    <w:rsid w:val="00EB4276"/>
    <w:rsid w:val="00EB5186"/>
    <w:rsid w:val="00ED1110"/>
    <w:rsid w:val="00ED1B77"/>
    <w:rsid w:val="00ED2E5D"/>
    <w:rsid w:val="00ED57D1"/>
    <w:rsid w:val="00ED622B"/>
    <w:rsid w:val="00EE29A9"/>
    <w:rsid w:val="00EE38A8"/>
    <w:rsid w:val="00EE5887"/>
    <w:rsid w:val="00EE5ADF"/>
    <w:rsid w:val="00EF4595"/>
    <w:rsid w:val="00EF6216"/>
    <w:rsid w:val="00F0251A"/>
    <w:rsid w:val="00F03F87"/>
    <w:rsid w:val="00F048DE"/>
    <w:rsid w:val="00F05F98"/>
    <w:rsid w:val="00F13F24"/>
    <w:rsid w:val="00F14A7B"/>
    <w:rsid w:val="00F17736"/>
    <w:rsid w:val="00F21B05"/>
    <w:rsid w:val="00F2540D"/>
    <w:rsid w:val="00F324D7"/>
    <w:rsid w:val="00F34E9B"/>
    <w:rsid w:val="00F40868"/>
    <w:rsid w:val="00F40C82"/>
    <w:rsid w:val="00F50707"/>
    <w:rsid w:val="00F53B1A"/>
    <w:rsid w:val="00F54568"/>
    <w:rsid w:val="00F54E4B"/>
    <w:rsid w:val="00F54EDA"/>
    <w:rsid w:val="00F555ED"/>
    <w:rsid w:val="00F570FD"/>
    <w:rsid w:val="00F57249"/>
    <w:rsid w:val="00F61508"/>
    <w:rsid w:val="00F62DE3"/>
    <w:rsid w:val="00F72520"/>
    <w:rsid w:val="00F72CA6"/>
    <w:rsid w:val="00F73656"/>
    <w:rsid w:val="00F81CE7"/>
    <w:rsid w:val="00F81E33"/>
    <w:rsid w:val="00F834A1"/>
    <w:rsid w:val="00F86FBC"/>
    <w:rsid w:val="00FA2208"/>
    <w:rsid w:val="00FA4C13"/>
    <w:rsid w:val="00FA76E2"/>
    <w:rsid w:val="00FB2783"/>
    <w:rsid w:val="00FB345F"/>
    <w:rsid w:val="00FB570E"/>
    <w:rsid w:val="00FB74C1"/>
    <w:rsid w:val="00FC1873"/>
    <w:rsid w:val="00FC1961"/>
    <w:rsid w:val="00FC57A1"/>
    <w:rsid w:val="00FD3820"/>
    <w:rsid w:val="00FD69D4"/>
    <w:rsid w:val="00FD6C39"/>
    <w:rsid w:val="00FD7EF0"/>
    <w:rsid w:val="00FE4BBC"/>
    <w:rsid w:val="00FE5BB6"/>
    <w:rsid w:val="00FF3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9873FC02-5CFC-49F2-8F9F-4FB9E4A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382"/>
    <w:pPr>
      <w:widowControl w:val="0"/>
      <w:jc w:val="both"/>
    </w:pPr>
    <w:rPr>
      <w:kern w:val="2"/>
      <w:sz w:val="21"/>
      <w:szCs w:val="24"/>
    </w:rPr>
  </w:style>
  <w:style w:type="paragraph" w:styleId="1">
    <w:name w:val="heading 1"/>
    <w:basedOn w:val="a"/>
    <w:next w:val="a"/>
    <w:link w:val="1Char"/>
    <w:uiPriority w:val="99"/>
    <w:qFormat/>
    <w:rsid w:val="004926EE"/>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926EE"/>
    <w:rPr>
      <w:rFonts w:cs="Times New Roman"/>
      <w:b/>
      <w:bCs/>
      <w:kern w:val="44"/>
      <w:sz w:val="44"/>
      <w:szCs w:val="44"/>
    </w:rPr>
  </w:style>
  <w:style w:type="character" w:customStyle="1" w:styleId="2Char">
    <w:name w:val="标题 2 Char"/>
    <w:link w:val="2"/>
    <w:uiPriority w:val="9"/>
    <w:semiHidden/>
    <w:rsid w:val="008D0977"/>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E5BB6"/>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8D0977"/>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8D0977"/>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C86529"/>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8D0977"/>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C6D15"/>
    <w:pPr>
      <w:shd w:val="clear" w:color="auto" w:fill="000080"/>
    </w:pPr>
    <w:rPr>
      <w:kern w:val="0"/>
      <w:sz w:val="0"/>
      <w:szCs w:val="0"/>
    </w:rPr>
  </w:style>
  <w:style w:type="character" w:customStyle="1" w:styleId="Char3">
    <w:name w:val="文档结构图 Char"/>
    <w:link w:val="a7"/>
    <w:uiPriority w:val="99"/>
    <w:semiHidden/>
    <w:rsid w:val="008D0977"/>
    <w:rPr>
      <w:sz w:val="0"/>
      <w:szCs w:val="0"/>
    </w:rPr>
  </w:style>
  <w:style w:type="table" w:styleId="a8">
    <w:name w:val="Table Grid"/>
    <w:basedOn w:val="a2"/>
    <w:qFormat/>
    <w:rsid w:val="00D432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4"/>
    <w:uiPriority w:val="99"/>
    <w:rsid w:val="00683E0D"/>
    <w:pPr>
      <w:snapToGrid w:val="0"/>
      <w:jc w:val="left"/>
    </w:pPr>
    <w:rPr>
      <w:sz w:val="18"/>
      <w:szCs w:val="20"/>
    </w:rPr>
  </w:style>
  <w:style w:type="character" w:customStyle="1" w:styleId="Char4">
    <w:name w:val="脚注文本 Char"/>
    <w:link w:val="a9"/>
    <w:uiPriority w:val="99"/>
    <w:locked/>
    <w:rsid w:val="00683E0D"/>
    <w:rPr>
      <w:kern w:val="2"/>
      <w:sz w:val="18"/>
    </w:rPr>
  </w:style>
  <w:style w:type="character" w:styleId="aa">
    <w:name w:val="footnote reference"/>
    <w:uiPriority w:val="99"/>
    <w:rsid w:val="00683E0D"/>
    <w:rPr>
      <w:rFonts w:cs="Times New Roman"/>
      <w:vertAlign w:val="superscript"/>
    </w:rPr>
  </w:style>
  <w:style w:type="paragraph" w:styleId="ab">
    <w:name w:val="Balloon Text"/>
    <w:basedOn w:val="a"/>
    <w:link w:val="Char5"/>
    <w:uiPriority w:val="99"/>
    <w:rsid w:val="009D0796"/>
    <w:rPr>
      <w:sz w:val="18"/>
      <w:szCs w:val="18"/>
    </w:rPr>
  </w:style>
  <w:style w:type="character" w:customStyle="1" w:styleId="Char5">
    <w:name w:val="批注框文本 Char"/>
    <w:link w:val="ab"/>
    <w:uiPriority w:val="99"/>
    <w:locked/>
    <w:rsid w:val="009D0796"/>
    <w:rPr>
      <w:rFonts w:cs="Times New Roman"/>
      <w:kern w:val="2"/>
      <w:sz w:val="18"/>
      <w:szCs w:val="18"/>
    </w:rPr>
  </w:style>
  <w:style w:type="paragraph" w:styleId="ac">
    <w:name w:val="Normal (Web)"/>
    <w:basedOn w:val="a"/>
    <w:uiPriority w:val="99"/>
    <w:rsid w:val="003A169E"/>
    <w:pPr>
      <w:widowControl/>
      <w:spacing w:before="100" w:beforeAutospacing="1" w:after="100" w:afterAutospacing="1"/>
    </w:pPr>
    <w:rPr>
      <w:rFonts w:ascii="宋体" w:hAnsi="宋体"/>
      <w:kern w:val="0"/>
      <w:sz w:val="24"/>
      <w:szCs w:val="20"/>
    </w:rPr>
  </w:style>
  <w:style w:type="paragraph" w:styleId="ad">
    <w:name w:val="Date"/>
    <w:basedOn w:val="a"/>
    <w:next w:val="a"/>
    <w:link w:val="Char6"/>
    <w:uiPriority w:val="99"/>
    <w:rsid w:val="00FA76E2"/>
    <w:rPr>
      <w:sz w:val="24"/>
      <w:szCs w:val="20"/>
    </w:rPr>
  </w:style>
  <w:style w:type="character" w:customStyle="1" w:styleId="Char6">
    <w:name w:val="日期 Char"/>
    <w:link w:val="ad"/>
    <w:uiPriority w:val="99"/>
    <w:locked/>
    <w:rsid w:val="00FA76E2"/>
    <w:rPr>
      <w:rFonts w:cs="Times New Roman"/>
      <w:kern w:val="2"/>
      <w:sz w:val="24"/>
    </w:rPr>
  </w:style>
  <w:style w:type="character" w:styleId="ae">
    <w:name w:val="Strong"/>
    <w:uiPriority w:val="22"/>
    <w:qFormat/>
    <w:locked/>
    <w:rsid w:val="00011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11609">
      <w:marLeft w:val="0"/>
      <w:marRight w:val="0"/>
      <w:marTop w:val="0"/>
      <w:marBottom w:val="0"/>
      <w:divBdr>
        <w:top w:val="none" w:sz="0" w:space="0" w:color="auto"/>
        <w:left w:val="none" w:sz="0" w:space="0" w:color="auto"/>
        <w:bottom w:val="none" w:sz="0" w:space="0" w:color="auto"/>
        <w:right w:val="none" w:sz="0" w:space="0" w:color="auto"/>
      </w:divBdr>
    </w:div>
    <w:div w:id="1406611610">
      <w:marLeft w:val="0"/>
      <w:marRight w:val="0"/>
      <w:marTop w:val="0"/>
      <w:marBottom w:val="0"/>
      <w:divBdr>
        <w:top w:val="none" w:sz="0" w:space="0" w:color="auto"/>
        <w:left w:val="none" w:sz="0" w:space="0" w:color="auto"/>
        <w:bottom w:val="none" w:sz="0" w:space="0" w:color="auto"/>
        <w:right w:val="none" w:sz="0" w:space="0" w:color="auto"/>
      </w:divBdr>
    </w:div>
    <w:div w:id="1406611611">
      <w:marLeft w:val="0"/>
      <w:marRight w:val="0"/>
      <w:marTop w:val="0"/>
      <w:marBottom w:val="0"/>
      <w:divBdr>
        <w:top w:val="none" w:sz="0" w:space="0" w:color="auto"/>
        <w:left w:val="none" w:sz="0" w:space="0" w:color="auto"/>
        <w:bottom w:val="none" w:sz="0" w:space="0" w:color="auto"/>
        <w:right w:val="none" w:sz="0" w:space="0" w:color="auto"/>
      </w:divBdr>
    </w:div>
    <w:div w:id="1406611612">
      <w:marLeft w:val="0"/>
      <w:marRight w:val="0"/>
      <w:marTop w:val="0"/>
      <w:marBottom w:val="0"/>
      <w:divBdr>
        <w:top w:val="none" w:sz="0" w:space="0" w:color="auto"/>
        <w:left w:val="none" w:sz="0" w:space="0" w:color="auto"/>
        <w:bottom w:val="none" w:sz="0" w:space="0" w:color="auto"/>
        <w:right w:val="none" w:sz="0" w:space="0" w:color="auto"/>
      </w:divBdr>
    </w:div>
    <w:div w:id="1406611613">
      <w:marLeft w:val="0"/>
      <w:marRight w:val="0"/>
      <w:marTop w:val="0"/>
      <w:marBottom w:val="0"/>
      <w:divBdr>
        <w:top w:val="none" w:sz="0" w:space="0" w:color="auto"/>
        <w:left w:val="none" w:sz="0" w:space="0" w:color="auto"/>
        <w:bottom w:val="none" w:sz="0" w:space="0" w:color="auto"/>
        <w:right w:val="none" w:sz="0" w:space="0" w:color="auto"/>
      </w:divBdr>
    </w:div>
    <w:div w:id="1406611614">
      <w:marLeft w:val="0"/>
      <w:marRight w:val="0"/>
      <w:marTop w:val="0"/>
      <w:marBottom w:val="0"/>
      <w:divBdr>
        <w:top w:val="none" w:sz="0" w:space="0" w:color="auto"/>
        <w:left w:val="none" w:sz="0" w:space="0" w:color="auto"/>
        <w:bottom w:val="none" w:sz="0" w:space="0" w:color="auto"/>
        <w:right w:val="none" w:sz="0" w:space="0" w:color="auto"/>
      </w:divBdr>
    </w:div>
    <w:div w:id="14066116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monet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monetary.dot</Template>
  <TotalTime>321</TotalTime>
  <Pages>3</Pages>
  <Words>1299</Words>
  <Characters>7409</Characters>
  <Application>Microsoft Office Word</Application>
  <DocSecurity>0</DocSecurity>
  <Lines>61</Lines>
  <Paragraphs>17</Paragraphs>
  <ScaleCrop>false</ScaleCrop>
  <Company>jysld</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229</cp:revision>
  <cp:lastPrinted>2019-10-16T13:54:00Z</cp:lastPrinted>
  <dcterms:created xsi:type="dcterms:W3CDTF">2012-11-21T01:34:00Z</dcterms:created>
  <dcterms:modified xsi:type="dcterms:W3CDTF">2019-10-16T13:54:00Z</dcterms:modified>
</cp:coreProperties>
</file>