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D3639B"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易方达沪深</w:t>
      </w:r>
      <w:r w:rsidRPr="00D3639B">
        <w:rPr>
          <w:rFonts w:eastAsiaTheme="minorEastAsia"/>
          <w:b/>
          <w:color w:val="000000" w:themeColor="text1"/>
          <w:sz w:val="36"/>
          <w:szCs w:val="36"/>
        </w:rPr>
        <w:t>300</w:t>
      </w:r>
      <w:r w:rsidRPr="00D3639B">
        <w:rPr>
          <w:rFonts w:eastAsiaTheme="minorEastAsia"/>
          <w:b/>
          <w:color w:val="000000" w:themeColor="text1"/>
          <w:sz w:val="36"/>
          <w:szCs w:val="36"/>
        </w:rPr>
        <w:t>非银行金融交易型开放式指数证券投资基金联接基金</w:t>
      </w:r>
    </w:p>
    <w:p w:rsidR="002D2A00"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年第</w:t>
      </w:r>
      <w:r w:rsidRPr="00D3639B">
        <w:rPr>
          <w:rFonts w:eastAsiaTheme="minorEastAsia"/>
          <w:b/>
          <w:color w:val="000000" w:themeColor="text1"/>
          <w:sz w:val="36"/>
          <w:szCs w:val="36"/>
        </w:rPr>
        <w:t>3</w:t>
      </w:r>
      <w:r w:rsidRPr="00D3639B">
        <w:rPr>
          <w:rFonts w:eastAsiaTheme="minorEastAsia"/>
          <w:b/>
          <w:color w:val="000000" w:themeColor="text1"/>
          <w:sz w:val="36"/>
          <w:szCs w:val="36"/>
        </w:rPr>
        <w:t>季度报告</w:t>
      </w:r>
    </w:p>
    <w:p w:rsidR="009A2283" w:rsidRPr="00D3639B" w:rsidRDefault="00121533"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w:t>
      </w:r>
      <w:r w:rsidRPr="00D3639B">
        <w:rPr>
          <w:rFonts w:eastAsiaTheme="minorEastAsia"/>
          <w:b/>
          <w:color w:val="000000" w:themeColor="text1"/>
          <w:sz w:val="36"/>
          <w:szCs w:val="36"/>
        </w:rPr>
        <w:t>9</w:t>
      </w:r>
      <w:r w:rsidRPr="00D3639B">
        <w:rPr>
          <w:rFonts w:eastAsiaTheme="minorEastAsia"/>
          <w:b/>
          <w:color w:val="000000" w:themeColor="text1"/>
          <w:sz w:val="36"/>
          <w:szCs w:val="36"/>
        </w:rPr>
        <w:t>月</w:t>
      </w:r>
      <w:r w:rsidRPr="00D3639B">
        <w:rPr>
          <w:rFonts w:eastAsiaTheme="minorEastAsia"/>
          <w:b/>
          <w:color w:val="000000" w:themeColor="text1"/>
          <w:sz w:val="36"/>
          <w:szCs w:val="36"/>
        </w:rPr>
        <w:t>30</w:t>
      </w:r>
      <w:r w:rsidRPr="00D3639B">
        <w:rPr>
          <w:rFonts w:eastAsiaTheme="minorEastAsia"/>
          <w:b/>
          <w:color w:val="000000" w:themeColor="text1"/>
          <w:sz w:val="36"/>
          <w:szCs w:val="36"/>
        </w:rPr>
        <w:t>日</w:t>
      </w: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E27360">
      <w:pPr>
        <w:spacing w:line="360" w:lineRule="auto"/>
        <w:jc w:val="center"/>
        <w:rPr>
          <w:rFonts w:eastAsiaTheme="minorEastAsia"/>
          <w:b/>
          <w:color w:val="000000" w:themeColor="text1"/>
          <w:szCs w:val="21"/>
        </w:rPr>
      </w:pPr>
    </w:p>
    <w:p w:rsidR="00E27360" w:rsidRPr="00D3639B" w:rsidRDefault="00E27360" w:rsidP="00E27360">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rPr>
          <w:rFonts w:eastAsiaTheme="minorEastAsia"/>
          <w:b/>
          <w:color w:val="000000" w:themeColor="text1"/>
          <w:szCs w:val="21"/>
        </w:rPr>
      </w:pP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基金管理人：</w:t>
      </w:r>
      <w:r w:rsidR="00BF377F" w:rsidRPr="00D3639B">
        <w:rPr>
          <w:rFonts w:eastAsiaTheme="minorEastAsia"/>
          <w:b/>
          <w:color w:val="000000" w:themeColor="text1"/>
          <w:sz w:val="24"/>
        </w:rPr>
        <w:t>易方达基金管理有限公司</w:t>
      </w: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基金托管人：</w:t>
      </w:r>
      <w:r w:rsidR="00BF377F" w:rsidRPr="00D3639B">
        <w:rPr>
          <w:rFonts w:eastAsiaTheme="minorEastAsia"/>
          <w:b/>
          <w:color w:val="000000" w:themeColor="text1"/>
          <w:sz w:val="24"/>
        </w:rPr>
        <w:t>中国建设银行股份有限公司</w:t>
      </w:r>
    </w:p>
    <w:p w:rsidR="009A2283" w:rsidRPr="00D3639B" w:rsidRDefault="009A2283" w:rsidP="004B54B8">
      <w:pPr>
        <w:spacing w:line="360" w:lineRule="auto"/>
        <w:ind w:firstLineChars="900" w:firstLine="2168"/>
        <w:rPr>
          <w:rFonts w:eastAsiaTheme="minorEastAsia"/>
          <w:color w:val="000000" w:themeColor="text1"/>
          <w:sz w:val="24"/>
        </w:rPr>
        <w:sectPr w:rsidR="009A2283" w:rsidRPr="00D3639B" w:rsidSect="00F7094A">
          <w:headerReference w:type="default" r:id="rId8"/>
          <w:footerReference w:type="default" r:id="rId9"/>
          <w:pgSz w:w="11926" w:h="15840"/>
          <w:pgMar w:top="1418" w:right="1418" w:bottom="851" w:left="1418" w:header="851" w:footer="992" w:gutter="0"/>
          <w:cols w:space="720"/>
          <w:noEndnote/>
        </w:sectPr>
      </w:pPr>
      <w:r w:rsidRPr="00D3639B">
        <w:rPr>
          <w:rFonts w:eastAsiaTheme="minorEastAsia"/>
          <w:b/>
          <w:color w:val="000000" w:themeColor="text1"/>
          <w:sz w:val="24"/>
        </w:rPr>
        <w:t>报告送出日期：</w:t>
      </w:r>
      <w:r w:rsidR="00D04410" w:rsidRPr="00D3639B">
        <w:rPr>
          <w:rFonts w:eastAsiaTheme="minorEastAsia"/>
          <w:b/>
          <w:color w:val="000000" w:themeColor="text1"/>
          <w:sz w:val="24"/>
        </w:rPr>
        <w:t>二〇一九年十月二十四日</w:t>
      </w:r>
    </w:p>
    <w:p w:rsidR="009238DB" w:rsidRPr="00B34368" w:rsidRDefault="009238DB" w:rsidP="00C544B8">
      <w:pPr>
        <w:pStyle w:val="1"/>
        <w:spacing w:beforeLines="100" w:before="312" w:afterLines="100" w:after="312" w:line="360" w:lineRule="auto"/>
        <w:jc w:val="center"/>
        <w:rPr>
          <w:rFonts w:eastAsiaTheme="minorEastAsia"/>
          <w:b w:val="0"/>
          <w:color w:val="000000" w:themeColor="text1"/>
          <w:kern w:val="0"/>
          <w:sz w:val="24"/>
          <w:szCs w:val="24"/>
        </w:rPr>
      </w:pPr>
      <w:r w:rsidRPr="00B34368">
        <w:rPr>
          <w:rFonts w:eastAsiaTheme="minorEastAsia"/>
          <w:color w:val="000000" w:themeColor="text1"/>
          <w:kern w:val="0"/>
          <w:sz w:val="24"/>
          <w:szCs w:val="24"/>
        </w:rPr>
        <w:lastRenderedPageBreak/>
        <w:t xml:space="preserve">§1  </w:t>
      </w:r>
      <w:r w:rsidRPr="00B34368">
        <w:rPr>
          <w:rFonts w:eastAsiaTheme="minorEastAsia" w:hAnsiTheme="minorEastAsia"/>
          <w:color w:val="000000" w:themeColor="text1"/>
          <w:kern w:val="0"/>
          <w:sz w:val="24"/>
          <w:szCs w:val="24"/>
        </w:rPr>
        <w:t>重要提示</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 w:val="24"/>
        </w:rPr>
        <w:t xml:space="preserve"> </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基金托管人中国建设银行股份有限公司根据本基金合同规定，于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22</w:t>
      </w:r>
      <w:r>
        <w:rPr>
          <w:rFonts w:eastAsiaTheme="minorEastAsia"/>
          <w:color w:val="000000" w:themeColor="text1"/>
          <w:sz w:val="24"/>
        </w:rPr>
        <w:t>日复核了本报告中的财务指标、净值表现和投资组合报告等内容，保证复核内容不存在虚假记载、误导性陈述或者重大遗漏。</w:t>
      </w:r>
      <w:r>
        <w:rPr>
          <w:rFonts w:eastAsiaTheme="minorEastAsia"/>
          <w:color w:val="000000" w:themeColor="text1"/>
          <w:sz w:val="24"/>
        </w:rPr>
        <w:t xml:space="preserve"> </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r>
        <w:rPr>
          <w:rFonts w:eastAsiaTheme="minorEastAsia"/>
          <w:color w:val="000000" w:themeColor="text1"/>
          <w:sz w:val="24"/>
        </w:rPr>
        <w:t xml:space="preserve"> </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基金的过往业绩并不代表其未来表现。投资有风险，投资者在作出投资决策前应仔细阅读本基金的招募说明书。</w:t>
      </w:r>
      <w:r>
        <w:rPr>
          <w:rFonts w:eastAsiaTheme="minorEastAsia"/>
          <w:color w:val="000000" w:themeColor="text1"/>
          <w:sz w:val="24"/>
        </w:rPr>
        <w:t xml:space="preserve"> </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9238DB" w:rsidRPr="00B34368" w:rsidRDefault="00267DA9"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日起至</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日止。</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§2  </w:t>
      </w:r>
      <w:r w:rsidRPr="00B34368">
        <w:rPr>
          <w:rFonts w:eastAsiaTheme="minorEastAsia" w:hAnsiTheme="minorEastAsia"/>
          <w:color w:val="000000" w:themeColor="text1"/>
          <w:kern w:val="0"/>
          <w:sz w:val="24"/>
          <w:szCs w:val="24"/>
        </w:rPr>
        <w:t>基金产品概况</w:t>
      </w:r>
    </w:p>
    <w:p w:rsidR="002C32ED" w:rsidRPr="00B34368" w:rsidRDefault="002C32ED" w:rsidP="002C32ED">
      <w:pPr>
        <w:pStyle w:val="2"/>
        <w:keepNext w:val="0"/>
        <w:keepLines w:val="0"/>
        <w:spacing w:before="0" w:after="0"/>
        <w:rPr>
          <w:rFonts w:ascii="Times New Roman" w:eastAsiaTheme="minorEastAsia" w:hAnsi="Times New Roman" w:cs="Times New Roman"/>
          <w:color w:val="000000" w:themeColor="text1"/>
          <w:szCs w:val="24"/>
        </w:rPr>
      </w:pPr>
      <w:bookmarkStart w:id="1" w:name="_Toc245193810"/>
      <w:r w:rsidRPr="00B34368">
        <w:rPr>
          <w:rFonts w:ascii="Times New Roman" w:eastAsiaTheme="minorEastAsia" w:hAnsi="Times New Roman" w:cs="Times New Roman"/>
          <w:color w:val="000000" w:themeColor="text1"/>
          <w:szCs w:val="24"/>
        </w:rPr>
        <w:t>2.1</w:t>
      </w:r>
      <w:r w:rsidRPr="00B34368">
        <w:rPr>
          <w:rFonts w:ascii="Times New Roman" w:eastAsiaTheme="minorEastAsia" w:hAnsiTheme="minorEastAsia" w:cs="Times New Roman"/>
          <w:color w:val="000000" w:themeColor="text1"/>
          <w:szCs w:val="24"/>
        </w:rPr>
        <w:t>基金产品概况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基金简称</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易方达沪深</w:t>
            </w:r>
            <w:r w:rsidRPr="00B34368">
              <w:rPr>
                <w:rFonts w:eastAsiaTheme="minorEastAsia"/>
                <w:color w:val="000000" w:themeColor="text1"/>
                <w:kern w:val="0"/>
                <w:sz w:val="24"/>
              </w:rPr>
              <w:t>300</w:t>
            </w:r>
            <w:r w:rsidRPr="00B34368">
              <w:rPr>
                <w:rFonts w:eastAsiaTheme="minorEastAsia"/>
                <w:color w:val="000000" w:themeColor="text1"/>
                <w:kern w:val="0"/>
                <w:sz w:val="24"/>
              </w:rPr>
              <w:t>非银联接</w:t>
            </w:r>
          </w:p>
        </w:tc>
      </w:tr>
      <w:tr w:rsidR="00D3639B" w:rsidRPr="00B34368" w:rsidTr="00AA7EBD">
        <w:tc>
          <w:tcPr>
            <w:tcW w:w="2835" w:type="dxa"/>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479" w:type="dxa"/>
            <w:gridSpan w:val="2"/>
            <w:tcBorders>
              <w:bottom w:val="single" w:sz="4" w:space="0" w:color="auto"/>
            </w:tcBorders>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000950</w:t>
            </w:r>
          </w:p>
        </w:tc>
      </w:tr>
      <w:tr w:rsidR="00D3639B" w:rsidRPr="00B34368" w:rsidTr="00AA7EBD">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基金运作方式</w:t>
            </w:r>
          </w:p>
        </w:tc>
        <w:tc>
          <w:tcPr>
            <w:tcW w:w="5479" w:type="dxa"/>
            <w:gridSpan w:val="2"/>
            <w:tcBorders>
              <w:top w:val="single" w:sz="4" w:space="0" w:color="auto"/>
            </w:tcBorders>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契约型开放式</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基金合同生效日</w:t>
            </w:r>
          </w:p>
        </w:tc>
        <w:tc>
          <w:tcPr>
            <w:tcW w:w="5479" w:type="dxa"/>
            <w:gridSpan w:val="2"/>
          </w:tcPr>
          <w:p w:rsidR="00A6200E" w:rsidRPr="00B34368" w:rsidRDefault="00121533" w:rsidP="00121533">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2015</w:t>
            </w:r>
            <w:r w:rsidRPr="00B34368">
              <w:rPr>
                <w:rFonts w:eastAsiaTheme="minorEastAsia"/>
                <w:color w:val="000000" w:themeColor="text1"/>
                <w:kern w:val="0"/>
                <w:sz w:val="24"/>
              </w:rPr>
              <w:t>年</w:t>
            </w:r>
            <w:r w:rsidRPr="00B34368">
              <w:rPr>
                <w:rFonts w:eastAsiaTheme="minorEastAsia"/>
                <w:color w:val="000000" w:themeColor="text1"/>
                <w:kern w:val="0"/>
                <w:sz w:val="24"/>
              </w:rPr>
              <w:t>1</w:t>
            </w:r>
            <w:r w:rsidRPr="00B34368">
              <w:rPr>
                <w:rFonts w:eastAsiaTheme="minorEastAsia"/>
                <w:color w:val="000000" w:themeColor="text1"/>
                <w:kern w:val="0"/>
                <w:sz w:val="24"/>
              </w:rPr>
              <w:t>月</w:t>
            </w:r>
            <w:r w:rsidRPr="00B34368">
              <w:rPr>
                <w:rFonts w:eastAsiaTheme="minorEastAsia"/>
                <w:color w:val="000000" w:themeColor="text1"/>
                <w:kern w:val="0"/>
                <w:sz w:val="24"/>
              </w:rPr>
              <w:t>22</w:t>
            </w:r>
            <w:r w:rsidRPr="00B34368">
              <w:rPr>
                <w:rFonts w:eastAsiaTheme="minorEastAsia"/>
                <w:color w:val="000000" w:themeColor="text1"/>
                <w:kern w:val="0"/>
                <w:sz w:val="24"/>
              </w:rPr>
              <w:t>日</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报告期末基金份额总额</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1,598,615,756.86</w:t>
            </w:r>
            <w:r w:rsidR="0060758A" w:rsidRPr="00B34368">
              <w:rPr>
                <w:rFonts w:eastAsiaTheme="minorEastAsia" w:hAnsiTheme="minorEastAsia"/>
                <w:color w:val="000000" w:themeColor="text1"/>
                <w:kern w:val="0"/>
                <w:sz w:val="24"/>
              </w:rPr>
              <w:t>份</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投资目标</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紧密跟踪业绩比较基准，追求跟踪偏离度及跟踪误差的最小化。</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投资策略</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本基金为沪深</w:t>
            </w:r>
            <w:r w:rsidRPr="00B34368">
              <w:rPr>
                <w:rFonts w:eastAsiaTheme="minorEastAsia"/>
                <w:color w:val="000000" w:themeColor="text1"/>
                <w:kern w:val="0"/>
                <w:sz w:val="24"/>
              </w:rPr>
              <w:t>300</w:t>
            </w:r>
            <w:r w:rsidRPr="00B34368">
              <w:rPr>
                <w:rFonts w:eastAsiaTheme="minorEastAsia"/>
                <w:color w:val="000000" w:themeColor="text1"/>
                <w:kern w:val="0"/>
                <w:sz w:val="24"/>
              </w:rPr>
              <w:t>非银行金融</w:t>
            </w:r>
            <w:r w:rsidRPr="00B34368">
              <w:rPr>
                <w:rFonts w:eastAsiaTheme="minorEastAsia"/>
                <w:color w:val="000000" w:themeColor="text1"/>
                <w:kern w:val="0"/>
                <w:sz w:val="24"/>
              </w:rPr>
              <w:t>ETF</w:t>
            </w:r>
            <w:r w:rsidRPr="00B34368">
              <w:rPr>
                <w:rFonts w:eastAsiaTheme="minorEastAsia"/>
                <w:color w:val="000000" w:themeColor="text1"/>
                <w:kern w:val="0"/>
                <w:sz w:val="24"/>
              </w:rPr>
              <w:t>的联接基金，沪深</w:t>
            </w:r>
            <w:r w:rsidRPr="00B34368">
              <w:rPr>
                <w:rFonts w:eastAsiaTheme="minorEastAsia"/>
                <w:color w:val="000000" w:themeColor="text1"/>
                <w:kern w:val="0"/>
                <w:sz w:val="24"/>
              </w:rPr>
              <w:t>300</w:t>
            </w:r>
            <w:r w:rsidRPr="00B34368">
              <w:rPr>
                <w:rFonts w:eastAsiaTheme="minorEastAsia"/>
                <w:color w:val="000000" w:themeColor="text1"/>
                <w:kern w:val="0"/>
                <w:sz w:val="24"/>
              </w:rPr>
              <w:t>非银行金融</w:t>
            </w:r>
            <w:r w:rsidRPr="00B34368">
              <w:rPr>
                <w:rFonts w:eastAsiaTheme="minorEastAsia"/>
                <w:color w:val="000000" w:themeColor="text1"/>
                <w:kern w:val="0"/>
                <w:sz w:val="24"/>
              </w:rPr>
              <w:t>ETF</w:t>
            </w:r>
            <w:r w:rsidRPr="00B34368">
              <w:rPr>
                <w:rFonts w:eastAsiaTheme="minorEastAsia"/>
                <w:color w:val="000000" w:themeColor="text1"/>
                <w:kern w:val="0"/>
                <w:sz w:val="24"/>
              </w:rPr>
              <w:t>是采用完全复制法实现对沪深</w:t>
            </w:r>
            <w:r w:rsidRPr="00B34368">
              <w:rPr>
                <w:rFonts w:eastAsiaTheme="minorEastAsia"/>
                <w:color w:val="000000" w:themeColor="text1"/>
                <w:kern w:val="0"/>
                <w:sz w:val="24"/>
              </w:rPr>
              <w:t>300</w:t>
            </w:r>
            <w:r w:rsidRPr="00B34368">
              <w:rPr>
                <w:rFonts w:eastAsiaTheme="minorEastAsia"/>
                <w:color w:val="000000" w:themeColor="text1"/>
                <w:kern w:val="0"/>
                <w:sz w:val="24"/>
              </w:rPr>
              <w:t>非银行金融指数紧密跟踪的全被动指数基金，本基金主要通过投资于沪深</w:t>
            </w:r>
            <w:r w:rsidRPr="00B34368">
              <w:rPr>
                <w:rFonts w:eastAsiaTheme="minorEastAsia"/>
                <w:color w:val="000000" w:themeColor="text1"/>
                <w:kern w:val="0"/>
                <w:sz w:val="24"/>
              </w:rPr>
              <w:t>300</w:t>
            </w:r>
            <w:r w:rsidRPr="00B34368">
              <w:rPr>
                <w:rFonts w:eastAsiaTheme="minorEastAsia"/>
                <w:color w:val="000000" w:themeColor="text1"/>
                <w:kern w:val="0"/>
                <w:sz w:val="24"/>
              </w:rPr>
              <w:t>非银行金融</w:t>
            </w:r>
            <w:r w:rsidRPr="00B34368">
              <w:rPr>
                <w:rFonts w:eastAsiaTheme="minorEastAsia"/>
                <w:color w:val="000000" w:themeColor="text1"/>
                <w:kern w:val="0"/>
                <w:sz w:val="24"/>
              </w:rPr>
              <w:t>ETF</w:t>
            </w:r>
            <w:r w:rsidRPr="00B34368">
              <w:rPr>
                <w:rFonts w:eastAsiaTheme="minorEastAsia"/>
                <w:color w:val="000000" w:themeColor="text1"/>
                <w:kern w:val="0"/>
                <w:sz w:val="24"/>
              </w:rPr>
              <w:t>实现对业绩比较基准的紧密跟踪，力争将年化</w:t>
            </w:r>
            <w:r w:rsidRPr="00B34368">
              <w:rPr>
                <w:rFonts w:eastAsiaTheme="minorEastAsia"/>
                <w:color w:val="000000" w:themeColor="text1"/>
                <w:kern w:val="0"/>
                <w:sz w:val="24"/>
              </w:rPr>
              <w:lastRenderedPageBreak/>
              <w:t>跟踪误差控制在</w:t>
            </w:r>
            <w:r w:rsidRPr="00B34368">
              <w:rPr>
                <w:rFonts w:eastAsiaTheme="minorEastAsia"/>
                <w:color w:val="000000" w:themeColor="text1"/>
                <w:kern w:val="0"/>
                <w:sz w:val="24"/>
              </w:rPr>
              <w:t>4%</w:t>
            </w:r>
            <w:r w:rsidRPr="00B34368">
              <w:rPr>
                <w:rFonts w:eastAsiaTheme="minorEastAsia"/>
                <w:color w:val="000000" w:themeColor="text1"/>
                <w:kern w:val="0"/>
                <w:sz w:val="24"/>
              </w:rPr>
              <w:t>以内。本基金将在综合考虑合规、风险、效率、成本等因素的基础上，决定采用申购、赎回的方式或证券二级市场交易的方式进行沪深</w:t>
            </w:r>
            <w:r w:rsidRPr="00B34368">
              <w:rPr>
                <w:rFonts w:eastAsiaTheme="minorEastAsia"/>
                <w:color w:val="000000" w:themeColor="text1"/>
                <w:kern w:val="0"/>
                <w:sz w:val="24"/>
              </w:rPr>
              <w:t>300</w:t>
            </w:r>
            <w:r w:rsidRPr="00B34368">
              <w:rPr>
                <w:rFonts w:eastAsiaTheme="minorEastAsia"/>
                <w:color w:val="000000" w:themeColor="text1"/>
                <w:kern w:val="0"/>
                <w:sz w:val="24"/>
              </w:rPr>
              <w:t>非银行金融</w:t>
            </w:r>
            <w:r w:rsidRPr="00B34368">
              <w:rPr>
                <w:rFonts w:eastAsiaTheme="minorEastAsia"/>
                <w:color w:val="000000" w:themeColor="text1"/>
                <w:kern w:val="0"/>
                <w:sz w:val="24"/>
              </w:rPr>
              <w:t>ETF</w:t>
            </w:r>
            <w:r w:rsidRPr="00B34368">
              <w:rPr>
                <w:rFonts w:eastAsiaTheme="minorEastAsia"/>
                <w:color w:val="000000" w:themeColor="text1"/>
                <w:kern w:val="0"/>
                <w:sz w:val="24"/>
              </w:rPr>
              <w:t>的投资。本基金还可适度参与沪深</w:t>
            </w:r>
            <w:r w:rsidRPr="00B34368">
              <w:rPr>
                <w:rFonts w:eastAsiaTheme="minorEastAsia"/>
                <w:color w:val="000000" w:themeColor="text1"/>
                <w:kern w:val="0"/>
                <w:sz w:val="24"/>
              </w:rPr>
              <w:t>300</w:t>
            </w:r>
            <w:r w:rsidRPr="00B34368">
              <w:rPr>
                <w:rFonts w:eastAsiaTheme="minorEastAsia"/>
                <w:color w:val="000000" w:themeColor="text1"/>
                <w:kern w:val="0"/>
                <w:sz w:val="24"/>
              </w:rPr>
              <w:t>非银行金融</w:t>
            </w:r>
            <w:r w:rsidRPr="00B34368">
              <w:rPr>
                <w:rFonts w:eastAsiaTheme="minorEastAsia"/>
                <w:color w:val="000000" w:themeColor="text1"/>
                <w:kern w:val="0"/>
                <w:sz w:val="24"/>
              </w:rPr>
              <w:t>ETF</w:t>
            </w:r>
            <w:r w:rsidRPr="00B34368">
              <w:rPr>
                <w:rFonts w:eastAsiaTheme="minorEastAsia"/>
                <w:color w:val="000000" w:themeColor="text1"/>
                <w:kern w:val="0"/>
                <w:sz w:val="24"/>
              </w:rPr>
              <w:t>基金份额交易和申购、赎回之间的套利，以增强基金收益。本基金可以参与股指期货交易，但必须根据风险管理的原则，以套期保值为目的。</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lastRenderedPageBreak/>
              <w:t>业绩比较基准</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沪深</w:t>
            </w:r>
            <w:r w:rsidRPr="00B34368">
              <w:rPr>
                <w:rFonts w:eastAsiaTheme="minorEastAsia"/>
                <w:color w:val="000000" w:themeColor="text1"/>
                <w:kern w:val="0"/>
                <w:sz w:val="24"/>
              </w:rPr>
              <w:t>300</w:t>
            </w:r>
            <w:r w:rsidRPr="00B34368">
              <w:rPr>
                <w:rFonts w:eastAsiaTheme="minorEastAsia"/>
                <w:color w:val="000000" w:themeColor="text1"/>
                <w:kern w:val="0"/>
                <w:sz w:val="24"/>
              </w:rPr>
              <w:t>非银行金融指数收益率</w:t>
            </w:r>
            <w:r w:rsidRPr="00B34368">
              <w:rPr>
                <w:rFonts w:eastAsiaTheme="minorEastAsia"/>
                <w:color w:val="000000" w:themeColor="text1"/>
                <w:kern w:val="0"/>
                <w:sz w:val="24"/>
              </w:rPr>
              <w:t>×95%+</w:t>
            </w:r>
            <w:r w:rsidRPr="00B34368">
              <w:rPr>
                <w:rFonts w:eastAsiaTheme="minorEastAsia"/>
                <w:color w:val="000000" w:themeColor="text1"/>
                <w:kern w:val="0"/>
                <w:sz w:val="24"/>
              </w:rPr>
              <w:t>活期存款利率</w:t>
            </w:r>
            <w:r w:rsidRPr="00B34368">
              <w:rPr>
                <w:rFonts w:eastAsiaTheme="minorEastAsia"/>
                <w:color w:val="000000" w:themeColor="text1"/>
                <w:kern w:val="0"/>
                <w:sz w:val="24"/>
              </w:rPr>
              <w:t>(</w:t>
            </w:r>
            <w:r w:rsidRPr="00B34368">
              <w:rPr>
                <w:rFonts w:eastAsiaTheme="minorEastAsia"/>
                <w:color w:val="000000" w:themeColor="text1"/>
                <w:kern w:val="0"/>
                <w:sz w:val="24"/>
              </w:rPr>
              <w:t>税后</w:t>
            </w:r>
            <w:r w:rsidRPr="00B34368">
              <w:rPr>
                <w:rFonts w:eastAsiaTheme="minorEastAsia"/>
                <w:color w:val="000000" w:themeColor="text1"/>
                <w:kern w:val="0"/>
                <w:sz w:val="24"/>
              </w:rPr>
              <w:t>) ×5%</w:t>
            </w:r>
          </w:p>
        </w:tc>
      </w:tr>
      <w:tr w:rsidR="00D3639B" w:rsidRPr="00B34368" w:rsidTr="009A045B">
        <w:tc>
          <w:tcPr>
            <w:tcW w:w="2835" w:type="dxa"/>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风险收益特征</w:t>
            </w:r>
          </w:p>
        </w:tc>
        <w:tc>
          <w:tcPr>
            <w:tcW w:w="5479" w:type="dxa"/>
            <w:gridSpan w:val="2"/>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本基金是</w:t>
            </w:r>
            <w:r w:rsidRPr="00B34368">
              <w:rPr>
                <w:rFonts w:eastAsiaTheme="minorEastAsia"/>
                <w:color w:val="000000" w:themeColor="text1"/>
                <w:kern w:val="0"/>
                <w:sz w:val="24"/>
              </w:rPr>
              <w:t>ETF</w:t>
            </w:r>
            <w:r w:rsidRPr="00B34368">
              <w:rPr>
                <w:rFonts w:eastAsiaTheme="minorEastAsia"/>
                <w:color w:val="000000" w:themeColor="text1"/>
                <w:kern w:val="0"/>
                <w:sz w:val="24"/>
              </w:rPr>
              <w:t>联接基金，理论上其风险收益水平高于混合型基金、债券基金和货币市场基金。本基金主要通过投资于易方达沪深</w:t>
            </w:r>
            <w:r w:rsidRPr="00B34368">
              <w:rPr>
                <w:rFonts w:eastAsiaTheme="minorEastAsia"/>
                <w:color w:val="000000" w:themeColor="text1"/>
                <w:kern w:val="0"/>
                <w:sz w:val="24"/>
              </w:rPr>
              <w:t>300</w:t>
            </w:r>
            <w:r w:rsidRPr="00B34368">
              <w:rPr>
                <w:rFonts w:eastAsiaTheme="minorEastAsia"/>
                <w:color w:val="000000" w:themeColor="text1"/>
                <w:kern w:val="0"/>
                <w:sz w:val="24"/>
              </w:rPr>
              <w:t>非银行金融</w:t>
            </w:r>
            <w:r w:rsidRPr="00B34368">
              <w:rPr>
                <w:rFonts w:eastAsiaTheme="minorEastAsia"/>
                <w:color w:val="000000" w:themeColor="text1"/>
                <w:kern w:val="0"/>
                <w:sz w:val="24"/>
              </w:rPr>
              <w:t>ETF</w:t>
            </w:r>
            <w:r w:rsidRPr="00B34368">
              <w:rPr>
                <w:rFonts w:eastAsiaTheme="minorEastAsia"/>
                <w:color w:val="000000" w:themeColor="text1"/>
                <w:kern w:val="0"/>
                <w:sz w:val="24"/>
              </w:rPr>
              <w:t>实现对业绩比较基准的紧密跟踪，具有与业绩比较基准相似的风险收益特征。</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基金管理人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易方达基金管理有限公司</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基金托管人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中国建设银行股份有限公司</w:t>
            </w:r>
          </w:p>
        </w:tc>
      </w:tr>
      <w:tr w:rsidR="00D3639B" w:rsidRPr="00B34368" w:rsidTr="00950413">
        <w:tc>
          <w:tcPr>
            <w:tcW w:w="2835" w:type="dxa"/>
          </w:tcPr>
          <w:p w:rsidR="00950413" w:rsidRPr="00B34368" w:rsidRDefault="00075E4E" w:rsidP="00E205AA">
            <w:pPr>
              <w:adjustRightInd w:val="0"/>
              <w:spacing w:before="29" w:line="360" w:lineRule="auto"/>
              <w:ind w:left="17"/>
              <w:jc w:val="left"/>
              <w:rPr>
                <w:rFonts w:eastAsiaTheme="minorEastAsia"/>
                <w:color w:val="000000" w:themeColor="text1"/>
                <w:kern w:val="0"/>
                <w:sz w:val="24"/>
              </w:rPr>
            </w:pPr>
            <w:r>
              <w:rPr>
                <w:rFonts w:eastAsiaTheme="minorEastAsia" w:hAnsiTheme="minorEastAsia"/>
                <w:color w:val="000000" w:themeColor="text1"/>
                <w:sz w:val="24"/>
              </w:rPr>
              <w:t>下属</w:t>
            </w:r>
            <w:r>
              <w:rPr>
                <w:rFonts w:eastAsiaTheme="minorEastAsia" w:hAnsiTheme="minorEastAsia" w:hint="eastAsia"/>
                <w:color w:val="000000" w:themeColor="text1"/>
                <w:sz w:val="24"/>
              </w:rPr>
              <w:t>分</w:t>
            </w:r>
            <w:r w:rsidR="00950413" w:rsidRPr="00B34368">
              <w:rPr>
                <w:rFonts w:eastAsiaTheme="minorEastAsia" w:hAnsiTheme="minorEastAsia"/>
                <w:color w:val="000000" w:themeColor="text1"/>
                <w:sz w:val="24"/>
              </w:rPr>
              <w:t>级基金的基金简称</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非银联接</w:t>
            </w:r>
            <w:r w:rsidRPr="00B34368">
              <w:rPr>
                <w:rFonts w:eastAsiaTheme="minorEastAsia"/>
                <w:color w:val="000000" w:themeColor="text1"/>
                <w:sz w:val="24"/>
              </w:rPr>
              <w:t>A</w:t>
            </w:r>
          </w:p>
        </w:tc>
        <w:tc>
          <w:tcPr>
            <w:tcW w:w="2740"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非银联接</w:t>
            </w:r>
            <w:r w:rsidRPr="00B34368">
              <w:rPr>
                <w:rFonts w:eastAsiaTheme="minorEastAsia"/>
                <w:color w:val="000000" w:themeColor="text1"/>
                <w:sz w:val="24"/>
              </w:rPr>
              <w:t>C</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级基金的交易代码</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000950</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007882</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报告期末下属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级基金的份额总额</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1,565,359,999.47</w:t>
            </w:r>
            <w:r w:rsidR="00D305C9" w:rsidRPr="00B34368">
              <w:rPr>
                <w:rFonts w:eastAsiaTheme="minorEastAsia" w:hAnsiTheme="minorEastAsia"/>
                <w:color w:val="000000" w:themeColor="text1"/>
                <w:kern w:val="0"/>
                <w:sz w:val="24"/>
              </w:rPr>
              <w:t>份</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33,255,757.39</w:t>
            </w:r>
            <w:r w:rsidR="00D305C9" w:rsidRPr="00B34368">
              <w:rPr>
                <w:rFonts w:eastAsiaTheme="minorEastAsia" w:hAnsiTheme="minorEastAsia"/>
                <w:color w:val="000000" w:themeColor="text1"/>
                <w:kern w:val="0"/>
                <w:sz w:val="24"/>
              </w:rPr>
              <w:t>份</w:t>
            </w:r>
          </w:p>
        </w:tc>
      </w:tr>
    </w:tbl>
    <w:p w:rsidR="002C32ED" w:rsidRPr="00B34368" w:rsidRDefault="00A6200E"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注：自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20</w:t>
      </w:r>
      <w:r w:rsidRPr="00B34368">
        <w:rPr>
          <w:rFonts w:eastAsiaTheme="minorEastAsia"/>
          <w:color w:val="000000" w:themeColor="text1"/>
          <w:sz w:val="24"/>
        </w:rPr>
        <w:t>日起，本基金增设</w:t>
      </w:r>
      <w:r w:rsidRPr="00B34368">
        <w:rPr>
          <w:rFonts w:eastAsiaTheme="minorEastAsia"/>
          <w:color w:val="000000" w:themeColor="text1"/>
          <w:sz w:val="24"/>
        </w:rPr>
        <w:t>C</w:t>
      </w:r>
      <w:r w:rsidRPr="00B34368">
        <w:rPr>
          <w:rFonts w:eastAsiaTheme="minorEastAsia"/>
          <w:color w:val="000000" w:themeColor="text1"/>
          <w:sz w:val="24"/>
        </w:rPr>
        <w:t>类份额类别，份额首次确认日为</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21</w:t>
      </w:r>
      <w:r w:rsidRPr="00B34368">
        <w:rPr>
          <w:rFonts w:eastAsiaTheme="minorEastAsia"/>
          <w:color w:val="000000" w:themeColor="text1"/>
          <w:sz w:val="24"/>
        </w:rPr>
        <w:t>日。</w:t>
      </w:r>
    </w:p>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2.1.1</w:t>
      </w:r>
      <w:r w:rsidRPr="00B34368">
        <w:rPr>
          <w:rFonts w:ascii="Times New Roman" w:eastAsiaTheme="minorEastAsia" w:hAnsiTheme="minorEastAsia" w:cs="Times New Roman"/>
          <w:color w:val="000000" w:themeColor="text1"/>
          <w:szCs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非银行金融交易型开放式指数证券投资基金</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512070</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lastRenderedPageBreak/>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交易型开放式（</w:t>
            </w:r>
            <w:r w:rsidRPr="00B34368">
              <w:rPr>
                <w:rFonts w:eastAsiaTheme="minorEastAsia"/>
                <w:color w:val="000000" w:themeColor="text1"/>
                <w:sz w:val="24"/>
              </w:rPr>
              <w:t>ETF</w:t>
            </w:r>
            <w:r w:rsidRPr="00B34368">
              <w:rPr>
                <w:rFonts w:eastAsiaTheme="minorEastAsia"/>
                <w:color w:val="000000" w:themeColor="text1"/>
                <w:sz w:val="24"/>
              </w:rPr>
              <w:t>）</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2014</w:t>
            </w:r>
            <w:r w:rsidRPr="00B34368">
              <w:rPr>
                <w:rFonts w:eastAsiaTheme="minorEastAsia"/>
                <w:color w:val="000000" w:themeColor="text1"/>
                <w:sz w:val="24"/>
              </w:rPr>
              <w:t>年</w:t>
            </w:r>
            <w:r w:rsidRPr="00B34368">
              <w:rPr>
                <w:rFonts w:eastAsiaTheme="minorEastAsia"/>
                <w:color w:val="000000" w:themeColor="text1"/>
                <w:sz w:val="24"/>
              </w:rPr>
              <w:t>6</w:t>
            </w:r>
            <w:r w:rsidRPr="00B34368">
              <w:rPr>
                <w:rFonts w:eastAsiaTheme="minorEastAsia"/>
                <w:color w:val="000000" w:themeColor="text1"/>
                <w:sz w:val="24"/>
              </w:rPr>
              <w:t>月</w:t>
            </w:r>
            <w:r w:rsidRPr="00B34368">
              <w:rPr>
                <w:rFonts w:eastAsiaTheme="minorEastAsia"/>
                <w:color w:val="000000" w:themeColor="text1"/>
                <w:sz w:val="24"/>
              </w:rPr>
              <w:t>26</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上海证券交易所</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2014</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18</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易方达基金管理有限公司</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中国建设银行股份有限公司</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2.1.2</w:t>
      </w:r>
      <w:r w:rsidRPr="00B34368">
        <w:rPr>
          <w:rFonts w:ascii="Times New Roman" w:eastAsiaTheme="minorEastAsia" w:hAnsiTheme="minorEastAsia" w:cs="Times New Roman"/>
          <w:color w:val="000000" w:themeColor="text1"/>
          <w:szCs w:val="24"/>
        </w:rPr>
        <w:t>目标基金产品说明</w:t>
      </w:r>
    </w:p>
    <w:tbl>
      <w:tblPr>
        <w:tblW w:w="8460" w:type="dxa"/>
        <w:tblInd w:w="108" w:type="dxa"/>
        <w:tblLook w:val="0000" w:firstRow="0" w:lastRow="0" w:firstColumn="0" w:lastColumn="0" w:noHBand="0" w:noVBand="0"/>
      </w:tblPr>
      <w:tblGrid>
        <w:gridCol w:w="2820"/>
        <w:gridCol w:w="5640"/>
      </w:tblGrid>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紧密跟踪标的指数，追求跟踪偏离度和跟踪误差的最小化。</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主要采取完全复制法，即完全按照标的指数的成份股组成及其权重构建基金股票投资组合，并根据标的指数成份股及其权重的变动进行相应调整。但在因特殊情形导致基金无法完全投资于标的指数成份股时，基金管理人将采取其他指数投资技术适当调整基金投资组合，以达到紧密跟踪标的指数的目的。</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沪深</w:t>
            </w:r>
            <w:r w:rsidRPr="00B34368">
              <w:rPr>
                <w:rFonts w:eastAsiaTheme="minorEastAsia"/>
                <w:color w:val="000000" w:themeColor="text1"/>
                <w:sz w:val="24"/>
              </w:rPr>
              <w:t>300</w:t>
            </w:r>
            <w:r w:rsidRPr="00B34368">
              <w:rPr>
                <w:rFonts w:eastAsiaTheme="minorEastAsia"/>
                <w:color w:val="000000" w:themeColor="text1"/>
                <w:sz w:val="24"/>
              </w:rPr>
              <w:t>非银行金融指数</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属股票型基金，预期风险与预期收益水平高于混合型基金、债券型基金与货币市场基金。本基金为指数型基金，主要采用完全复制法跟踪标的指数的表现，具有与标的指数所代表的市场组合相似的风险收益特征。</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§3  </w:t>
      </w:r>
      <w:r w:rsidRPr="00B34368">
        <w:rPr>
          <w:rFonts w:eastAsiaTheme="minorEastAsia" w:hAnsiTheme="minorEastAsia"/>
          <w:color w:val="000000" w:themeColor="text1"/>
          <w:kern w:val="0"/>
          <w:sz w:val="24"/>
          <w:szCs w:val="24"/>
        </w:rPr>
        <w:t>主要财务指标和基金净值表现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3.1 </w:t>
      </w:r>
      <w:r w:rsidRPr="00B34368">
        <w:rPr>
          <w:rFonts w:eastAsiaTheme="minorEastAsia" w:hAnsiTheme="minorEastAsia"/>
          <w:b/>
          <w:color w:val="000000" w:themeColor="text1"/>
          <w:kern w:val="0"/>
          <w:sz w:val="24"/>
        </w:rPr>
        <w:t>主要财务指标</w:t>
      </w:r>
    </w:p>
    <w:p w:rsidR="009238DB" w:rsidRPr="00B34368"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D3639B" w:rsidRPr="00B34368" w:rsidTr="008B5312">
        <w:tc>
          <w:tcPr>
            <w:tcW w:w="3402" w:type="dxa"/>
            <w:vMerge w:val="restart"/>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主要财务指标</w:t>
            </w:r>
          </w:p>
        </w:tc>
        <w:tc>
          <w:tcPr>
            <w:tcW w:w="4962" w:type="dxa"/>
            <w:gridSpan w:val="2"/>
            <w:vAlign w:val="center"/>
          </w:tcPr>
          <w:p w:rsidR="002976E5"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报告期</w:t>
            </w:r>
          </w:p>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tc>
      </w:tr>
      <w:tr w:rsidR="00D3639B" w:rsidRPr="00B34368" w:rsidTr="008B5312">
        <w:tc>
          <w:tcPr>
            <w:tcW w:w="3402" w:type="dxa"/>
            <w:vMerge/>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p>
        </w:tc>
        <w:tc>
          <w:tcPr>
            <w:tcW w:w="2481" w:type="dxa"/>
            <w:vAlign w:val="center"/>
          </w:tcPr>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非银联接</w:t>
            </w:r>
            <w:r w:rsidRPr="00B34368">
              <w:rPr>
                <w:rFonts w:eastAsiaTheme="minorEastAsia"/>
                <w:color w:val="000000" w:themeColor="text1"/>
                <w:sz w:val="24"/>
              </w:rPr>
              <w:t>A</w:t>
            </w:r>
          </w:p>
        </w:tc>
        <w:tc>
          <w:tcPr>
            <w:tcW w:w="2481" w:type="dxa"/>
            <w:vAlign w:val="center"/>
          </w:tcPr>
          <w:p w:rsidR="009E549D" w:rsidRPr="00B34368" w:rsidRDefault="00FE7FB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非银联接</w:t>
            </w:r>
            <w:r w:rsidRPr="00B34368">
              <w:rPr>
                <w:rFonts w:eastAsiaTheme="minorEastAsia"/>
                <w:color w:val="000000" w:themeColor="text1"/>
                <w:sz w:val="24"/>
              </w:rPr>
              <w:t>C</w:t>
            </w:r>
          </w:p>
        </w:tc>
      </w:tr>
      <w:tr w:rsidR="00D3639B" w:rsidRPr="00B34368" w:rsidTr="00973B57">
        <w:tc>
          <w:tcPr>
            <w:tcW w:w="3402" w:type="dxa"/>
          </w:tcPr>
          <w:p w:rsidR="005F293E" w:rsidRPr="00B34368" w:rsidRDefault="005F293E" w:rsidP="00973B57">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1.</w:t>
            </w:r>
            <w:r w:rsidRPr="00B34368">
              <w:rPr>
                <w:rFonts w:eastAsiaTheme="minorEastAsia" w:hAnsiTheme="minorEastAsia"/>
                <w:color w:val="000000" w:themeColor="text1"/>
                <w:kern w:val="0"/>
                <w:sz w:val="24"/>
              </w:rPr>
              <w:t>本期已实现收益</w:t>
            </w:r>
          </w:p>
        </w:tc>
        <w:tc>
          <w:tcPr>
            <w:tcW w:w="2481" w:type="dxa"/>
            <w:vAlign w:val="bottom"/>
          </w:tcPr>
          <w:p w:rsidR="005F293E" w:rsidRPr="00B34368" w:rsidRDefault="005F293E" w:rsidP="00973B57">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21,848,325.30</w:t>
            </w:r>
          </w:p>
        </w:tc>
        <w:tc>
          <w:tcPr>
            <w:tcW w:w="2481" w:type="dxa"/>
            <w:vAlign w:val="bottom"/>
          </w:tcPr>
          <w:p w:rsidR="005F293E" w:rsidRPr="00B34368" w:rsidRDefault="00FE7FBD" w:rsidP="0037768B">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131,790.83</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2.</w:t>
            </w:r>
            <w:r w:rsidRPr="00B34368">
              <w:rPr>
                <w:rFonts w:eastAsiaTheme="minorEastAsia" w:hAnsiTheme="minorEastAsia"/>
                <w:color w:val="000000" w:themeColor="text1"/>
                <w:kern w:val="0"/>
                <w:sz w:val="24"/>
              </w:rPr>
              <w:t>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-56,194,914.44</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-1,098,591.18</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3.</w:t>
            </w:r>
            <w:r w:rsidRPr="00B34368">
              <w:rPr>
                <w:rFonts w:eastAsiaTheme="minorEastAsia" w:hAnsiTheme="minorEastAsia"/>
                <w:color w:val="000000" w:themeColor="text1"/>
                <w:kern w:val="0"/>
                <w:sz w:val="24"/>
              </w:rPr>
              <w:t>加权平均基金份额本期利润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-0.0389</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-0.0748</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4.</w:t>
            </w:r>
            <w:r w:rsidRPr="00B34368">
              <w:rPr>
                <w:rFonts w:eastAsiaTheme="minorEastAsia" w:hAnsiTheme="minorEastAsia"/>
                <w:color w:val="000000" w:themeColor="text1"/>
                <w:kern w:val="0"/>
                <w:sz w:val="24"/>
              </w:rPr>
              <w:t>期末基金资产净值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1,566,606,459.03</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33,272,406.27</w:t>
            </w:r>
          </w:p>
        </w:tc>
      </w:tr>
      <w:tr w:rsidR="00D3639B" w:rsidRPr="00B34368" w:rsidTr="009A5C1D">
        <w:trPr>
          <w:trHeight w:val="158"/>
        </w:trPr>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5.</w:t>
            </w:r>
            <w:r w:rsidRPr="00B34368">
              <w:rPr>
                <w:rFonts w:eastAsiaTheme="minorEastAsia" w:hAnsiTheme="minorEastAsia"/>
                <w:color w:val="000000" w:themeColor="text1"/>
                <w:kern w:val="0"/>
                <w:sz w:val="24"/>
              </w:rPr>
              <w:t>期末基金份额净值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1.0008</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1.0005</w:t>
            </w:r>
          </w:p>
        </w:tc>
      </w:tr>
    </w:tbl>
    <w:p w:rsidR="000172F7" w:rsidRDefault="0012435B">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所述基金业绩指标不包括持有人认购或交易基金的各项费用，计入费用后实际收益水平要低于所列数字。</w:t>
      </w:r>
    </w:p>
    <w:p w:rsidR="000172F7" w:rsidRDefault="0012435B">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本期已实现收益指基金本期利息收入、投资收益、其他收入（不含公允价值变动收益）扣除相关费用后的余额，本期利润为本期已实现收益加上本期公允价值变动收益。</w:t>
      </w:r>
    </w:p>
    <w:p w:rsidR="009238DB" w:rsidRPr="00B34368" w:rsidRDefault="005E01A3"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3.</w:t>
      </w:r>
      <w:r w:rsidRPr="00B34368">
        <w:rPr>
          <w:rFonts w:eastAsiaTheme="minorEastAsia"/>
          <w:color w:val="000000" w:themeColor="text1"/>
          <w:sz w:val="24"/>
        </w:rPr>
        <w:t>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20</w:t>
      </w:r>
      <w:r w:rsidRPr="00B34368">
        <w:rPr>
          <w:rFonts w:eastAsiaTheme="minorEastAsia"/>
          <w:color w:val="000000" w:themeColor="text1"/>
          <w:sz w:val="24"/>
        </w:rPr>
        <w:t>日起，本基金增设</w:t>
      </w:r>
      <w:r w:rsidRPr="00B34368">
        <w:rPr>
          <w:rFonts w:eastAsiaTheme="minorEastAsia"/>
          <w:color w:val="000000" w:themeColor="text1"/>
          <w:sz w:val="24"/>
        </w:rPr>
        <w:t>C</w:t>
      </w:r>
      <w:r w:rsidRPr="00B34368">
        <w:rPr>
          <w:rFonts w:eastAsiaTheme="minorEastAsia"/>
          <w:color w:val="000000" w:themeColor="text1"/>
          <w:sz w:val="24"/>
        </w:rPr>
        <w:t>类份额类别，份额首次确认日为</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21</w:t>
      </w:r>
      <w:r w:rsidRPr="00B34368">
        <w:rPr>
          <w:rFonts w:eastAsiaTheme="minorEastAsia"/>
          <w:color w:val="000000" w:themeColor="text1"/>
          <w:sz w:val="24"/>
        </w:rPr>
        <w:t>日，增设当期的相关数据和指标按实际存续期计算。</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3.2 </w:t>
      </w:r>
      <w:r w:rsidRPr="00B34368">
        <w:rPr>
          <w:rFonts w:eastAsiaTheme="minorEastAsia" w:hAnsiTheme="minorEastAsia"/>
          <w:b/>
          <w:color w:val="000000" w:themeColor="text1"/>
          <w:kern w:val="0"/>
          <w:sz w:val="24"/>
        </w:rPr>
        <w:t>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3.2.1</w:t>
      </w:r>
      <w:r w:rsidRPr="00B34368">
        <w:rPr>
          <w:rFonts w:eastAsiaTheme="minorEastAsia" w:hAnsiTheme="minorEastAsia"/>
          <w:b/>
          <w:color w:val="000000" w:themeColor="text1"/>
          <w:kern w:val="0"/>
          <w:sz w:val="24"/>
        </w:rPr>
        <w:t>本报告期基金份额净值增长率及其与同期业绩比较基准收益率的比较</w:t>
      </w:r>
    </w:p>
    <w:p w:rsidR="009238DB" w:rsidRPr="00B34368" w:rsidRDefault="00A5643A" w:rsidP="00FC13C8">
      <w:pPr>
        <w:spacing w:line="360" w:lineRule="auto"/>
        <w:rPr>
          <w:rFonts w:eastAsiaTheme="minorEastAsia"/>
          <w:b/>
          <w:color w:val="000000" w:themeColor="text1"/>
          <w:sz w:val="24"/>
        </w:rPr>
      </w:pPr>
      <w:r w:rsidRPr="00B34368">
        <w:rPr>
          <w:rFonts w:eastAsiaTheme="minorEastAsia"/>
          <w:b/>
          <w:color w:val="000000" w:themeColor="text1"/>
          <w:kern w:val="0"/>
          <w:sz w:val="24"/>
        </w:rPr>
        <w:t>易方达沪深</w:t>
      </w:r>
      <w:r w:rsidRPr="00B34368">
        <w:rPr>
          <w:rFonts w:eastAsiaTheme="minorEastAsia"/>
          <w:b/>
          <w:color w:val="000000" w:themeColor="text1"/>
          <w:kern w:val="0"/>
          <w:sz w:val="24"/>
        </w:rPr>
        <w:t>300</w:t>
      </w:r>
      <w:r w:rsidRPr="00B34368">
        <w:rPr>
          <w:rFonts w:eastAsiaTheme="minorEastAsia"/>
          <w:b/>
          <w:color w:val="000000" w:themeColor="text1"/>
          <w:kern w:val="0"/>
          <w:sz w:val="24"/>
        </w:rPr>
        <w:t>非银联接</w:t>
      </w:r>
      <w:r w:rsidRPr="00B34368">
        <w:rPr>
          <w:rFonts w:eastAsiaTheme="minorEastAsia"/>
          <w:b/>
          <w:color w:val="000000" w:themeColor="text1"/>
          <w:kern w:val="0"/>
          <w:sz w:val="24"/>
        </w:rPr>
        <w:t>A</w:t>
      </w:r>
      <w:r w:rsidR="009238DB" w:rsidRPr="00B34368">
        <w:rPr>
          <w:rFonts w:eastAsiaTheme="minorEastAsia" w:hAnsiTheme="minorEastAsia"/>
          <w:b/>
          <w:color w:val="000000" w:themeColor="text1"/>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0172F7">
        <w:tc>
          <w:tcPr>
            <w:tcW w:w="1290" w:type="dxa"/>
            <w:vAlign w:val="center"/>
          </w:tcPr>
          <w:p w:rsidR="000172F7" w:rsidRDefault="0012435B">
            <w:pPr>
              <w:jc w:val="left"/>
            </w:pPr>
            <w:r>
              <w:rPr>
                <w:rFonts w:eastAsiaTheme="minorEastAsia"/>
                <w:color w:val="000000" w:themeColor="text1"/>
                <w:sz w:val="24"/>
              </w:rPr>
              <w:t>过去三个月</w:t>
            </w:r>
          </w:p>
        </w:tc>
        <w:tc>
          <w:tcPr>
            <w:tcW w:w="1291" w:type="dxa"/>
            <w:vAlign w:val="center"/>
          </w:tcPr>
          <w:p w:rsidR="000172F7" w:rsidRDefault="0012435B">
            <w:pPr>
              <w:jc w:val="right"/>
            </w:pPr>
            <w:r>
              <w:rPr>
                <w:rFonts w:eastAsiaTheme="minorEastAsia"/>
                <w:color w:val="000000" w:themeColor="text1"/>
                <w:sz w:val="24"/>
              </w:rPr>
              <w:t>-2.92%</w:t>
            </w:r>
          </w:p>
        </w:tc>
        <w:tc>
          <w:tcPr>
            <w:tcW w:w="1291" w:type="dxa"/>
            <w:vAlign w:val="center"/>
          </w:tcPr>
          <w:p w:rsidR="000172F7" w:rsidRDefault="0012435B">
            <w:pPr>
              <w:jc w:val="right"/>
            </w:pPr>
            <w:r>
              <w:rPr>
                <w:rFonts w:eastAsiaTheme="minorEastAsia"/>
                <w:color w:val="000000" w:themeColor="text1"/>
                <w:sz w:val="24"/>
              </w:rPr>
              <w:t>1.24%</w:t>
            </w:r>
          </w:p>
        </w:tc>
        <w:tc>
          <w:tcPr>
            <w:tcW w:w="1291" w:type="dxa"/>
            <w:vAlign w:val="center"/>
          </w:tcPr>
          <w:p w:rsidR="000172F7" w:rsidRDefault="0012435B">
            <w:pPr>
              <w:jc w:val="right"/>
            </w:pPr>
            <w:r>
              <w:rPr>
                <w:rFonts w:eastAsiaTheme="minorEastAsia"/>
                <w:color w:val="000000" w:themeColor="text1"/>
                <w:sz w:val="24"/>
              </w:rPr>
              <w:t>-3.96%</w:t>
            </w:r>
          </w:p>
        </w:tc>
        <w:tc>
          <w:tcPr>
            <w:tcW w:w="1291" w:type="dxa"/>
            <w:vAlign w:val="center"/>
          </w:tcPr>
          <w:p w:rsidR="000172F7" w:rsidRDefault="0012435B">
            <w:pPr>
              <w:jc w:val="right"/>
            </w:pPr>
            <w:r>
              <w:rPr>
                <w:rFonts w:eastAsiaTheme="minorEastAsia"/>
                <w:color w:val="000000" w:themeColor="text1"/>
                <w:sz w:val="24"/>
              </w:rPr>
              <w:t>1.24%</w:t>
            </w:r>
          </w:p>
        </w:tc>
        <w:tc>
          <w:tcPr>
            <w:tcW w:w="1291" w:type="dxa"/>
            <w:vAlign w:val="center"/>
          </w:tcPr>
          <w:p w:rsidR="000172F7" w:rsidRDefault="0012435B">
            <w:pPr>
              <w:jc w:val="right"/>
            </w:pPr>
            <w:r>
              <w:rPr>
                <w:rFonts w:eastAsiaTheme="minorEastAsia"/>
                <w:color w:val="000000" w:themeColor="text1"/>
                <w:sz w:val="24"/>
              </w:rPr>
              <w:t>1.04%</w:t>
            </w:r>
          </w:p>
        </w:tc>
        <w:tc>
          <w:tcPr>
            <w:tcW w:w="1291" w:type="dxa"/>
            <w:vAlign w:val="center"/>
          </w:tcPr>
          <w:p w:rsidR="000172F7" w:rsidRDefault="0012435B">
            <w:pPr>
              <w:jc w:val="right"/>
            </w:pPr>
            <w:r>
              <w:rPr>
                <w:rFonts w:eastAsiaTheme="minorEastAsia"/>
                <w:color w:val="000000" w:themeColor="text1"/>
                <w:sz w:val="24"/>
              </w:rPr>
              <w:t>0.00%</w:t>
            </w:r>
          </w:p>
        </w:tc>
      </w:tr>
    </w:tbl>
    <w:p w:rsidR="009238DB" w:rsidRPr="00B34368" w:rsidRDefault="00FE7FBD" w:rsidP="00C544B8">
      <w:pPr>
        <w:adjustRightInd w:val="0"/>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易方达沪深</w:t>
      </w:r>
      <w:r w:rsidRPr="00B34368">
        <w:rPr>
          <w:rFonts w:eastAsiaTheme="minorEastAsia"/>
          <w:b/>
          <w:color w:val="000000" w:themeColor="text1"/>
          <w:kern w:val="0"/>
          <w:sz w:val="24"/>
        </w:rPr>
        <w:t>300</w:t>
      </w:r>
      <w:r w:rsidRPr="00B34368">
        <w:rPr>
          <w:rFonts w:eastAsiaTheme="minorEastAsia"/>
          <w:b/>
          <w:color w:val="000000" w:themeColor="text1"/>
          <w:kern w:val="0"/>
          <w:sz w:val="24"/>
        </w:rPr>
        <w:t>非银联接</w:t>
      </w:r>
      <w:r w:rsidRPr="00B34368">
        <w:rPr>
          <w:rFonts w:eastAsiaTheme="minorEastAsia"/>
          <w:b/>
          <w:color w:val="000000" w:themeColor="text1"/>
          <w:kern w:val="0"/>
          <w:sz w:val="24"/>
        </w:rPr>
        <w:t>C</w:t>
      </w:r>
      <w:r w:rsidR="009238DB" w:rsidRPr="00B34368">
        <w:rPr>
          <w:rFonts w:eastAsiaTheme="minorEastAsia" w:hAnsiTheme="minorEastAsia"/>
          <w:b/>
          <w:color w:val="000000" w:themeColor="text1"/>
          <w:kern w:val="0"/>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0172F7">
        <w:tc>
          <w:tcPr>
            <w:tcW w:w="1290" w:type="dxa"/>
            <w:vAlign w:val="center"/>
          </w:tcPr>
          <w:p w:rsidR="000172F7" w:rsidRDefault="0012435B">
            <w:pPr>
              <w:jc w:val="left"/>
            </w:pPr>
            <w:r>
              <w:rPr>
                <w:rFonts w:eastAsiaTheme="minorEastAsia"/>
                <w:color w:val="000000" w:themeColor="text1"/>
                <w:sz w:val="24"/>
              </w:rPr>
              <w:t>过去三个月</w:t>
            </w:r>
          </w:p>
        </w:tc>
        <w:tc>
          <w:tcPr>
            <w:tcW w:w="1291" w:type="dxa"/>
            <w:vAlign w:val="center"/>
          </w:tcPr>
          <w:p w:rsidR="000172F7" w:rsidRDefault="0012435B">
            <w:pPr>
              <w:jc w:val="right"/>
            </w:pPr>
            <w:r>
              <w:rPr>
                <w:rFonts w:eastAsiaTheme="minorEastAsia"/>
                <w:color w:val="000000" w:themeColor="text1"/>
                <w:sz w:val="24"/>
              </w:rPr>
              <w:t>-1.00%</w:t>
            </w:r>
          </w:p>
        </w:tc>
        <w:tc>
          <w:tcPr>
            <w:tcW w:w="1291" w:type="dxa"/>
            <w:vAlign w:val="center"/>
          </w:tcPr>
          <w:p w:rsidR="000172F7" w:rsidRDefault="0012435B">
            <w:pPr>
              <w:jc w:val="right"/>
            </w:pPr>
            <w:r>
              <w:rPr>
                <w:rFonts w:eastAsiaTheme="minorEastAsia"/>
                <w:color w:val="000000" w:themeColor="text1"/>
                <w:sz w:val="24"/>
              </w:rPr>
              <w:t>1.10%</w:t>
            </w:r>
          </w:p>
        </w:tc>
        <w:tc>
          <w:tcPr>
            <w:tcW w:w="1291" w:type="dxa"/>
            <w:vAlign w:val="center"/>
          </w:tcPr>
          <w:p w:rsidR="000172F7" w:rsidRDefault="0012435B">
            <w:pPr>
              <w:jc w:val="right"/>
            </w:pPr>
            <w:r>
              <w:rPr>
                <w:rFonts w:eastAsiaTheme="minorEastAsia"/>
                <w:color w:val="000000" w:themeColor="text1"/>
                <w:sz w:val="24"/>
              </w:rPr>
              <w:t>-1.51%</w:t>
            </w:r>
          </w:p>
        </w:tc>
        <w:tc>
          <w:tcPr>
            <w:tcW w:w="1291" w:type="dxa"/>
            <w:vAlign w:val="center"/>
          </w:tcPr>
          <w:p w:rsidR="000172F7" w:rsidRDefault="0012435B">
            <w:pPr>
              <w:jc w:val="right"/>
            </w:pPr>
            <w:r>
              <w:rPr>
                <w:rFonts w:eastAsiaTheme="minorEastAsia"/>
                <w:color w:val="000000" w:themeColor="text1"/>
                <w:sz w:val="24"/>
              </w:rPr>
              <w:t>1.10%</w:t>
            </w:r>
          </w:p>
        </w:tc>
        <w:tc>
          <w:tcPr>
            <w:tcW w:w="1291" w:type="dxa"/>
            <w:vAlign w:val="center"/>
          </w:tcPr>
          <w:p w:rsidR="000172F7" w:rsidRDefault="0012435B">
            <w:pPr>
              <w:jc w:val="right"/>
            </w:pPr>
            <w:r>
              <w:rPr>
                <w:rFonts w:eastAsiaTheme="minorEastAsia"/>
                <w:color w:val="000000" w:themeColor="text1"/>
                <w:sz w:val="24"/>
              </w:rPr>
              <w:t>0.51%</w:t>
            </w:r>
          </w:p>
        </w:tc>
        <w:tc>
          <w:tcPr>
            <w:tcW w:w="1291" w:type="dxa"/>
            <w:vAlign w:val="center"/>
          </w:tcPr>
          <w:p w:rsidR="000172F7" w:rsidRDefault="0012435B">
            <w:pPr>
              <w:jc w:val="right"/>
            </w:pPr>
            <w:r>
              <w:rPr>
                <w:rFonts w:eastAsiaTheme="minorEastAsia"/>
                <w:color w:val="000000" w:themeColor="text1"/>
                <w:sz w:val="24"/>
              </w:rPr>
              <w:t>0.00%</w:t>
            </w:r>
          </w:p>
        </w:tc>
      </w:tr>
    </w:tbl>
    <w:p w:rsidR="009238DB" w:rsidRPr="00B34368" w:rsidRDefault="009238DB" w:rsidP="00C544B8">
      <w:pPr>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3.2.2</w:t>
      </w:r>
      <w:r w:rsidRPr="00B34368">
        <w:rPr>
          <w:rFonts w:eastAsiaTheme="minorEastAsia" w:hAnsiTheme="minorEastAsia"/>
          <w:b/>
          <w:color w:val="000000" w:themeColor="text1"/>
          <w:kern w:val="0"/>
          <w:sz w:val="24"/>
        </w:rPr>
        <w:t xml:space="preserve">　</w:t>
      </w:r>
      <w:r w:rsidR="00285166" w:rsidRPr="00285166">
        <w:rPr>
          <w:rFonts w:eastAsiaTheme="minorEastAsia" w:hAnsiTheme="minorEastAsia" w:hint="eastAsia"/>
          <w:b/>
          <w:color w:val="000000" w:themeColor="text1"/>
          <w:sz w:val="24"/>
        </w:rPr>
        <w:t>自基金合同生效以来</w:t>
      </w:r>
      <w:r w:rsidR="00BF57BE" w:rsidRPr="00B34368">
        <w:rPr>
          <w:rFonts w:eastAsiaTheme="minorEastAsia" w:hAnsiTheme="minorEastAsia"/>
          <w:b/>
          <w:color w:val="000000" w:themeColor="text1"/>
          <w:sz w:val="24"/>
        </w:rPr>
        <w:t>基金累计净值增长率变动及其与同期业绩比较基准收益率变动的比较</w:t>
      </w:r>
    </w:p>
    <w:p w:rsidR="009A045B" w:rsidRPr="00B34368" w:rsidRDefault="009A045B" w:rsidP="00FC13C8">
      <w:pPr>
        <w:spacing w:line="360" w:lineRule="auto"/>
        <w:jc w:val="center"/>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非银行金融交易型开放式指数证券投资基金联接基金</w:t>
      </w:r>
    </w:p>
    <w:p w:rsidR="00022396" w:rsidRPr="00B34368"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B34368">
        <w:rPr>
          <w:rFonts w:ascii="Times New Roman" w:eastAsiaTheme="minorEastAsia" w:hAnsiTheme="minorEastAsia"/>
          <w:color w:val="000000" w:themeColor="text1"/>
          <w:sz w:val="24"/>
          <w:szCs w:val="24"/>
        </w:rPr>
        <w:t>累计净值增长率与业绩比较基准收益率的历史走势对比图</w:t>
      </w:r>
    </w:p>
    <w:p w:rsidR="003C67C6" w:rsidRDefault="0042785F" w:rsidP="00FC13C8">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非银联接</w:t>
      </w:r>
      <w:r w:rsidRPr="00B34368">
        <w:rPr>
          <w:rFonts w:eastAsiaTheme="minorEastAsia"/>
          <w:color w:val="000000" w:themeColor="text1"/>
          <w:sz w:val="24"/>
        </w:rPr>
        <w:t>A</w:t>
      </w:r>
      <w:r w:rsidR="009238DB" w:rsidRPr="00B34368">
        <w:rPr>
          <w:rFonts w:eastAsiaTheme="minorEastAsia" w:hAnsiTheme="minorEastAsia"/>
          <w:color w:val="000000" w:themeColor="text1"/>
          <w:sz w:val="24"/>
        </w:rPr>
        <w:t>：</w:t>
      </w:r>
    </w:p>
    <w:p w:rsidR="009238DB" w:rsidRPr="00B34368" w:rsidRDefault="003C67C6" w:rsidP="003C67C6">
      <w:pPr>
        <w:snapToGrid w:val="0"/>
        <w:spacing w:line="360" w:lineRule="auto"/>
        <w:jc w:val="center"/>
        <w:rPr>
          <w:rFonts w:eastAsiaTheme="minorEastAsia"/>
          <w:color w:val="000000" w:themeColor="text1"/>
          <w:sz w:val="24"/>
        </w:rPr>
      </w:pPr>
      <w:r w:rsidRPr="00B34368">
        <w:rPr>
          <w:rFonts w:eastAsiaTheme="minorEastAsia"/>
          <w:color w:val="000000" w:themeColor="text1"/>
          <w:sz w:val="24"/>
        </w:rPr>
        <w:t>(2015</w:t>
      </w:r>
      <w:r w:rsidRPr="00B34368">
        <w:rPr>
          <w:rFonts w:eastAsiaTheme="minorEastAsia"/>
          <w:color w:val="000000" w:themeColor="text1"/>
          <w:sz w:val="24"/>
        </w:rPr>
        <w:t>年</w:t>
      </w:r>
      <w:r w:rsidRPr="00B34368">
        <w:rPr>
          <w:rFonts w:eastAsiaTheme="minorEastAsia"/>
          <w:color w:val="000000" w:themeColor="text1"/>
          <w:sz w:val="24"/>
        </w:rPr>
        <w:t>1</w:t>
      </w:r>
      <w:r w:rsidRPr="00B34368">
        <w:rPr>
          <w:rFonts w:eastAsiaTheme="minorEastAsia"/>
          <w:color w:val="000000" w:themeColor="text1"/>
          <w:sz w:val="24"/>
        </w:rPr>
        <w:t>月</w:t>
      </w:r>
      <w:r w:rsidRPr="00B34368">
        <w:rPr>
          <w:rFonts w:eastAsiaTheme="minorEastAsia"/>
          <w:color w:val="000000" w:themeColor="text1"/>
          <w:sz w:val="24"/>
        </w:rPr>
        <w:t>22</w:t>
      </w:r>
      <w:r w:rsidRPr="00B34368">
        <w:rPr>
          <w:rFonts w:eastAsiaTheme="minor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6F5B4C"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3C67C6" w:rsidRDefault="00FE7FBD" w:rsidP="003C67C6">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非银联接</w:t>
      </w:r>
      <w:r w:rsidRPr="00B34368">
        <w:rPr>
          <w:rFonts w:eastAsiaTheme="minorEastAsia"/>
          <w:color w:val="000000" w:themeColor="text1"/>
          <w:sz w:val="24"/>
        </w:rPr>
        <w:t>C</w:t>
      </w:r>
      <w:r w:rsidR="0042785F" w:rsidRPr="00B34368">
        <w:rPr>
          <w:rFonts w:eastAsiaTheme="minorEastAsia" w:hAnsiTheme="minorEastAsia"/>
          <w:color w:val="000000" w:themeColor="text1"/>
          <w:sz w:val="24"/>
        </w:rPr>
        <w:t>：</w:t>
      </w:r>
    </w:p>
    <w:p w:rsidR="009238DB" w:rsidRPr="00B34368" w:rsidRDefault="003C67C6" w:rsidP="003C67C6">
      <w:pPr>
        <w:snapToGrid w:val="0"/>
        <w:spacing w:beforeLines="100" w:before="312" w:line="360" w:lineRule="auto"/>
        <w:jc w:val="center"/>
        <w:rPr>
          <w:rFonts w:eastAsiaTheme="minorEastAsia"/>
          <w:color w:val="000000" w:themeColor="text1"/>
          <w:sz w:val="24"/>
        </w:rPr>
      </w:pPr>
      <w:r w:rsidRPr="00B34368">
        <w:rPr>
          <w:rFonts w:eastAsiaTheme="minorEastAsia"/>
          <w:color w:val="000000" w:themeColor="text1"/>
          <w:sz w:val="24"/>
        </w:rPr>
        <w:t>(</w:t>
      </w:r>
      <w:r w:rsidR="00FE7DDE" w:rsidRPr="00FE7DDE">
        <w:rPr>
          <w:rFonts w:hint="eastAsia"/>
          <w:sz w:val="24"/>
        </w:rPr>
        <w:t>201</w:t>
      </w:r>
      <w:r w:rsidR="009A376D">
        <w:rPr>
          <w:sz w:val="24"/>
        </w:rPr>
        <w:t>9</w:t>
      </w:r>
      <w:r w:rsidR="00FE7DDE" w:rsidRPr="00FE7DDE">
        <w:rPr>
          <w:rFonts w:hint="eastAsia"/>
          <w:sz w:val="24"/>
        </w:rPr>
        <w:t>年</w:t>
      </w:r>
      <w:r w:rsidR="0093006B">
        <w:rPr>
          <w:rFonts w:hint="eastAsia"/>
          <w:sz w:val="24"/>
        </w:rPr>
        <w:t>8</w:t>
      </w:r>
      <w:r w:rsidR="00FE7DDE" w:rsidRPr="00FE7DDE">
        <w:rPr>
          <w:rFonts w:hint="eastAsia"/>
          <w:sz w:val="24"/>
        </w:rPr>
        <w:t>月</w:t>
      </w:r>
      <w:r w:rsidR="009A376D">
        <w:rPr>
          <w:rFonts w:hint="eastAsia"/>
          <w:sz w:val="24"/>
        </w:rPr>
        <w:t>2</w:t>
      </w:r>
      <w:r w:rsidR="0093006B">
        <w:rPr>
          <w:rFonts w:hint="eastAsia"/>
          <w:sz w:val="24"/>
        </w:rPr>
        <w:t>1</w:t>
      </w:r>
      <w:r w:rsidR="00FE7DDE" w:rsidRPr="00FE7DDE">
        <w:rPr>
          <w:rFonts w:hint="eastAsia"/>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B70229"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自</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8</w:t>
      </w:r>
      <w:r>
        <w:rPr>
          <w:rFonts w:eastAsiaTheme="minorEastAsia"/>
          <w:color w:val="000000" w:themeColor="text1"/>
          <w:sz w:val="24"/>
        </w:rPr>
        <w:t>月</w:t>
      </w:r>
      <w:r>
        <w:rPr>
          <w:rFonts w:eastAsiaTheme="minorEastAsia"/>
          <w:color w:val="000000" w:themeColor="text1"/>
          <w:sz w:val="24"/>
        </w:rPr>
        <w:t>20</w:t>
      </w:r>
      <w:r>
        <w:rPr>
          <w:rFonts w:eastAsiaTheme="minorEastAsia"/>
          <w:color w:val="000000" w:themeColor="text1"/>
          <w:sz w:val="24"/>
        </w:rPr>
        <w:t>日起，本基金增设</w:t>
      </w:r>
      <w:r>
        <w:rPr>
          <w:rFonts w:eastAsiaTheme="minorEastAsia"/>
          <w:color w:val="000000" w:themeColor="text1"/>
          <w:sz w:val="24"/>
        </w:rPr>
        <w:t>C</w:t>
      </w:r>
      <w:r>
        <w:rPr>
          <w:rFonts w:eastAsiaTheme="minorEastAsia"/>
          <w:color w:val="000000" w:themeColor="text1"/>
          <w:sz w:val="24"/>
        </w:rPr>
        <w:t>类份额类别，份额首次确认日为</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8</w:t>
      </w:r>
      <w:r>
        <w:rPr>
          <w:rFonts w:eastAsiaTheme="minorEastAsia"/>
          <w:color w:val="000000" w:themeColor="text1"/>
          <w:sz w:val="24"/>
        </w:rPr>
        <w:t>月</w:t>
      </w:r>
      <w:r>
        <w:rPr>
          <w:rFonts w:eastAsiaTheme="minorEastAsia"/>
          <w:color w:val="000000" w:themeColor="text1"/>
          <w:sz w:val="24"/>
        </w:rPr>
        <w:t>21</w:t>
      </w:r>
      <w:r>
        <w:rPr>
          <w:rFonts w:eastAsiaTheme="minorEastAsia"/>
          <w:color w:val="000000" w:themeColor="text1"/>
          <w:sz w:val="24"/>
        </w:rPr>
        <w:t>日，增设当期的相关数据和指标按实际存续期计算。</w:t>
      </w:r>
    </w:p>
    <w:p w:rsidR="00973B57" w:rsidRPr="00B34368" w:rsidRDefault="00757FD7"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自基金合同生效至报告期末，</w:t>
      </w:r>
      <w:r w:rsidRPr="00B34368">
        <w:rPr>
          <w:rFonts w:eastAsiaTheme="minorEastAsia"/>
          <w:color w:val="000000" w:themeColor="text1"/>
          <w:sz w:val="24"/>
        </w:rPr>
        <w:t>A</w:t>
      </w:r>
      <w:r w:rsidRPr="00B34368">
        <w:rPr>
          <w:rFonts w:eastAsiaTheme="minorEastAsia"/>
          <w:color w:val="000000" w:themeColor="text1"/>
          <w:sz w:val="24"/>
        </w:rPr>
        <w:t>类基金份额净值增长率为</w:t>
      </w:r>
      <w:r w:rsidRPr="00B34368">
        <w:rPr>
          <w:rFonts w:eastAsiaTheme="minorEastAsia"/>
          <w:color w:val="000000" w:themeColor="text1"/>
          <w:sz w:val="24"/>
        </w:rPr>
        <w:t>0.08%</w:t>
      </w:r>
      <w:r w:rsidRPr="00B34368">
        <w:rPr>
          <w:rFonts w:eastAsiaTheme="minorEastAsia"/>
          <w:color w:val="000000" w:themeColor="text1"/>
          <w:sz w:val="24"/>
        </w:rPr>
        <w:t>，同期业绩比较基准收益率为</w:t>
      </w:r>
      <w:r w:rsidRPr="00B34368">
        <w:rPr>
          <w:rFonts w:eastAsiaTheme="minorEastAsia"/>
          <w:color w:val="000000" w:themeColor="text1"/>
          <w:sz w:val="24"/>
        </w:rPr>
        <w:t>-7.70%</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类基金份额净值增长率为</w:t>
      </w:r>
      <w:r w:rsidRPr="00B34368">
        <w:rPr>
          <w:rFonts w:eastAsiaTheme="minorEastAsia"/>
          <w:color w:val="000000" w:themeColor="text1"/>
          <w:sz w:val="24"/>
        </w:rPr>
        <w:t>-1.00%</w:t>
      </w:r>
      <w:r w:rsidRPr="00B34368">
        <w:rPr>
          <w:rFonts w:eastAsiaTheme="minorEastAsia"/>
          <w:color w:val="000000" w:themeColor="text1"/>
          <w:sz w:val="24"/>
        </w:rPr>
        <w:t>，同期业绩比较基准收益率为</w:t>
      </w:r>
      <w:r w:rsidRPr="00B34368">
        <w:rPr>
          <w:rFonts w:eastAsiaTheme="minorEastAsia"/>
          <w:color w:val="000000" w:themeColor="text1"/>
          <w:sz w:val="24"/>
        </w:rPr>
        <w:t>-1.51%</w:t>
      </w:r>
      <w:r w:rsidRPr="00B34368">
        <w:rPr>
          <w:rFonts w:eastAsiaTheme="minorEastAsia"/>
          <w:color w:val="000000" w:themeColor="text1"/>
          <w:sz w:val="24"/>
        </w:rPr>
        <w:t>。</w:t>
      </w:r>
    </w:p>
    <w:p w:rsidR="00E561F9" w:rsidRPr="00B34368" w:rsidRDefault="00E561F9" w:rsidP="00E561F9">
      <w:pPr>
        <w:tabs>
          <w:tab w:val="left" w:pos="1800"/>
        </w:tabs>
        <w:spacing w:line="288" w:lineRule="auto"/>
        <w:rPr>
          <w:rFonts w:eastAsiaTheme="minorEastAsia"/>
          <w:color w:val="000000" w:themeColor="text1"/>
          <w:sz w:val="24"/>
        </w:rPr>
      </w:pP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§4  </w:t>
      </w:r>
      <w:r w:rsidRPr="00B34368">
        <w:rPr>
          <w:rFonts w:eastAsiaTheme="minorEastAsia" w:hAnsiTheme="minorEastAsia"/>
          <w:color w:val="000000" w:themeColor="text1"/>
          <w:kern w:val="0"/>
          <w:sz w:val="24"/>
          <w:szCs w:val="24"/>
        </w:rPr>
        <w:t>管理人报告</w:t>
      </w:r>
    </w:p>
    <w:p w:rsidR="00C544B8" w:rsidRDefault="009238DB" w:rsidP="00C544B8">
      <w:pPr>
        <w:autoSpaceDE w:val="0"/>
        <w:autoSpaceDN w:val="0"/>
        <w:adjustRightInd w:val="0"/>
        <w:spacing w:line="360" w:lineRule="auto"/>
        <w:jc w:val="left"/>
        <w:rPr>
          <w:rFonts w:ascii="宋体" w:cs="Arial"/>
          <w:b/>
          <w:color w:val="000000"/>
          <w:kern w:val="0"/>
          <w:sz w:val="24"/>
        </w:rPr>
      </w:pPr>
      <w:r w:rsidRPr="00B34368">
        <w:rPr>
          <w:rFonts w:eastAsiaTheme="minorEastAsia"/>
          <w:b/>
          <w:color w:val="000000" w:themeColor="text1"/>
          <w:kern w:val="0"/>
          <w:sz w:val="24"/>
        </w:rPr>
        <w:t xml:space="preserve">4.1 </w:t>
      </w:r>
      <w:r w:rsidRPr="00B34368">
        <w:rPr>
          <w:rFonts w:eastAsiaTheme="minorEastAsia" w:hAnsiTheme="minorEastAsia"/>
          <w:b/>
          <w:color w:val="000000" w:themeColor="text1"/>
          <w:kern w:val="0"/>
          <w:sz w:val="24"/>
        </w:rPr>
        <w:t>基金经理（或基金经理小组）简介</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832"/>
        <w:gridCol w:w="851"/>
        <w:gridCol w:w="850"/>
        <w:gridCol w:w="851"/>
        <w:gridCol w:w="2975"/>
      </w:tblGrid>
      <w:tr w:rsidR="00C544B8" w:rsidTr="00C544B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姓名</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职务</w:t>
            </w:r>
          </w:p>
        </w:tc>
        <w:tc>
          <w:tcPr>
            <w:tcW w:w="1701" w:type="dxa"/>
            <w:gridSpan w:val="2"/>
            <w:tcBorders>
              <w:top w:val="single" w:sz="4" w:space="0" w:color="auto"/>
              <w:left w:val="single" w:sz="4" w:space="0" w:color="auto"/>
              <w:bottom w:val="single" w:sz="4" w:space="0" w:color="auto"/>
              <w:right w:val="single" w:sz="4" w:space="0" w:color="auto"/>
            </w:tcBorders>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任本基金的基金经理期限</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证券从业年限</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说明</w:t>
            </w:r>
          </w:p>
        </w:tc>
      </w:tr>
      <w:tr w:rsidR="00C544B8" w:rsidTr="00C544B8">
        <w:trPr>
          <w:cantSplit/>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任职日期</w:t>
            </w:r>
          </w:p>
        </w:tc>
        <w:tc>
          <w:tcPr>
            <w:tcW w:w="850"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离任日期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r>
      <w:tr w:rsidR="000172F7">
        <w:tc>
          <w:tcPr>
            <w:tcW w:w="566" w:type="dxa"/>
            <w:vAlign w:val="center"/>
          </w:tcPr>
          <w:p w:rsidR="000172F7" w:rsidRDefault="0012435B">
            <w:pPr>
              <w:jc w:val="center"/>
            </w:pPr>
            <w:r>
              <w:rPr>
                <w:color w:val="000000"/>
                <w:sz w:val="24"/>
              </w:rPr>
              <w:t>余海燕</w:t>
            </w:r>
          </w:p>
        </w:tc>
        <w:tc>
          <w:tcPr>
            <w:tcW w:w="2832" w:type="dxa"/>
            <w:vAlign w:val="center"/>
          </w:tcPr>
          <w:p w:rsidR="000172F7" w:rsidRDefault="0012435B">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w:t>
            </w:r>
            <w:r>
              <w:rPr>
                <w:color w:val="000000"/>
                <w:sz w:val="24"/>
              </w:rPr>
              <w:t>接基金的基金经理、易方达沪深</w:t>
            </w:r>
            <w:r>
              <w:rPr>
                <w:color w:val="000000"/>
                <w:sz w:val="24"/>
              </w:rPr>
              <w:t>300</w:t>
            </w:r>
            <w:r>
              <w:rPr>
                <w:color w:val="000000"/>
                <w:sz w:val="24"/>
              </w:rPr>
              <w:t>交易型开放式指数发起式证券投资基金的基金经理、易方达沪深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基金经理、易方达国企改革指数分级证券投资基金的基金经理</w:t>
            </w:r>
          </w:p>
        </w:tc>
        <w:tc>
          <w:tcPr>
            <w:tcW w:w="851" w:type="dxa"/>
            <w:vAlign w:val="center"/>
          </w:tcPr>
          <w:p w:rsidR="000172F7" w:rsidRDefault="0012435B">
            <w:pPr>
              <w:jc w:val="center"/>
            </w:pPr>
            <w:r>
              <w:rPr>
                <w:color w:val="000000"/>
                <w:sz w:val="24"/>
              </w:rPr>
              <w:t>2015-01-22</w:t>
            </w:r>
          </w:p>
        </w:tc>
        <w:tc>
          <w:tcPr>
            <w:tcW w:w="850" w:type="dxa"/>
            <w:vAlign w:val="center"/>
          </w:tcPr>
          <w:p w:rsidR="000172F7" w:rsidRDefault="0012435B">
            <w:pPr>
              <w:jc w:val="center"/>
            </w:pPr>
            <w:r>
              <w:rPr>
                <w:color w:val="000000"/>
                <w:sz w:val="24"/>
              </w:rPr>
              <w:t>-</w:t>
            </w:r>
          </w:p>
        </w:tc>
        <w:tc>
          <w:tcPr>
            <w:tcW w:w="851" w:type="dxa"/>
            <w:vAlign w:val="center"/>
          </w:tcPr>
          <w:p w:rsidR="000172F7" w:rsidRDefault="0012435B">
            <w:pPr>
              <w:jc w:val="center"/>
            </w:pPr>
            <w:r>
              <w:rPr>
                <w:color w:val="000000"/>
                <w:sz w:val="24"/>
              </w:rPr>
              <w:t>14</w:t>
            </w:r>
            <w:r>
              <w:rPr>
                <w:color w:val="000000"/>
                <w:sz w:val="24"/>
              </w:rPr>
              <w:t>年</w:t>
            </w:r>
          </w:p>
        </w:tc>
        <w:tc>
          <w:tcPr>
            <w:tcW w:w="2975" w:type="dxa"/>
            <w:vAlign w:val="center"/>
          </w:tcPr>
          <w:p w:rsidR="000172F7" w:rsidRDefault="0012435B">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w:t>
            </w:r>
            <w:r>
              <w:rPr>
                <w:color w:val="000000"/>
                <w:sz w:val="24"/>
              </w:rPr>
              <w:t>资发展部产品经理。</w:t>
            </w:r>
          </w:p>
        </w:tc>
      </w:tr>
    </w:tbl>
    <w:p w:rsidR="000172F7" w:rsidRDefault="0012435B">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C7D00" w:rsidRPr="00B34368" w:rsidRDefault="00C544B8" w:rsidP="00547A9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2.</w:t>
      </w:r>
      <w:r>
        <w:rPr>
          <w:color w:val="000000"/>
          <w:sz w:val="24"/>
        </w:rPr>
        <w:t>证券从业的含义遵从《证券业从业人员资格管理办法》的相关规定。</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4.2</w:t>
      </w:r>
      <w:r w:rsidR="00B34368" w:rsidRPr="00B34368">
        <w:rPr>
          <w:rFonts w:eastAsiaTheme="minorEastAsia" w:hAnsiTheme="minorEastAsia"/>
          <w:b/>
          <w:color w:val="000000" w:themeColor="text1"/>
          <w:kern w:val="0"/>
          <w:sz w:val="24"/>
        </w:rPr>
        <w:t>管理人对</w:t>
      </w:r>
      <w:r w:rsidRPr="00B34368">
        <w:rPr>
          <w:rFonts w:eastAsiaTheme="minorEastAsia" w:hAnsiTheme="minorEastAsia"/>
          <w:b/>
          <w:color w:val="000000" w:themeColor="text1"/>
          <w:kern w:val="0"/>
          <w:sz w:val="24"/>
        </w:rPr>
        <w:t>报告期内本基金运作遵规守信情况</w:t>
      </w:r>
      <w:r w:rsidR="002F7889" w:rsidRPr="002F7889">
        <w:rPr>
          <w:rFonts w:eastAsiaTheme="minorEastAsia" w:hAnsiTheme="minorEastAsia"/>
          <w:b/>
          <w:color w:val="000000" w:themeColor="text1"/>
          <w:kern w:val="0"/>
          <w:sz w:val="24"/>
        </w:rPr>
        <w:t>的</w:t>
      </w:r>
      <w:r w:rsidRPr="00B34368">
        <w:rPr>
          <w:rFonts w:eastAsiaTheme="minorEastAsia" w:hAnsiTheme="minorEastAsia"/>
          <w:b/>
          <w:color w:val="000000" w:themeColor="text1"/>
          <w:kern w:val="0"/>
          <w:sz w:val="24"/>
        </w:rPr>
        <w:t>说明</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4.3 </w:t>
      </w:r>
      <w:r w:rsidRPr="00B34368">
        <w:rPr>
          <w:rFonts w:eastAsiaTheme="minorEastAsia" w:hAnsiTheme="minorEastAsia"/>
          <w:b/>
          <w:color w:val="000000" w:themeColor="text1"/>
          <w:kern w:val="0"/>
          <w:sz w:val="24"/>
        </w:rPr>
        <w:t>公平交易专项说明</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 xml:space="preserve">4.3.1 </w:t>
      </w:r>
      <w:r w:rsidRPr="00B34368">
        <w:rPr>
          <w:rFonts w:eastAsiaTheme="minorEastAsia" w:hAnsiTheme="minorEastAsia"/>
          <w:color w:val="000000" w:themeColor="text1"/>
          <w:sz w:val="24"/>
        </w:rPr>
        <w:t>公平交易制度的执行情况</w:t>
      </w:r>
    </w:p>
    <w:p w:rsidR="00D15733"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B34368">
        <w:rPr>
          <w:rFonts w:eastAsiaTheme="minorEastAsia"/>
          <w:color w:val="000000" w:themeColor="text1"/>
          <w:sz w:val="24"/>
        </w:rPr>
        <w:t>“</w:t>
      </w:r>
      <w:r w:rsidRPr="00B34368">
        <w:rPr>
          <w:rFonts w:eastAsiaTheme="minorEastAsia"/>
          <w:color w:val="000000" w:themeColor="text1"/>
          <w:sz w:val="24"/>
        </w:rPr>
        <w:t>时间优先、价格优先</w:t>
      </w:r>
      <w:r w:rsidRPr="00B34368">
        <w:rPr>
          <w:rFonts w:eastAsiaTheme="minorEastAsia"/>
          <w:color w:val="000000" w:themeColor="text1"/>
          <w:sz w:val="24"/>
        </w:rPr>
        <w:t>”</w:t>
      </w:r>
      <w:r w:rsidRPr="00B34368">
        <w:rPr>
          <w:rFonts w:eastAsiaTheme="minorEastAsia"/>
          <w:color w:val="000000" w:themeColor="text1"/>
          <w:sz w:val="24"/>
        </w:rPr>
        <w:t>作为执行指令的基本原则，通过投资交易系统中的公平交易模块，以尽可能确保公平对待各投资组合。本报告期内，公平交易制度总体执行情况良好。</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4.3.</w:t>
      </w:r>
      <w:r w:rsidR="005B6047" w:rsidRPr="00B34368">
        <w:rPr>
          <w:rFonts w:eastAsiaTheme="minorEastAsia"/>
          <w:color w:val="000000" w:themeColor="text1"/>
          <w:sz w:val="24"/>
        </w:rPr>
        <w:t>2</w:t>
      </w:r>
      <w:r w:rsidRPr="00B34368">
        <w:rPr>
          <w:rFonts w:eastAsiaTheme="minorEastAsia"/>
          <w:color w:val="000000" w:themeColor="text1"/>
          <w:sz w:val="24"/>
        </w:rPr>
        <w:t xml:space="preserve"> </w:t>
      </w:r>
      <w:r w:rsidRPr="00B34368">
        <w:rPr>
          <w:rFonts w:eastAsiaTheme="minorEastAsia" w:hAnsiTheme="minorEastAsia"/>
          <w:color w:val="000000" w:themeColor="text1"/>
          <w:sz w:val="24"/>
        </w:rPr>
        <w:t>异常交易行为的专项说明</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本报告期内，公司旗下所有投资组合参与的交易所公开竞价交易中，同日反向交易成交较少的单边交易量超过该证券当日成交量的</w:t>
      </w:r>
      <w:r>
        <w:rPr>
          <w:rFonts w:eastAsiaTheme="minorEastAsia"/>
          <w:color w:val="000000" w:themeColor="text1"/>
          <w:sz w:val="24"/>
        </w:rPr>
        <w:t>5%</w:t>
      </w:r>
      <w:r>
        <w:rPr>
          <w:rFonts w:eastAsiaTheme="minorEastAsia"/>
          <w:color w:val="000000" w:themeColor="text1"/>
          <w:sz w:val="24"/>
        </w:rPr>
        <w:t>的交易共</w:t>
      </w:r>
      <w:r>
        <w:rPr>
          <w:rFonts w:eastAsiaTheme="minorEastAsia"/>
          <w:color w:val="000000" w:themeColor="text1"/>
          <w:sz w:val="24"/>
        </w:rPr>
        <w:t>26</w:t>
      </w:r>
      <w:r>
        <w:rPr>
          <w:rFonts w:eastAsiaTheme="minorEastAsia"/>
          <w:color w:val="000000" w:themeColor="text1"/>
          <w:sz w:val="24"/>
        </w:rPr>
        <w:t>次，均为指数量化投资组合因投资策略需要和其他组合发生的反向交易。</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本报告期内，未发现本基金有可能导致不公平交易和利益输送的异常交易。</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4.4 </w:t>
      </w:r>
      <w:r w:rsidRPr="00B34368">
        <w:rPr>
          <w:rFonts w:eastAsiaTheme="minorEastAsia" w:hAnsiTheme="minorEastAsia"/>
          <w:b/>
          <w:color w:val="000000" w:themeColor="text1"/>
          <w:kern w:val="0"/>
          <w:sz w:val="24"/>
        </w:rPr>
        <w:t>报告期内基金的投资策略和业绩表现说明</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4.4.1</w:t>
      </w:r>
      <w:r w:rsidRPr="00B34368">
        <w:rPr>
          <w:rFonts w:eastAsiaTheme="minorEastAsia" w:hAnsiTheme="minorEastAsia"/>
          <w:color w:val="000000" w:themeColor="text1"/>
          <w:sz w:val="24"/>
        </w:rPr>
        <w:t>报告期内基金投资策略和运作分析</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年三季度国内宏观经济下行压力犹存，工业生产持续减速，</w:t>
      </w:r>
      <w:r>
        <w:rPr>
          <w:rFonts w:eastAsiaTheme="minorEastAsia"/>
          <w:color w:val="000000" w:themeColor="text1"/>
          <w:sz w:val="24"/>
        </w:rPr>
        <w:t>8</w:t>
      </w:r>
      <w:r>
        <w:rPr>
          <w:rFonts w:eastAsiaTheme="minorEastAsia"/>
          <w:color w:val="000000" w:themeColor="text1"/>
          <w:sz w:val="24"/>
        </w:rPr>
        <w:t>月份工业增速</w:t>
      </w:r>
      <w:r>
        <w:rPr>
          <w:rFonts w:eastAsiaTheme="minorEastAsia"/>
          <w:color w:val="000000" w:themeColor="text1"/>
          <w:sz w:val="24"/>
        </w:rPr>
        <w:t>4.4%</w:t>
      </w:r>
      <w:r>
        <w:rPr>
          <w:rFonts w:eastAsiaTheme="minorEastAsia"/>
          <w:color w:val="000000" w:themeColor="text1"/>
          <w:sz w:val="24"/>
        </w:rPr>
        <w:t>，较</w:t>
      </w:r>
      <w:r>
        <w:rPr>
          <w:rFonts w:eastAsiaTheme="minorEastAsia"/>
          <w:color w:val="000000" w:themeColor="text1"/>
          <w:sz w:val="24"/>
        </w:rPr>
        <w:t>7</w:t>
      </w:r>
      <w:r>
        <w:rPr>
          <w:rFonts w:eastAsiaTheme="minorEastAsia"/>
          <w:color w:val="000000" w:themeColor="text1"/>
          <w:sz w:val="24"/>
        </w:rPr>
        <w:t>月份继续下滑，并创下</w:t>
      </w:r>
      <w:r>
        <w:rPr>
          <w:rFonts w:eastAsiaTheme="minorEastAsia"/>
          <w:color w:val="000000" w:themeColor="text1"/>
          <w:sz w:val="24"/>
        </w:rPr>
        <w:t>09</w:t>
      </w:r>
      <w:r>
        <w:rPr>
          <w:rFonts w:eastAsiaTheme="minorEastAsia"/>
          <w:color w:val="000000" w:themeColor="text1"/>
          <w:sz w:val="24"/>
        </w:rPr>
        <w:t>年</w:t>
      </w:r>
      <w:r>
        <w:rPr>
          <w:rFonts w:eastAsiaTheme="minorEastAsia"/>
          <w:color w:val="000000" w:themeColor="text1"/>
          <w:sz w:val="24"/>
        </w:rPr>
        <w:t>3</w:t>
      </w:r>
      <w:r>
        <w:rPr>
          <w:rFonts w:eastAsiaTheme="minorEastAsia"/>
          <w:color w:val="000000" w:themeColor="text1"/>
          <w:sz w:val="24"/>
        </w:rPr>
        <w:t>月以来新低。</w:t>
      </w:r>
      <w:r>
        <w:rPr>
          <w:rFonts w:eastAsiaTheme="minorEastAsia"/>
          <w:color w:val="000000" w:themeColor="text1"/>
          <w:sz w:val="24"/>
        </w:rPr>
        <w:t>1-8</w:t>
      </w:r>
      <w:r>
        <w:rPr>
          <w:rFonts w:eastAsiaTheme="minorEastAsia"/>
          <w:color w:val="000000" w:themeColor="text1"/>
          <w:sz w:val="24"/>
        </w:rPr>
        <w:t>月全国固定资产投资同比增速回落至</w:t>
      </w:r>
      <w:r>
        <w:rPr>
          <w:rFonts w:eastAsiaTheme="minorEastAsia"/>
          <w:color w:val="000000" w:themeColor="text1"/>
          <w:sz w:val="24"/>
        </w:rPr>
        <w:t>5.5%</w:t>
      </w:r>
      <w:r>
        <w:rPr>
          <w:rFonts w:eastAsiaTheme="minorEastAsia"/>
          <w:color w:val="000000" w:themeColor="text1"/>
          <w:sz w:val="24"/>
        </w:rPr>
        <w:t>，其中</w:t>
      </w:r>
      <w:r>
        <w:rPr>
          <w:rFonts w:eastAsiaTheme="minorEastAsia"/>
          <w:color w:val="000000" w:themeColor="text1"/>
          <w:sz w:val="24"/>
        </w:rPr>
        <w:t>8</w:t>
      </w:r>
      <w:r>
        <w:rPr>
          <w:rFonts w:eastAsiaTheme="minorEastAsia"/>
          <w:color w:val="000000" w:themeColor="text1"/>
          <w:sz w:val="24"/>
        </w:rPr>
        <w:t>月份同比增速下滑至</w:t>
      </w:r>
      <w:r>
        <w:rPr>
          <w:rFonts w:eastAsiaTheme="minorEastAsia"/>
          <w:color w:val="000000" w:themeColor="text1"/>
          <w:sz w:val="24"/>
        </w:rPr>
        <w:t>4.2%</w:t>
      </w:r>
      <w:r>
        <w:rPr>
          <w:rFonts w:eastAsiaTheme="minorEastAsia"/>
          <w:color w:val="000000" w:themeColor="text1"/>
          <w:sz w:val="24"/>
        </w:rPr>
        <w:t>。随着部分行业景气度进入内生性底部，同时逆周期政策力度明显加大，</w:t>
      </w:r>
      <w:r>
        <w:rPr>
          <w:rFonts w:eastAsiaTheme="minorEastAsia"/>
          <w:color w:val="000000" w:themeColor="text1"/>
          <w:sz w:val="24"/>
        </w:rPr>
        <w:t>9</w:t>
      </w:r>
      <w:r>
        <w:rPr>
          <w:rFonts w:eastAsiaTheme="minorEastAsia"/>
          <w:color w:val="000000" w:themeColor="text1"/>
          <w:sz w:val="24"/>
        </w:rPr>
        <w:t>月份经济景气度有所改善，宏观数据显示</w:t>
      </w:r>
      <w:r>
        <w:rPr>
          <w:rFonts w:eastAsiaTheme="minorEastAsia"/>
          <w:color w:val="000000" w:themeColor="text1"/>
          <w:sz w:val="24"/>
        </w:rPr>
        <w:t>9</w:t>
      </w:r>
      <w:r>
        <w:rPr>
          <w:rFonts w:eastAsiaTheme="minorEastAsia"/>
          <w:color w:val="000000" w:themeColor="text1"/>
          <w:sz w:val="24"/>
        </w:rPr>
        <w:t>月全国制造业</w:t>
      </w:r>
      <w:r>
        <w:rPr>
          <w:rFonts w:eastAsiaTheme="minorEastAsia"/>
          <w:color w:val="000000" w:themeColor="text1"/>
          <w:sz w:val="24"/>
        </w:rPr>
        <w:t>PMI</w:t>
      </w:r>
      <w:r>
        <w:rPr>
          <w:rFonts w:eastAsiaTheme="minorEastAsia"/>
          <w:color w:val="000000" w:themeColor="text1"/>
          <w:sz w:val="24"/>
        </w:rPr>
        <w:t>为</w:t>
      </w:r>
      <w:r>
        <w:rPr>
          <w:rFonts w:eastAsiaTheme="minorEastAsia"/>
          <w:color w:val="000000" w:themeColor="text1"/>
          <w:sz w:val="24"/>
        </w:rPr>
        <w:t>49.8%</w:t>
      </w:r>
      <w:r>
        <w:rPr>
          <w:rFonts w:eastAsiaTheme="minorEastAsia"/>
          <w:color w:val="000000" w:themeColor="text1"/>
          <w:sz w:val="24"/>
        </w:rPr>
        <w:t>，较</w:t>
      </w:r>
      <w:r>
        <w:rPr>
          <w:rFonts w:eastAsiaTheme="minorEastAsia"/>
          <w:color w:val="000000" w:themeColor="text1"/>
          <w:sz w:val="24"/>
        </w:rPr>
        <w:t>8</w:t>
      </w:r>
      <w:r>
        <w:rPr>
          <w:rFonts w:eastAsiaTheme="minorEastAsia"/>
          <w:color w:val="000000" w:themeColor="text1"/>
          <w:sz w:val="24"/>
        </w:rPr>
        <w:t>月小幅回</w:t>
      </w:r>
      <w:r>
        <w:rPr>
          <w:rFonts w:eastAsiaTheme="minorEastAsia"/>
          <w:color w:val="000000" w:themeColor="text1"/>
          <w:sz w:val="24"/>
        </w:rPr>
        <w:t>升，并创下</w:t>
      </w:r>
      <w:r>
        <w:rPr>
          <w:rFonts w:eastAsiaTheme="minorEastAsia"/>
          <w:color w:val="000000" w:themeColor="text1"/>
          <w:sz w:val="24"/>
        </w:rPr>
        <w:t>5</w:t>
      </w:r>
      <w:r>
        <w:rPr>
          <w:rFonts w:eastAsiaTheme="minorEastAsia"/>
          <w:color w:val="000000" w:themeColor="text1"/>
          <w:sz w:val="24"/>
        </w:rPr>
        <w:t>月以来新高，指向制造业景气明显改善。随着经济下行压力的持续加大，三季度宏观经济政策转向积极，政府加大了</w:t>
      </w:r>
      <w:r>
        <w:rPr>
          <w:rFonts w:eastAsiaTheme="minorEastAsia"/>
          <w:color w:val="000000" w:themeColor="text1"/>
          <w:sz w:val="24"/>
        </w:rPr>
        <w:t>“</w:t>
      </w:r>
      <w:r>
        <w:rPr>
          <w:rFonts w:eastAsiaTheme="minorEastAsia"/>
          <w:color w:val="000000" w:themeColor="text1"/>
          <w:sz w:val="24"/>
        </w:rPr>
        <w:t>逆周期调节</w:t>
      </w:r>
      <w:r>
        <w:rPr>
          <w:rFonts w:eastAsiaTheme="minorEastAsia"/>
          <w:color w:val="000000" w:themeColor="text1"/>
          <w:sz w:val="24"/>
        </w:rPr>
        <w:t>”</w:t>
      </w:r>
      <w:r>
        <w:rPr>
          <w:rFonts w:eastAsiaTheme="minorEastAsia"/>
          <w:color w:val="000000" w:themeColor="text1"/>
          <w:sz w:val="24"/>
        </w:rPr>
        <w:t>力度。利率市场化改革超预期加快，央行改革完善</w:t>
      </w:r>
      <w:r>
        <w:rPr>
          <w:rFonts w:eastAsiaTheme="minorEastAsia"/>
          <w:color w:val="000000" w:themeColor="text1"/>
          <w:sz w:val="24"/>
        </w:rPr>
        <w:t>LPR</w:t>
      </w:r>
      <w:r>
        <w:rPr>
          <w:rFonts w:eastAsiaTheme="minorEastAsia"/>
          <w:color w:val="000000" w:themeColor="text1"/>
          <w:sz w:val="24"/>
        </w:rPr>
        <w:t>形成机制，引导了利率下行的政策信号；央行</w:t>
      </w:r>
      <w:r>
        <w:rPr>
          <w:rFonts w:eastAsiaTheme="minorEastAsia"/>
          <w:color w:val="000000" w:themeColor="text1"/>
          <w:sz w:val="24"/>
        </w:rPr>
        <w:t>“</w:t>
      </w:r>
      <w:r>
        <w:rPr>
          <w:rFonts w:eastAsiaTheme="minorEastAsia"/>
          <w:color w:val="000000" w:themeColor="text1"/>
          <w:sz w:val="24"/>
        </w:rPr>
        <w:t>普降</w:t>
      </w:r>
      <w:r>
        <w:rPr>
          <w:rFonts w:eastAsiaTheme="minorEastAsia"/>
          <w:color w:val="000000" w:themeColor="text1"/>
          <w:sz w:val="24"/>
        </w:rPr>
        <w:t>+</w:t>
      </w:r>
      <w:r>
        <w:rPr>
          <w:rFonts w:eastAsiaTheme="minorEastAsia"/>
          <w:color w:val="000000" w:themeColor="text1"/>
          <w:sz w:val="24"/>
        </w:rPr>
        <w:t>定向</w:t>
      </w:r>
      <w:r>
        <w:rPr>
          <w:rFonts w:eastAsiaTheme="minorEastAsia"/>
          <w:color w:val="000000" w:themeColor="text1"/>
          <w:sz w:val="24"/>
        </w:rPr>
        <w:t>”</w:t>
      </w:r>
      <w:r>
        <w:rPr>
          <w:rFonts w:eastAsiaTheme="minorEastAsia"/>
          <w:color w:val="000000" w:themeColor="text1"/>
          <w:sz w:val="24"/>
        </w:rPr>
        <w:t>降准释放了长期流动性约</w:t>
      </w:r>
      <w:r>
        <w:rPr>
          <w:rFonts w:eastAsiaTheme="minorEastAsia"/>
          <w:color w:val="000000" w:themeColor="text1"/>
          <w:sz w:val="24"/>
        </w:rPr>
        <w:t>9000</w:t>
      </w:r>
      <w:r>
        <w:rPr>
          <w:rFonts w:eastAsiaTheme="minorEastAsia"/>
          <w:color w:val="000000" w:themeColor="text1"/>
          <w:sz w:val="24"/>
        </w:rPr>
        <w:t>亿元，并降低银行负债端成本；财政政策方面，专项债对基建的支撑作用被增强。外围市场方面，在全球经济增速下行、贸易摩擦蔓延升级、地缘政治风险波动加剧的背景下，美元指数、美债明显上涨；人民币对美元即期汇率延续前期贬值预期，季末在岸和离岸美元对人民币即期汇率</w:t>
      </w:r>
      <w:r>
        <w:rPr>
          <w:rFonts w:eastAsiaTheme="minorEastAsia"/>
          <w:color w:val="000000" w:themeColor="text1"/>
          <w:sz w:val="24"/>
        </w:rPr>
        <w:t>均贬至</w:t>
      </w:r>
      <w:r>
        <w:rPr>
          <w:rFonts w:eastAsiaTheme="minorEastAsia"/>
          <w:color w:val="000000" w:themeColor="text1"/>
          <w:sz w:val="24"/>
        </w:rPr>
        <w:t>7.14</w:t>
      </w:r>
      <w:r>
        <w:rPr>
          <w:rFonts w:eastAsiaTheme="minorEastAsia"/>
          <w:color w:val="000000" w:themeColor="text1"/>
          <w:sz w:val="24"/>
        </w:rPr>
        <w:t>。资本市场方面，</w:t>
      </w:r>
      <w:r>
        <w:rPr>
          <w:rFonts w:eastAsiaTheme="minorEastAsia"/>
          <w:color w:val="000000" w:themeColor="text1"/>
          <w:sz w:val="24"/>
        </w:rPr>
        <w:t>A</w:t>
      </w:r>
      <w:r>
        <w:rPr>
          <w:rFonts w:eastAsiaTheme="minorEastAsia"/>
          <w:color w:val="000000" w:themeColor="text1"/>
          <w:sz w:val="24"/>
        </w:rPr>
        <w:t>股市场波动加大，最终三季度上证综指以下跌</w:t>
      </w:r>
      <w:r>
        <w:rPr>
          <w:rFonts w:eastAsiaTheme="minorEastAsia"/>
          <w:color w:val="000000" w:themeColor="text1"/>
          <w:sz w:val="24"/>
        </w:rPr>
        <w:t>2.47%</w:t>
      </w:r>
      <w:r>
        <w:rPr>
          <w:rFonts w:eastAsiaTheme="minorEastAsia"/>
          <w:color w:val="000000" w:themeColor="text1"/>
          <w:sz w:val="24"/>
        </w:rPr>
        <w:t>收官。风格主题方面，结构分化显著，在科技类板块领涨的背景下，创业板表现优于主板，上证</w:t>
      </w:r>
      <w:r>
        <w:rPr>
          <w:rFonts w:eastAsiaTheme="minorEastAsia"/>
          <w:color w:val="000000" w:themeColor="text1"/>
          <w:sz w:val="24"/>
        </w:rPr>
        <w:t>50</w:t>
      </w:r>
      <w:r>
        <w:rPr>
          <w:rFonts w:eastAsiaTheme="minorEastAsia"/>
          <w:color w:val="000000" w:themeColor="text1"/>
          <w:sz w:val="24"/>
        </w:rPr>
        <w:t>指数、沪深</w:t>
      </w:r>
      <w:r>
        <w:rPr>
          <w:rFonts w:eastAsiaTheme="minorEastAsia"/>
          <w:color w:val="000000" w:themeColor="text1"/>
          <w:sz w:val="24"/>
        </w:rPr>
        <w:t>300</w:t>
      </w:r>
      <w:r>
        <w:rPr>
          <w:rFonts w:eastAsiaTheme="minorEastAsia"/>
          <w:color w:val="000000" w:themeColor="text1"/>
          <w:sz w:val="24"/>
        </w:rPr>
        <w:t>指数分别下跌</w:t>
      </w:r>
      <w:r>
        <w:rPr>
          <w:rFonts w:eastAsiaTheme="minorEastAsia"/>
          <w:color w:val="000000" w:themeColor="text1"/>
          <w:sz w:val="24"/>
        </w:rPr>
        <w:t>1.12%</w:t>
      </w:r>
      <w:r>
        <w:rPr>
          <w:rFonts w:eastAsiaTheme="minorEastAsia"/>
          <w:color w:val="000000" w:themeColor="text1"/>
          <w:sz w:val="24"/>
        </w:rPr>
        <w:t>、</w:t>
      </w:r>
      <w:r>
        <w:rPr>
          <w:rFonts w:eastAsiaTheme="minorEastAsia"/>
          <w:color w:val="000000" w:themeColor="text1"/>
          <w:sz w:val="24"/>
        </w:rPr>
        <w:t>0.29%</w:t>
      </w:r>
      <w:r>
        <w:rPr>
          <w:rFonts w:eastAsiaTheme="minorEastAsia"/>
          <w:color w:val="000000" w:themeColor="text1"/>
          <w:sz w:val="24"/>
        </w:rPr>
        <w:t>，而创业板指上涨</w:t>
      </w:r>
      <w:r>
        <w:rPr>
          <w:rFonts w:eastAsiaTheme="minorEastAsia"/>
          <w:color w:val="000000" w:themeColor="text1"/>
          <w:sz w:val="24"/>
        </w:rPr>
        <w:t>7.68%</w:t>
      </w:r>
      <w:r>
        <w:rPr>
          <w:rFonts w:eastAsiaTheme="minorEastAsia"/>
          <w:color w:val="000000" w:themeColor="text1"/>
          <w:sz w:val="24"/>
        </w:rPr>
        <w:t>；行业方面，电子、医药生物、计算机、食品饮料、国防军工等板块涨幅居前，钢铁、采掘、建筑装饰、有色金属、房地产等板块跌幅较大。报告期内沪深</w:t>
      </w:r>
      <w:r>
        <w:rPr>
          <w:rFonts w:eastAsiaTheme="minorEastAsia"/>
          <w:color w:val="000000" w:themeColor="text1"/>
          <w:sz w:val="24"/>
        </w:rPr>
        <w:t>300</w:t>
      </w:r>
      <w:r>
        <w:rPr>
          <w:rFonts w:eastAsiaTheme="minorEastAsia"/>
          <w:color w:val="000000" w:themeColor="text1"/>
          <w:sz w:val="24"/>
        </w:rPr>
        <w:t>非银行金融指数下跌</w:t>
      </w:r>
      <w:r>
        <w:rPr>
          <w:rFonts w:eastAsiaTheme="minorEastAsia"/>
          <w:color w:val="000000" w:themeColor="text1"/>
          <w:sz w:val="24"/>
        </w:rPr>
        <w:t>4.20%</w:t>
      </w:r>
      <w:r>
        <w:rPr>
          <w:rFonts w:eastAsiaTheme="minorEastAsia"/>
          <w:color w:val="000000" w:themeColor="text1"/>
          <w:sz w:val="24"/>
        </w:rPr>
        <w:t>。</w:t>
      </w:r>
    </w:p>
    <w:p w:rsidR="00952A72"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本基金是易方达沪深</w:t>
      </w:r>
      <w:r w:rsidRPr="00B34368">
        <w:rPr>
          <w:rFonts w:eastAsiaTheme="minorEastAsia"/>
          <w:color w:val="000000" w:themeColor="text1"/>
          <w:sz w:val="24"/>
        </w:rPr>
        <w:t>300</w:t>
      </w:r>
      <w:r w:rsidRPr="00B34368">
        <w:rPr>
          <w:rFonts w:eastAsiaTheme="minorEastAsia"/>
          <w:color w:val="000000" w:themeColor="text1"/>
          <w:sz w:val="24"/>
        </w:rPr>
        <w:t>非银行金融</w:t>
      </w:r>
      <w:r w:rsidRPr="00B34368">
        <w:rPr>
          <w:rFonts w:eastAsiaTheme="minorEastAsia"/>
          <w:color w:val="000000" w:themeColor="text1"/>
          <w:sz w:val="24"/>
        </w:rPr>
        <w:t>ETF</w:t>
      </w:r>
      <w:r w:rsidRPr="00B34368">
        <w:rPr>
          <w:rFonts w:eastAsiaTheme="minorEastAsia"/>
          <w:color w:val="000000" w:themeColor="text1"/>
          <w:sz w:val="24"/>
        </w:rPr>
        <w:t>的联接基金，主要投资于沪深</w:t>
      </w:r>
      <w:r w:rsidRPr="00B34368">
        <w:rPr>
          <w:rFonts w:eastAsiaTheme="minorEastAsia"/>
          <w:color w:val="000000" w:themeColor="text1"/>
          <w:sz w:val="24"/>
        </w:rPr>
        <w:t>300</w:t>
      </w:r>
      <w:r w:rsidRPr="00B34368">
        <w:rPr>
          <w:rFonts w:eastAsiaTheme="minorEastAsia"/>
          <w:color w:val="000000" w:themeColor="text1"/>
          <w:sz w:val="24"/>
        </w:rPr>
        <w:t>非银</w:t>
      </w:r>
      <w:r w:rsidRPr="00B34368">
        <w:rPr>
          <w:rFonts w:eastAsiaTheme="minorEastAsia"/>
          <w:color w:val="000000" w:themeColor="text1"/>
          <w:sz w:val="24"/>
        </w:rPr>
        <w:t>ETF</w:t>
      </w:r>
      <w:r w:rsidRPr="00B34368">
        <w:rPr>
          <w:rFonts w:eastAsiaTheme="minorEastAsia"/>
          <w:color w:val="000000" w:themeColor="text1"/>
          <w:sz w:val="24"/>
        </w:rPr>
        <w:t>。报告期内本基金为正常运作期，在操作中，我们严格遵守基金合同，依据基金申购赎回变动的情况进行日常操作，控制跟踪误差和跟踪偏离度在较低水平上。</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4.4.2</w:t>
      </w:r>
      <w:r w:rsidRPr="00B34368">
        <w:rPr>
          <w:rFonts w:eastAsiaTheme="minorEastAsia" w:hAnsiTheme="minorEastAsia"/>
          <w:color w:val="000000" w:themeColor="text1"/>
          <w:sz w:val="24"/>
        </w:rPr>
        <w:t>报告期内基金的业绩表现</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截至报告期末，本基金</w:t>
      </w:r>
      <w:r>
        <w:rPr>
          <w:rFonts w:eastAsiaTheme="minorEastAsia"/>
          <w:color w:val="000000" w:themeColor="text1"/>
          <w:sz w:val="24"/>
        </w:rPr>
        <w:t>A</w:t>
      </w:r>
      <w:r>
        <w:rPr>
          <w:rFonts w:eastAsiaTheme="minorEastAsia"/>
          <w:color w:val="000000" w:themeColor="text1"/>
          <w:sz w:val="24"/>
        </w:rPr>
        <w:t>类基金份额净值为</w:t>
      </w:r>
      <w:r>
        <w:rPr>
          <w:rFonts w:eastAsiaTheme="minorEastAsia"/>
          <w:color w:val="000000" w:themeColor="text1"/>
          <w:sz w:val="24"/>
        </w:rPr>
        <w:t>1.0008</w:t>
      </w:r>
      <w:r>
        <w:rPr>
          <w:rFonts w:eastAsiaTheme="minorEastAsia"/>
          <w:color w:val="000000" w:themeColor="text1"/>
          <w:sz w:val="24"/>
        </w:rPr>
        <w:t>元，本报告期份额净值增长率为</w:t>
      </w:r>
      <w:r>
        <w:rPr>
          <w:rFonts w:eastAsiaTheme="minorEastAsia"/>
          <w:color w:val="000000" w:themeColor="text1"/>
          <w:sz w:val="24"/>
        </w:rPr>
        <w:t>-2.92%</w:t>
      </w:r>
      <w:r>
        <w:rPr>
          <w:rFonts w:eastAsiaTheme="minorEastAsia"/>
          <w:color w:val="000000" w:themeColor="text1"/>
          <w:sz w:val="24"/>
        </w:rPr>
        <w:t>，同期业绩比较基准收益率为</w:t>
      </w:r>
      <w:r>
        <w:rPr>
          <w:rFonts w:eastAsiaTheme="minorEastAsia"/>
          <w:color w:val="000000" w:themeColor="text1"/>
          <w:sz w:val="24"/>
        </w:rPr>
        <w:t>-3.96%</w:t>
      </w:r>
      <w:r>
        <w:rPr>
          <w:rFonts w:eastAsiaTheme="minorEastAsia"/>
          <w:color w:val="000000" w:themeColor="text1"/>
          <w:sz w:val="24"/>
        </w:rPr>
        <w:t>；</w:t>
      </w:r>
      <w:r>
        <w:rPr>
          <w:rFonts w:eastAsiaTheme="minorEastAsia"/>
          <w:color w:val="000000" w:themeColor="text1"/>
          <w:sz w:val="24"/>
        </w:rPr>
        <w:t>C</w:t>
      </w:r>
      <w:r>
        <w:rPr>
          <w:rFonts w:eastAsiaTheme="minorEastAsia"/>
          <w:color w:val="000000" w:themeColor="text1"/>
          <w:sz w:val="24"/>
        </w:rPr>
        <w:t>类基金份额净值为</w:t>
      </w:r>
      <w:r>
        <w:rPr>
          <w:rFonts w:eastAsiaTheme="minorEastAsia"/>
          <w:color w:val="000000" w:themeColor="text1"/>
          <w:sz w:val="24"/>
        </w:rPr>
        <w:t>1.0005</w:t>
      </w:r>
      <w:r>
        <w:rPr>
          <w:rFonts w:eastAsiaTheme="minorEastAsia"/>
          <w:color w:val="000000" w:themeColor="text1"/>
          <w:sz w:val="24"/>
        </w:rPr>
        <w:t>元，本报告期份额净值增长率为</w:t>
      </w:r>
      <w:r>
        <w:rPr>
          <w:rFonts w:eastAsiaTheme="minorEastAsia"/>
          <w:color w:val="000000" w:themeColor="text1"/>
          <w:sz w:val="24"/>
        </w:rPr>
        <w:t>-1.00%</w:t>
      </w:r>
      <w:r>
        <w:rPr>
          <w:rFonts w:eastAsiaTheme="minorEastAsia"/>
          <w:color w:val="000000" w:themeColor="text1"/>
          <w:sz w:val="24"/>
        </w:rPr>
        <w:t>，同期业绩比较基准收益率为</w:t>
      </w:r>
      <w:r>
        <w:rPr>
          <w:rFonts w:eastAsiaTheme="minorEastAsia"/>
          <w:color w:val="000000" w:themeColor="text1"/>
          <w:sz w:val="24"/>
        </w:rPr>
        <w:t>-1.51%</w:t>
      </w:r>
      <w:r>
        <w:rPr>
          <w:rFonts w:eastAsiaTheme="minorEastAsia"/>
          <w:color w:val="000000" w:themeColor="text1"/>
          <w:sz w:val="24"/>
        </w:rPr>
        <w:t>。</w:t>
      </w:r>
    </w:p>
    <w:p w:rsidR="008129C0" w:rsidRPr="00F405D4" w:rsidRDefault="00323F25" w:rsidP="00F405D4">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报告期内本基金日跟踪偏离度的均值为</w:t>
      </w:r>
      <w:r w:rsidRPr="00B34368">
        <w:rPr>
          <w:rFonts w:eastAsiaTheme="minorEastAsia"/>
          <w:color w:val="000000" w:themeColor="text1"/>
          <w:sz w:val="24"/>
        </w:rPr>
        <w:t>0.03%</w:t>
      </w:r>
      <w:r w:rsidRPr="00B34368">
        <w:rPr>
          <w:rFonts w:eastAsiaTheme="minorEastAsia"/>
          <w:color w:val="000000" w:themeColor="text1"/>
          <w:sz w:val="24"/>
        </w:rPr>
        <w:t>，年化跟踪误差为</w:t>
      </w:r>
      <w:r w:rsidRPr="00B34368">
        <w:rPr>
          <w:rFonts w:eastAsiaTheme="minorEastAsia"/>
          <w:color w:val="000000" w:themeColor="text1"/>
          <w:sz w:val="24"/>
        </w:rPr>
        <w:t>0.833%</w:t>
      </w:r>
      <w:r w:rsidRPr="00B34368">
        <w:rPr>
          <w:rFonts w:eastAsiaTheme="minorEastAsia"/>
          <w:color w:val="000000" w:themeColor="text1"/>
          <w:sz w:val="24"/>
        </w:rPr>
        <w:t>，各项指标均在合同规定的目标控制范围之内。</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§5  </w:t>
      </w:r>
      <w:r w:rsidRPr="00B34368">
        <w:rPr>
          <w:rFonts w:eastAsiaTheme="minorEastAsia" w:hAnsiTheme="minorEastAsia"/>
          <w:color w:val="000000" w:themeColor="text1"/>
          <w:kern w:val="0"/>
          <w:sz w:val="24"/>
          <w:szCs w:val="24"/>
        </w:rPr>
        <w:t>投资组合报告</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5.1 </w:t>
      </w:r>
      <w:r w:rsidRPr="00B34368">
        <w:rPr>
          <w:rFonts w:eastAsiaTheme="minorEastAsia" w:hAnsiTheme="minorEastAsia"/>
          <w:b/>
          <w:color w:val="000000" w:themeColor="text1"/>
          <w:kern w:val="0"/>
          <w:sz w:val="24"/>
        </w:rPr>
        <w:t>报告期末基金资产组合情况</w:t>
      </w:r>
    </w:p>
    <w:tbl>
      <w:tblPr>
        <w:tblStyle w:val="af2"/>
        <w:tblW w:w="0" w:type="auto"/>
        <w:tblInd w:w="108" w:type="dxa"/>
        <w:tblLayout w:type="fixed"/>
        <w:tblLook w:val="04A0" w:firstRow="1" w:lastRow="0" w:firstColumn="1" w:lastColumn="0" w:noHBand="0" w:noVBand="1"/>
      </w:tblPr>
      <w:tblGrid>
        <w:gridCol w:w="720"/>
        <w:gridCol w:w="3357"/>
        <w:gridCol w:w="2694"/>
        <w:gridCol w:w="1757"/>
      </w:tblGrid>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3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项目</w:t>
            </w:r>
          </w:p>
        </w:tc>
        <w:tc>
          <w:tcPr>
            <w:tcW w:w="2694"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金额</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占基金总资产的比例</w:t>
            </w: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权益投资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12,252,893.65</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0.76</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其中：股票</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12,252,893.65</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0.76</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基金投资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1,499,769,219.16</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93.20</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固定收益投资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其中：债券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B34368">
            <w:pPr>
              <w:autoSpaceDE w:val="0"/>
              <w:autoSpaceDN w:val="0"/>
              <w:adjustRightInd w:val="0"/>
              <w:spacing w:before="29" w:line="360" w:lineRule="auto"/>
              <w:ind w:left="17" w:firstLineChars="300" w:firstLine="720"/>
              <w:jc w:val="left"/>
              <w:rPr>
                <w:rFonts w:eastAsiaTheme="minorEastAsia"/>
                <w:color w:val="000000" w:themeColor="text1"/>
                <w:sz w:val="24"/>
              </w:rPr>
            </w:pPr>
            <w:r w:rsidRPr="00B34368">
              <w:rPr>
                <w:rFonts w:eastAsiaTheme="minorEastAsia" w:hAnsiTheme="minorEastAsia"/>
                <w:color w:val="000000" w:themeColor="text1"/>
                <w:sz w:val="24"/>
              </w:rPr>
              <w:t>资产支持证券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tcPr>
          <w:p w:rsidR="00B007B6" w:rsidRPr="00B34368" w:rsidRDefault="00B007B6" w:rsidP="00DD272F">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357" w:type="dxa"/>
          </w:tcPr>
          <w:p w:rsidR="00B007B6" w:rsidRPr="00B34368" w:rsidRDefault="00B007B6" w:rsidP="00DD272F">
            <w:pPr>
              <w:spacing w:before="29" w:line="360" w:lineRule="auto"/>
              <w:ind w:leftChars="50" w:left="105"/>
              <w:rPr>
                <w:rFonts w:eastAsiaTheme="minorEastAsia"/>
                <w:color w:val="000000" w:themeColor="text1"/>
                <w:sz w:val="24"/>
              </w:rPr>
            </w:pPr>
            <w:r w:rsidRPr="00B34368">
              <w:rPr>
                <w:rFonts w:eastAsiaTheme="minorEastAsia" w:hAnsiTheme="minorEastAsia"/>
                <w:color w:val="000000" w:themeColor="text1"/>
                <w:sz w:val="24"/>
              </w:rPr>
              <w:t>贵金属投资</w:t>
            </w:r>
          </w:p>
        </w:tc>
        <w:tc>
          <w:tcPr>
            <w:tcW w:w="2694"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金融衍生品投资</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其中：买断式回购的买入返售金融资产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银行存款和结算备付金合计</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91,414,567.39</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5.68</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357" w:type="dxa"/>
            <w:vAlign w:val="center"/>
          </w:tcPr>
          <w:p w:rsidR="00B007B6" w:rsidRPr="00B34368" w:rsidRDefault="00E57CD3" w:rsidP="00A3193E">
            <w:pPr>
              <w:jc w:val="left"/>
              <w:rPr>
                <w:rFonts w:eastAsiaTheme="minorEastAsia"/>
                <w:color w:val="000000" w:themeColor="text1"/>
                <w:sz w:val="24"/>
              </w:rPr>
            </w:pPr>
            <w:r>
              <w:rPr>
                <w:rFonts w:eastAsiaTheme="minorEastAsia" w:hAnsiTheme="minorEastAsia"/>
                <w:color w:val="000000" w:themeColor="text1"/>
                <w:sz w:val="24"/>
              </w:rPr>
              <w:t>其他</w:t>
            </w:r>
            <w:r w:rsidR="00B007B6" w:rsidRPr="00B34368">
              <w:rPr>
                <w:rFonts w:eastAsiaTheme="minorEastAsia" w:hAnsiTheme="minorEastAsia"/>
                <w:color w:val="000000" w:themeColor="text1"/>
                <w:sz w:val="24"/>
              </w:rPr>
              <w:t>资产</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5,702,528.34</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0.35</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9</w:t>
            </w:r>
          </w:p>
        </w:tc>
        <w:tc>
          <w:tcPr>
            <w:tcW w:w="3357" w:type="dxa"/>
            <w:vAlign w:val="center"/>
          </w:tcPr>
          <w:p w:rsidR="00B007B6" w:rsidRPr="00B34368" w:rsidRDefault="00B007B6" w:rsidP="00A3193E">
            <w:pPr>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1,609,139,208.54</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100.00</w:t>
            </w:r>
          </w:p>
        </w:tc>
      </w:tr>
    </w:tbl>
    <w:p w:rsidR="0040218E" w:rsidRPr="00B34368" w:rsidRDefault="0040218E"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5.2</w:t>
      </w:r>
      <w:r w:rsidRPr="00B34368">
        <w:rPr>
          <w:rFonts w:eastAsiaTheme="minorEastAsia" w:hAnsiTheme="minorEastAsia"/>
          <w:b/>
          <w:color w:val="000000" w:themeColor="text1"/>
          <w:kern w:val="0"/>
          <w:sz w:val="24"/>
        </w:rPr>
        <w:t>期末投资目标基金明细</w:t>
      </w:r>
    </w:p>
    <w:tbl>
      <w:tblPr>
        <w:tblStyle w:val="af2"/>
        <w:tblW w:w="0" w:type="auto"/>
        <w:tblInd w:w="108" w:type="dxa"/>
        <w:tblLook w:val="04A0" w:firstRow="1" w:lastRow="0" w:firstColumn="1" w:lastColumn="0" w:noHBand="0" w:noVBand="1"/>
      </w:tblPr>
      <w:tblGrid>
        <w:gridCol w:w="665"/>
        <w:gridCol w:w="2115"/>
        <w:gridCol w:w="666"/>
        <w:gridCol w:w="1500"/>
        <w:gridCol w:w="1095"/>
        <w:gridCol w:w="1896"/>
        <w:gridCol w:w="991"/>
      </w:tblGrid>
      <w:tr w:rsidR="00D3639B" w:rsidRPr="00B34368" w:rsidTr="00975D18">
        <w:tc>
          <w:tcPr>
            <w:tcW w:w="1215"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基金类型</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运作方式</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管理人</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占基金资产净值比例（</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w:t>
            </w:r>
          </w:p>
        </w:tc>
      </w:tr>
      <w:tr w:rsidR="000172F7">
        <w:tc>
          <w:tcPr>
            <w:tcW w:w="0" w:type="auto"/>
            <w:vAlign w:val="center"/>
          </w:tcPr>
          <w:p w:rsidR="000172F7" w:rsidRDefault="0012435B">
            <w:pPr>
              <w:jc w:val="center"/>
            </w:pPr>
            <w:r>
              <w:rPr>
                <w:rFonts w:eastAsiaTheme="minorEastAsia"/>
                <w:color w:val="000000" w:themeColor="text1"/>
                <w:sz w:val="24"/>
              </w:rPr>
              <w:t>1</w:t>
            </w:r>
          </w:p>
        </w:tc>
        <w:tc>
          <w:tcPr>
            <w:tcW w:w="0" w:type="auto"/>
            <w:vAlign w:val="center"/>
          </w:tcPr>
          <w:p w:rsidR="000172F7" w:rsidRDefault="0012435B">
            <w:pPr>
              <w:jc w:val="center"/>
            </w:pPr>
            <w:r>
              <w:rPr>
                <w:rFonts w:eastAsiaTheme="minorEastAsia"/>
                <w:color w:val="000000" w:themeColor="text1"/>
                <w:sz w:val="24"/>
              </w:rPr>
              <w:t>易方达沪深</w:t>
            </w:r>
            <w:r>
              <w:rPr>
                <w:rFonts w:eastAsiaTheme="minorEastAsia"/>
                <w:color w:val="000000" w:themeColor="text1"/>
                <w:sz w:val="24"/>
              </w:rPr>
              <w:t>300</w:t>
            </w:r>
            <w:r>
              <w:rPr>
                <w:rFonts w:eastAsiaTheme="minorEastAsia"/>
                <w:color w:val="000000" w:themeColor="text1"/>
                <w:sz w:val="24"/>
              </w:rPr>
              <w:t>非银行金融交易型开放式指数证券投资基金</w:t>
            </w:r>
          </w:p>
        </w:tc>
        <w:tc>
          <w:tcPr>
            <w:tcW w:w="0" w:type="auto"/>
            <w:vAlign w:val="center"/>
          </w:tcPr>
          <w:p w:rsidR="000172F7" w:rsidRDefault="0012435B">
            <w:pPr>
              <w:jc w:val="center"/>
            </w:pPr>
            <w:r>
              <w:rPr>
                <w:rFonts w:eastAsiaTheme="minorEastAsia"/>
                <w:color w:val="000000" w:themeColor="text1"/>
                <w:sz w:val="24"/>
              </w:rPr>
              <w:t>股票型</w:t>
            </w:r>
          </w:p>
        </w:tc>
        <w:tc>
          <w:tcPr>
            <w:tcW w:w="0" w:type="auto"/>
            <w:vAlign w:val="center"/>
          </w:tcPr>
          <w:p w:rsidR="000172F7" w:rsidRDefault="0012435B">
            <w:pPr>
              <w:jc w:val="center"/>
            </w:pPr>
            <w:r>
              <w:rPr>
                <w:rFonts w:eastAsiaTheme="minorEastAsia"/>
                <w:color w:val="000000" w:themeColor="text1"/>
                <w:sz w:val="24"/>
              </w:rPr>
              <w:t>交易型开放式（</w:t>
            </w:r>
            <w:r>
              <w:rPr>
                <w:rFonts w:eastAsiaTheme="minorEastAsia"/>
                <w:color w:val="000000" w:themeColor="text1"/>
                <w:sz w:val="24"/>
              </w:rPr>
              <w:t>ETF</w:t>
            </w:r>
            <w:r>
              <w:rPr>
                <w:rFonts w:eastAsiaTheme="minorEastAsia"/>
                <w:color w:val="000000" w:themeColor="text1"/>
                <w:sz w:val="24"/>
              </w:rPr>
              <w:t>）</w:t>
            </w:r>
          </w:p>
        </w:tc>
        <w:tc>
          <w:tcPr>
            <w:tcW w:w="0" w:type="auto"/>
            <w:vAlign w:val="center"/>
          </w:tcPr>
          <w:p w:rsidR="000172F7" w:rsidRDefault="0012435B">
            <w:pPr>
              <w:jc w:val="center"/>
            </w:pPr>
            <w:r>
              <w:rPr>
                <w:rFonts w:eastAsiaTheme="minorEastAsia"/>
                <w:color w:val="000000" w:themeColor="text1"/>
                <w:sz w:val="24"/>
              </w:rPr>
              <w:t>易方达基金管理有限公司</w:t>
            </w:r>
          </w:p>
        </w:tc>
        <w:tc>
          <w:tcPr>
            <w:tcW w:w="0" w:type="auto"/>
            <w:vAlign w:val="center"/>
          </w:tcPr>
          <w:p w:rsidR="000172F7" w:rsidRDefault="0012435B">
            <w:pPr>
              <w:jc w:val="right"/>
            </w:pPr>
            <w:r>
              <w:rPr>
                <w:rFonts w:eastAsiaTheme="minorEastAsia"/>
                <w:color w:val="000000" w:themeColor="text1"/>
                <w:sz w:val="24"/>
              </w:rPr>
              <w:t>1,499,769,219.16</w:t>
            </w:r>
          </w:p>
        </w:tc>
        <w:tc>
          <w:tcPr>
            <w:tcW w:w="0" w:type="auto"/>
            <w:vAlign w:val="center"/>
          </w:tcPr>
          <w:p w:rsidR="000172F7" w:rsidRDefault="0012435B">
            <w:pPr>
              <w:jc w:val="right"/>
            </w:pPr>
            <w:r>
              <w:rPr>
                <w:rFonts w:eastAsiaTheme="minorEastAsia"/>
                <w:color w:val="000000" w:themeColor="text1"/>
                <w:sz w:val="24"/>
              </w:rPr>
              <w:t>93.74</w:t>
            </w:r>
          </w:p>
        </w:tc>
      </w:tr>
    </w:tbl>
    <w:p w:rsidR="0054389B" w:rsidRPr="00B34368" w:rsidRDefault="0054389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5.3 </w:t>
      </w:r>
      <w:r w:rsidRPr="00B34368">
        <w:rPr>
          <w:rFonts w:eastAsiaTheme="minorEastAsia" w:hAnsiTheme="minorEastAsia"/>
          <w:b/>
          <w:color w:val="000000" w:themeColor="text1"/>
          <w:kern w:val="0"/>
          <w:sz w:val="24"/>
        </w:rPr>
        <w:t>报告期末按行业分类的股票投资组合</w:t>
      </w:r>
    </w:p>
    <w:p w:rsidR="0054389B" w:rsidRPr="00B34368" w:rsidRDefault="0054389B" w:rsidP="0054389B">
      <w:pPr>
        <w:rPr>
          <w:rFonts w:eastAsiaTheme="minorEastAsia"/>
          <w:b/>
          <w:sz w:val="24"/>
        </w:rPr>
      </w:pPr>
      <w:r w:rsidRPr="00B34368">
        <w:rPr>
          <w:rFonts w:eastAsiaTheme="minorEastAsia"/>
          <w:b/>
          <w:color w:val="000000" w:themeColor="text1"/>
          <w:kern w:val="0"/>
          <w:sz w:val="24"/>
        </w:rPr>
        <w:t>5.3.1</w:t>
      </w:r>
      <w:r w:rsidRPr="00B34368">
        <w:rPr>
          <w:rFonts w:eastAsiaTheme="minorEastAsia" w:hAnsi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3135"/>
        <w:gridCol w:w="1365"/>
      </w:tblGrid>
      <w:tr w:rsidR="00D3639B" w:rsidRPr="00B34368" w:rsidTr="00975D18">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行业类别</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公允价值（元）</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农、林、牧、渔业</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采矿业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p w:rsidR="005F458B" w:rsidRPr="00B34368" w:rsidRDefault="005F458B" w:rsidP="00724F6D">
            <w:pPr>
              <w:jc w:val="right"/>
              <w:rPr>
                <w:rFonts w:eastAsiaTheme="minorEastAsia"/>
                <w:color w:val="000000" w:themeColor="text1"/>
                <w:sz w:val="24"/>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p w:rsidR="005F458B" w:rsidRPr="00B34368" w:rsidRDefault="005F458B" w:rsidP="00724F6D">
            <w:pPr>
              <w:jc w:val="right"/>
              <w:rPr>
                <w:rFonts w:eastAsiaTheme="minorEastAsia"/>
                <w:color w:val="000000" w:themeColor="text1"/>
                <w:sz w:val="24"/>
              </w:rPr>
            </w:pP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制造业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21,942.24</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电力、热力、燃气及水生产和供应业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建筑业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批发和零售业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交通运输、仓储和邮政业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住宿和餐饮业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信息传输、软件和信息技术服务业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78,198.64</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金融业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12,152,752.77</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0.76</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房地产业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租赁和商务服务业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科学研究和技术服务业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水利、环境和公共设施管理业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居民服务、修理和其他服务业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教育</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卫生和社会工作</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文化、体育和娱乐业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综合</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合计</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12,252,893.65</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0.77</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4</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报告期末按公允价值占基金资产净值比例大小排序的前十名股票投资明细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842"/>
        <w:gridCol w:w="1616"/>
      </w:tblGrid>
      <w:tr w:rsidR="00D3639B" w:rsidRPr="00B34368" w:rsidTr="00975D18">
        <w:tc>
          <w:tcPr>
            <w:tcW w:w="817"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701"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数量</w:t>
            </w:r>
            <w:r w:rsidRPr="00B34368">
              <w:rPr>
                <w:rFonts w:eastAsiaTheme="minorEastAsia"/>
                <w:color w:val="000000" w:themeColor="text1"/>
                <w:sz w:val="24"/>
              </w:rPr>
              <w:t>(</w:t>
            </w:r>
            <w:r w:rsidRPr="00B34368">
              <w:rPr>
                <w:rFonts w:eastAsiaTheme="minorEastAsia" w:hAnsiTheme="minorEastAsia"/>
                <w:color w:val="000000" w:themeColor="text1"/>
                <w:sz w:val="24"/>
              </w:rPr>
              <w:t>股</w:t>
            </w:r>
            <w:r w:rsidRPr="00B34368">
              <w:rPr>
                <w:rFonts w:eastAsiaTheme="minorEastAsia"/>
                <w:color w:val="000000" w:themeColor="text1"/>
                <w:sz w:val="24"/>
              </w:rPr>
              <w:t>)</w:t>
            </w:r>
          </w:p>
        </w:tc>
        <w:tc>
          <w:tcPr>
            <w:tcW w:w="1842" w:type="dxa"/>
            <w:vAlign w:val="center"/>
          </w:tcPr>
          <w:p w:rsidR="000871DB" w:rsidRPr="00B34368" w:rsidRDefault="000871DB" w:rsidP="000871DB">
            <w:pPr>
              <w:autoSpaceDE w:val="0"/>
              <w:autoSpaceDN w:val="0"/>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1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r w:rsidRPr="00B34368">
              <w:rPr>
                <w:rFonts w:eastAsiaTheme="minorEastAsia" w:hAnsiTheme="minorEastAsia"/>
                <w:color w:val="000000" w:themeColor="text1"/>
                <w:sz w:val="24"/>
              </w:rPr>
              <w:t>％</w:t>
            </w:r>
            <w:r w:rsidRPr="00B34368">
              <w:rPr>
                <w:rFonts w:eastAsiaTheme="minorEastAsia"/>
                <w:color w:val="000000" w:themeColor="text1"/>
                <w:sz w:val="24"/>
              </w:rPr>
              <w:t>)</w:t>
            </w:r>
          </w:p>
        </w:tc>
      </w:tr>
      <w:tr w:rsidR="000172F7">
        <w:tc>
          <w:tcPr>
            <w:tcW w:w="817" w:type="dxa"/>
            <w:vAlign w:val="center"/>
          </w:tcPr>
          <w:p w:rsidR="000172F7" w:rsidRDefault="0012435B">
            <w:pPr>
              <w:jc w:val="center"/>
            </w:pPr>
            <w:r>
              <w:rPr>
                <w:rFonts w:eastAsiaTheme="minorEastAsia"/>
                <w:color w:val="000000" w:themeColor="text1"/>
                <w:sz w:val="24"/>
              </w:rPr>
              <w:t>1</w:t>
            </w:r>
          </w:p>
        </w:tc>
        <w:tc>
          <w:tcPr>
            <w:tcW w:w="1276" w:type="dxa"/>
            <w:vAlign w:val="center"/>
          </w:tcPr>
          <w:p w:rsidR="000172F7" w:rsidRDefault="0012435B">
            <w:pPr>
              <w:jc w:val="center"/>
            </w:pPr>
            <w:r>
              <w:rPr>
                <w:rFonts w:eastAsiaTheme="minorEastAsia"/>
                <w:color w:val="000000" w:themeColor="text1"/>
                <w:sz w:val="24"/>
              </w:rPr>
              <w:t>601318</w:t>
            </w:r>
          </w:p>
        </w:tc>
        <w:tc>
          <w:tcPr>
            <w:tcW w:w="1701" w:type="dxa"/>
            <w:vAlign w:val="center"/>
          </w:tcPr>
          <w:p w:rsidR="000172F7" w:rsidRDefault="0012435B">
            <w:pPr>
              <w:jc w:val="center"/>
            </w:pPr>
            <w:r>
              <w:rPr>
                <w:rFonts w:eastAsiaTheme="minorEastAsia"/>
                <w:color w:val="000000" w:themeColor="text1"/>
                <w:sz w:val="24"/>
              </w:rPr>
              <w:t>中国平安</w:t>
            </w:r>
          </w:p>
        </w:tc>
        <w:tc>
          <w:tcPr>
            <w:tcW w:w="1276" w:type="dxa"/>
            <w:vAlign w:val="center"/>
          </w:tcPr>
          <w:p w:rsidR="000172F7" w:rsidRDefault="0012435B">
            <w:pPr>
              <w:jc w:val="right"/>
            </w:pPr>
            <w:r>
              <w:rPr>
                <w:rFonts w:eastAsiaTheme="minorEastAsia"/>
                <w:color w:val="000000" w:themeColor="text1"/>
                <w:sz w:val="24"/>
              </w:rPr>
              <w:t>67,243</w:t>
            </w:r>
          </w:p>
        </w:tc>
        <w:tc>
          <w:tcPr>
            <w:tcW w:w="1842" w:type="dxa"/>
            <w:vAlign w:val="center"/>
          </w:tcPr>
          <w:p w:rsidR="000172F7" w:rsidRDefault="0012435B">
            <w:pPr>
              <w:jc w:val="right"/>
            </w:pPr>
            <w:r>
              <w:rPr>
                <w:rFonts w:eastAsiaTheme="minorEastAsia"/>
                <w:color w:val="000000" w:themeColor="text1"/>
                <w:sz w:val="24"/>
              </w:rPr>
              <w:t>5,852,830.72</w:t>
            </w:r>
          </w:p>
        </w:tc>
        <w:tc>
          <w:tcPr>
            <w:tcW w:w="1616" w:type="dxa"/>
            <w:vAlign w:val="center"/>
          </w:tcPr>
          <w:p w:rsidR="000172F7" w:rsidRDefault="0012435B">
            <w:pPr>
              <w:jc w:val="right"/>
            </w:pPr>
            <w:r>
              <w:rPr>
                <w:rFonts w:eastAsiaTheme="minorEastAsia"/>
                <w:color w:val="000000" w:themeColor="text1"/>
                <w:sz w:val="24"/>
              </w:rPr>
              <w:t>0.37</w:t>
            </w:r>
          </w:p>
        </w:tc>
      </w:tr>
      <w:tr w:rsidR="000172F7">
        <w:tc>
          <w:tcPr>
            <w:tcW w:w="817" w:type="dxa"/>
            <w:vAlign w:val="center"/>
          </w:tcPr>
          <w:p w:rsidR="000172F7" w:rsidRDefault="0012435B">
            <w:pPr>
              <w:jc w:val="center"/>
            </w:pPr>
            <w:r>
              <w:rPr>
                <w:rFonts w:eastAsiaTheme="minorEastAsia"/>
                <w:color w:val="000000" w:themeColor="text1"/>
                <w:sz w:val="24"/>
              </w:rPr>
              <w:t>2</w:t>
            </w:r>
          </w:p>
        </w:tc>
        <w:tc>
          <w:tcPr>
            <w:tcW w:w="1276" w:type="dxa"/>
            <w:vAlign w:val="center"/>
          </w:tcPr>
          <w:p w:rsidR="000172F7" w:rsidRDefault="0012435B">
            <w:pPr>
              <w:jc w:val="center"/>
            </w:pPr>
            <w:r>
              <w:rPr>
                <w:rFonts w:eastAsiaTheme="minorEastAsia"/>
                <w:color w:val="000000" w:themeColor="text1"/>
                <w:sz w:val="24"/>
              </w:rPr>
              <w:t>600030</w:t>
            </w:r>
          </w:p>
        </w:tc>
        <w:tc>
          <w:tcPr>
            <w:tcW w:w="1701" w:type="dxa"/>
            <w:vAlign w:val="center"/>
          </w:tcPr>
          <w:p w:rsidR="000172F7" w:rsidRDefault="0012435B">
            <w:pPr>
              <w:jc w:val="center"/>
            </w:pPr>
            <w:r>
              <w:rPr>
                <w:rFonts w:eastAsiaTheme="minorEastAsia"/>
                <w:color w:val="000000" w:themeColor="text1"/>
                <w:sz w:val="24"/>
              </w:rPr>
              <w:t>中信证券</w:t>
            </w:r>
          </w:p>
        </w:tc>
        <w:tc>
          <w:tcPr>
            <w:tcW w:w="1276" w:type="dxa"/>
            <w:vAlign w:val="center"/>
          </w:tcPr>
          <w:p w:rsidR="000172F7" w:rsidRDefault="0012435B">
            <w:pPr>
              <w:jc w:val="right"/>
            </w:pPr>
            <w:r>
              <w:rPr>
                <w:rFonts w:eastAsiaTheme="minorEastAsia"/>
                <w:color w:val="000000" w:themeColor="text1"/>
                <w:sz w:val="24"/>
              </w:rPr>
              <w:t>49,200</w:t>
            </w:r>
          </w:p>
        </w:tc>
        <w:tc>
          <w:tcPr>
            <w:tcW w:w="1842" w:type="dxa"/>
            <w:vAlign w:val="center"/>
          </w:tcPr>
          <w:p w:rsidR="000172F7" w:rsidRDefault="0012435B">
            <w:pPr>
              <w:jc w:val="right"/>
            </w:pPr>
            <w:r>
              <w:rPr>
                <w:rFonts w:eastAsiaTheme="minorEastAsia"/>
                <w:color w:val="000000" w:themeColor="text1"/>
                <w:sz w:val="24"/>
              </w:rPr>
              <w:t>1,106,016.00</w:t>
            </w:r>
          </w:p>
        </w:tc>
        <w:tc>
          <w:tcPr>
            <w:tcW w:w="1616" w:type="dxa"/>
            <w:vAlign w:val="center"/>
          </w:tcPr>
          <w:p w:rsidR="000172F7" w:rsidRDefault="0012435B">
            <w:pPr>
              <w:jc w:val="right"/>
            </w:pPr>
            <w:r>
              <w:rPr>
                <w:rFonts w:eastAsiaTheme="minorEastAsia"/>
                <w:color w:val="000000" w:themeColor="text1"/>
                <w:sz w:val="24"/>
              </w:rPr>
              <w:t>0.07</w:t>
            </w:r>
          </w:p>
        </w:tc>
      </w:tr>
      <w:tr w:rsidR="000172F7">
        <w:tc>
          <w:tcPr>
            <w:tcW w:w="817" w:type="dxa"/>
            <w:vAlign w:val="center"/>
          </w:tcPr>
          <w:p w:rsidR="000172F7" w:rsidRDefault="0012435B">
            <w:pPr>
              <w:jc w:val="center"/>
            </w:pPr>
            <w:r>
              <w:rPr>
                <w:rFonts w:eastAsiaTheme="minorEastAsia"/>
                <w:color w:val="000000" w:themeColor="text1"/>
                <w:sz w:val="24"/>
              </w:rPr>
              <w:t>3</w:t>
            </w:r>
          </w:p>
        </w:tc>
        <w:tc>
          <w:tcPr>
            <w:tcW w:w="1276" w:type="dxa"/>
            <w:vAlign w:val="center"/>
          </w:tcPr>
          <w:p w:rsidR="000172F7" w:rsidRDefault="0012435B">
            <w:pPr>
              <w:jc w:val="center"/>
            </w:pPr>
            <w:r>
              <w:rPr>
                <w:rFonts w:eastAsiaTheme="minorEastAsia"/>
                <w:color w:val="000000" w:themeColor="text1"/>
                <w:sz w:val="24"/>
              </w:rPr>
              <w:t>600837</w:t>
            </w:r>
          </w:p>
        </w:tc>
        <w:tc>
          <w:tcPr>
            <w:tcW w:w="1701" w:type="dxa"/>
            <w:vAlign w:val="center"/>
          </w:tcPr>
          <w:p w:rsidR="000172F7" w:rsidRDefault="0012435B">
            <w:pPr>
              <w:jc w:val="center"/>
            </w:pPr>
            <w:r>
              <w:rPr>
                <w:rFonts w:eastAsiaTheme="minorEastAsia"/>
                <w:color w:val="000000" w:themeColor="text1"/>
                <w:sz w:val="24"/>
              </w:rPr>
              <w:t>海通证券</w:t>
            </w:r>
          </w:p>
        </w:tc>
        <w:tc>
          <w:tcPr>
            <w:tcW w:w="1276" w:type="dxa"/>
            <w:vAlign w:val="center"/>
          </w:tcPr>
          <w:p w:rsidR="000172F7" w:rsidRDefault="0012435B">
            <w:pPr>
              <w:jc w:val="right"/>
            </w:pPr>
            <w:r>
              <w:rPr>
                <w:rFonts w:eastAsiaTheme="minorEastAsia"/>
                <w:color w:val="000000" w:themeColor="text1"/>
                <w:sz w:val="24"/>
              </w:rPr>
              <w:t>50,400</w:t>
            </w:r>
          </w:p>
        </w:tc>
        <w:tc>
          <w:tcPr>
            <w:tcW w:w="1842" w:type="dxa"/>
            <w:vAlign w:val="center"/>
          </w:tcPr>
          <w:p w:rsidR="000172F7" w:rsidRDefault="0012435B">
            <w:pPr>
              <w:jc w:val="right"/>
            </w:pPr>
            <w:r>
              <w:rPr>
                <w:rFonts w:eastAsiaTheme="minorEastAsia"/>
                <w:color w:val="000000" w:themeColor="text1"/>
                <w:sz w:val="24"/>
              </w:rPr>
              <w:t>720,720.00</w:t>
            </w:r>
          </w:p>
        </w:tc>
        <w:tc>
          <w:tcPr>
            <w:tcW w:w="1616" w:type="dxa"/>
            <w:vAlign w:val="center"/>
          </w:tcPr>
          <w:p w:rsidR="000172F7" w:rsidRDefault="0012435B">
            <w:pPr>
              <w:jc w:val="right"/>
            </w:pPr>
            <w:r>
              <w:rPr>
                <w:rFonts w:eastAsiaTheme="minorEastAsia"/>
                <w:color w:val="000000" w:themeColor="text1"/>
                <w:sz w:val="24"/>
              </w:rPr>
              <w:t>0.05</w:t>
            </w:r>
          </w:p>
        </w:tc>
      </w:tr>
      <w:tr w:rsidR="000172F7">
        <w:tc>
          <w:tcPr>
            <w:tcW w:w="817" w:type="dxa"/>
            <w:vAlign w:val="center"/>
          </w:tcPr>
          <w:p w:rsidR="000172F7" w:rsidRDefault="0012435B">
            <w:pPr>
              <w:jc w:val="center"/>
            </w:pPr>
            <w:r>
              <w:rPr>
                <w:rFonts w:eastAsiaTheme="minorEastAsia"/>
                <w:color w:val="000000" w:themeColor="text1"/>
                <w:sz w:val="24"/>
              </w:rPr>
              <w:t>4</w:t>
            </w:r>
          </w:p>
        </w:tc>
        <w:tc>
          <w:tcPr>
            <w:tcW w:w="1276" w:type="dxa"/>
            <w:vAlign w:val="center"/>
          </w:tcPr>
          <w:p w:rsidR="000172F7" w:rsidRDefault="0012435B">
            <w:pPr>
              <w:jc w:val="center"/>
            </w:pPr>
            <w:r>
              <w:rPr>
                <w:rFonts w:eastAsiaTheme="minorEastAsia"/>
                <w:color w:val="000000" w:themeColor="text1"/>
                <w:sz w:val="24"/>
              </w:rPr>
              <w:t>601601</w:t>
            </w:r>
          </w:p>
        </w:tc>
        <w:tc>
          <w:tcPr>
            <w:tcW w:w="1701" w:type="dxa"/>
            <w:vAlign w:val="center"/>
          </w:tcPr>
          <w:p w:rsidR="000172F7" w:rsidRDefault="0012435B">
            <w:pPr>
              <w:jc w:val="center"/>
            </w:pPr>
            <w:r>
              <w:rPr>
                <w:rFonts w:eastAsiaTheme="minorEastAsia"/>
                <w:color w:val="000000" w:themeColor="text1"/>
                <w:sz w:val="24"/>
              </w:rPr>
              <w:t>中国太保</w:t>
            </w:r>
          </w:p>
        </w:tc>
        <w:tc>
          <w:tcPr>
            <w:tcW w:w="1276" w:type="dxa"/>
            <w:vAlign w:val="center"/>
          </w:tcPr>
          <w:p w:rsidR="000172F7" w:rsidRDefault="0012435B">
            <w:pPr>
              <w:jc w:val="right"/>
            </w:pPr>
            <w:r>
              <w:rPr>
                <w:rFonts w:eastAsiaTheme="minorEastAsia"/>
                <w:color w:val="000000" w:themeColor="text1"/>
                <w:sz w:val="24"/>
              </w:rPr>
              <w:t>19,840</w:t>
            </w:r>
          </w:p>
        </w:tc>
        <w:tc>
          <w:tcPr>
            <w:tcW w:w="1842" w:type="dxa"/>
            <w:vAlign w:val="center"/>
          </w:tcPr>
          <w:p w:rsidR="000172F7" w:rsidRDefault="0012435B">
            <w:pPr>
              <w:jc w:val="right"/>
            </w:pPr>
            <w:r>
              <w:rPr>
                <w:rFonts w:eastAsiaTheme="minorEastAsia"/>
                <w:color w:val="000000" w:themeColor="text1"/>
                <w:sz w:val="24"/>
              </w:rPr>
              <w:t>691,820.80</w:t>
            </w:r>
          </w:p>
        </w:tc>
        <w:tc>
          <w:tcPr>
            <w:tcW w:w="1616" w:type="dxa"/>
            <w:vAlign w:val="center"/>
          </w:tcPr>
          <w:p w:rsidR="000172F7" w:rsidRDefault="0012435B">
            <w:pPr>
              <w:jc w:val="right"/>
            </w:pPr>
            <w:r>
              <w:rPr>
                <w:rFonts w:eastAsiaTheme="minorEastAsia"/>
                <w:color w:val="000000" w:themeColor="text1"/>
                <w:sz w:val="24"/>
              </w:rPr>
              <w:t>0.04</w:t>
            </w:r>
          </w:p>
        </w:tc>
      </w:tr>
      <w:tr w:rsidR="000172F7">
        <w:tc>
          <w:tcPr>
            <w:tcW w:w="817" w:type="dxa"/>
            <w:vAlign w:val="center"/>
          </w:tcPr>
          <w:p w:rsidR="000172F7" w:rsidRDefault="0012435B">
            <w:pPr>
              <w:jc w:val="center"/>
            </w:pPr>
            <w:r>
              <w:rPr>
                <w:rFonts w:eastAsiaTheme="minorEastAsia"/>
                <w:color w:val="000000" w:themeColor="text1"/>
                <w:sz w:val="24"/>
              </w:rPr>
              <w:t>5</w:t>
            </w:r>
          </w:p>
        </w:tc>
        <w:tc>
          <w:tcPr>
            <w:tcW w:w="1276" w:type="dxa"/>
            <w:vAlign w:val="center"/>
          </w:tcPr>
          <w:p w:rsidR="000172F7" w:rsidRDefault="0012435B">
            <w:pPr>
              <w:jc w:val="center"/>
            </w:pPr>
            <w:r>
              <w:rPr>
                <w:rFonts w:eastAsiaTheme="minorEastAsia"/>
                <w:color w:val="000000" w:themeColor="text1"/>
                <w:sz w:val="24"/>
              </w:rPr>
              <w:t>601211</w:t>
            </w:r>
          </w:p>
        </w:tc>
        <w:tc>
          <w:tcPr>
            <w:tcW w:w="1701" w:type="dxa"/>
            <w:vAlign w:val="center"/>
          </w:tcPr>
          <w:p w:rsidR="000172F7" w:rsidRDefault="0012435B">
            <w:pPr>
              <w:jc w:val="center"/>
            </w:pPr>
            <w:r>
              <w:rPr>
                <w:rFonts w:eastAsiaTheme="minorEastAsia"/>
                <w:color w:val="000000" w:themeColor="text1"/>
                <w:sz w:val="24"/>
              </w:rPr>
              <w:t>国泰君安</w:t>
            </w:r>
          </w:p>
        </w:tc>
        <w:tc>
          <w:tcPr>
            <w:tcW w:w="1276" w:type="dxa"/>
            <w:vAlign w:val="center"/>
          </w:tcPr>
          <w:p w:rsidR="000172F7" w:rsidRDefault="0012435B">
            <w:pPr>
              <w:jc w:val="right"/>
            </w:pPr>
            <w:r>
              <w:rPr>
                <w:rFonts w:eastAsiaTheme="minorEastAsia"/>
                <w:color w:val="000000" w:themeColor="text1"/>
                <w:sz w:val="24"/>
              </w:rPr>
              <w:t>28,200</w:t>
            </w:r>
          </w:p>
        </w:tc>
        <w:tc>
          <w:tcPr>
            <w:tcW w:w="1842" w:type="dxa"/>
            <w:vAlign w:val="center"/>
          </w:tcPr>
          <w:p w:rsidR="000172F7" w:rsidRDefault="0012435B">
            <w:pPr>
              <w:jc w:val="right"/>
            </w:pPr>
            <w:r>
              <w:rPr>
                <w:rFonts w:eastAsiaTheme="minorEastAsia"/>
                <w:color w:val="000000" w:themeColor="text1"/>
                <w:sz w:val="24"/>
              </w:rPr>
              <w:t>495,474.00</w:t>
            </w:r>
          </w:p>
        </w:tc>
        <w:tc>
          <w:tcPr>
            <w:tcW w:w="1616" w:type="dxa"/>
            <w:vAlign w:val="center"/>
          </w:tcPr>
          <w:p w:rsidR="000172F7" w:rsidRDefault="0012435B">
            <w:pPr>
              <w:jc w:val="right"/>
            </w:pPr>
            <w:r>
              <w:rPr>
                <w:rFonts w:eastAsiaTheme="minorEastAsia"/>
                <w:color w:val="000000" w:themeColor="text1"/>
                <w:sz w:val="24"/>
              </w:rPr>
              <w:t>0.03</w:t>
            </w:r>
          </w:p>
        </w:tc>
      </w:tr>
      <w:tr w:rsidR="000172F7">
        <w:tc>
          <w:tcPr>
            <w:tcW w:w="817" w:type="dxa"/>
            <w:vAlign w:val="center"/>
          </w:tcPr>
          <w:p w:rsidR="000172F7" w:rsidRDefault="0012435B">
            <w:pPr>
              <w:jc w:val="center"/>
            </w:pPr>
            <w:r>
              <w:rPr>
                <w:rFonts w:eastAsiaTheme="minorEastAsia"/>
                <w:color w:val="000000" w:themeColor="text1"/>
                <w:sz w:val="24"/>
              </w:rPr>
              <w:t>6</w:t>
            </w:r>
          </w:p>
        </w:tc>
        <w:tc>
          <w:tcPr>
            <w:tcW w:w="1276" w:type="dxa"/>
            <w:vAlign w:val="center"/>
          </w:tcPr>
          <w:p w:rsidR="000172F7" w:rsidRDefault="0012435B">
            <w:pPr>
              <w:jc w:val="center"/>
            </w:pPr>
            <w:r>
              <w:rPr>
                <w:rFonts w:eastAsiaTheme="minorEastAsia"/>
                <w:color w:val="000000" w:themeColor="text1"/>
                <w:sz w:val="24"/>
              </w:rPr>
              <w:t>601688</w:t>
            </w:r>
          </w:p>
        </w:tc>
        <w:tc>
          <w:tcPr>
            <w:tcW w:w="1701" w:type="dxa"/>
            <w:vAlign w:val="center"/>
          </w:tcPr>
          <w:p w:rsidR="000172F7" w:rsidRDefault="0012435B">
            <w:pPr>
              <w:jc w:val="center"/>
            </w:pPr>
            <w:r>
              <w:rPr>
                <w:rFonts w:eastAsiaTheme="minorEastAsia"/>
                <w:color w:val="000000" w:themeColor="text1"/>
                <w:sz w:val="24"/>
              </w:rPr>
              <w:t>华泰证券</w:t>
            </w:r>
          </w:p>
        </w:tc>
        <w:tc>
          <w:tcPr>
            <w:tcW w:w="1276" w:type="dxa"/>
            <w:vAlign w:val="center"/>
          </w:tcPr>
          <w:p w:rsidR="000172F7" w:rsidRDefault="0012435B">
            <w:pPr>
              <w:jc w:val="right"/>
            </w:pPr>
            <w:r>
              <w:rPr>
                <w:rFonts w:eastAsiaTheme="minorEastAsia"/>
                <w:color w:val="000000" w:themeColor="text1"/>
                <w:sz w:val="24"/>
              </w:rPr>
              <w:t>22,800</w:t>
            </w:r>
          </w:p>
        </w:tc>
        <w:tc>
          <w:tcPr>
            <w:tcW w:w="1842" w:type="dxa"/>
            <w:vAlign w:val="center"/>
          </w:tcPr>
          <w:p w:rsidR="000172F7" w:rsidRDefault="0012435B">
            <w:pPr>
              <w:jc w:val="right"/>
            </w:pPr>
            <w:r>
              <w:rPr>
                <w:rFonts w:eastAsiaTheme="minorEastAsia"/>
                <w:color w:val="000000" w:themeColor="text1"/>
                <w:sz w:val="24"/>
              </w:rPr>
              <w:t>435,252.00</w:t>
            </w:r>
          </w:p>
        </w:tc>
        <w:tc>
          <w:tcPr>
            <w:tcW w:w="1616" w:type="dxa"/>
            <w:vAlign w:val="center"/>
          </w:tcPr>
          <w:p w:rsidR="000172F7" w:rsidRDefault="0012435B">
            <w:pPr>
              <w:jc w:val="right"/>
            </w:pPr>
            <w:r>
              <w:rPr>
                <w:rFonts w:eastAsiaTheme="minorEastAsia"/>
                <w:color w:val="000000" w:themeColor="text1"/>
                <w:sz w:val="24"/>
              </w:rPr>
              <w:t>0.03</w:t>
            </w:r>
          </w:p>
        </w:tc>
      </w:tr>
      <w:tr w:rsidR="000172F7">
        <w:tc>
          <w:tcPr>
            <w:tcW w:w="817" w:type="dxa"/>
            <w:vAlign w:val="center"/>
          </w:tcPr>
          <w:p w:rsidR="000172F7" w:rsidRDefault="0012435B">
            <w:pPr>
              <w:jc w:val="center"/>
            </w:pPr>
            <w:r>
              <w:rPr>
                <w:rFonts w:eastAsiaTheme="minorEastAsia"/>
                <w:color w:val="000000" w:themeColor="text1"/>
                <w:sz w:val="24"/>
              </w:rPr>
              <w:t>7</w:t>
            </w:r>
          </w:p>
        </w:tc>
        <w:tc>
          <w:tcPr>
            <w:tcW w:w="1276" w:type="dxa"/>
            <w:vAlign w:val="center"/>
          </w:tcPr>
          <w:p w:rsidR="000172F7" w:rsidRDefault="0012435B">
            <w:pPr>
              <w:jc w:val="center"/>
            </w:pPr>
            <w:r>
              <w:rPr>
                <w:rFonts w:eastAsiaTheme="minorEastAsia"/>
                <w:color w:val="000000" w:themeColor="text1"/>
                <w:sz w:val="24"/>
              </w:rPr>
              <w:t>600999</w:t>
            </w:r>
          </w:p>
        </w:tc>
        <w:tc>
          <w:tcPr>
            <w:tcW w:w="1701" w:type="dxa"/>
            <w:vAlign w:val="center"/>
          </w:tcPr>
          <w:p w:rsidR="000172F7" w:rsidRDefault="0012435B">
            <w:pPr>
              <w:jc w:val="center"/>
            </w:pPr>
            <w:r>
              <w:rPr>
                <w:rFonts w:eastAsiaTheme="minorEastAsia"/>
                <w:color w:val="000000" w:themeColor="text1"/>
                <w:sz w:val="24"/>
              </w:rPr>
              <w:t>招商证券</w:t>
            </w:r>
          </w:p>
        </w:tc>
        <w:tc>
          <w:tcPr>
            <w:tcW w:w="1276" w:type="dxa"/>
            <w:vAlign w:val="center"/>
          </w:tcPr>
          <w:p w:rsidR="000172F7" w:rsidRDefault="0012435B">
            <w:pPr>
              <w:jc w:val="right"/>
            </w:pPr>
            <w:r>
              <w:rPr>
                <w:rFonts w:eastAsiaTheme="minorEastAsia"/>
                <w:color w:val="000000" w:themeColor="text1"/>
                <w:sz w:val="24"/>
              </w:rPr>
              <w:t>18,085</w:t>
            </w:r>
          </w:p>
        </w:tc>
        <w:tc>
          <w:tcPr>
            <w:tcW w:w="1842" w:type="dxa"/>
            <w:vAlign w:val="center"/>
          </w:tcPr>
          <w:p w:rsidR="000172F7" w:rsidRDefault="0012435B">
            <w:pPr>
              <w:jc w:val="right"/>
            </w:pPr>
            <w:r>
              <w:rPr>
                <w:rFonts w:eastAsiaTheme="minorEastAsia"/>
                <w:color w:val="000000" w:themeColor="text1"/>
                <w:sz w:val="24"/>
              </w:rPr>
              <w:t>297,498.25</w:t>
            </w:r>
          </w:p>
        </w:tc>
        <w:tc>
          <w:tcPr>
            <w:tcW w:w="1616" w:type="dxa"/>
            <w:vAlign w:val="center"/>
          </w:tcPr>
          <w:p w:rsidR="000172F7" w:rsidRDefault="0012435B">
            <w:pPr>
              <w:jc w:val="right"/>
            </w:pPr>
            <w:r>
              <w:rPr>
                <w:rFonts w:eastAsiaTheme="minorEastAsia"/>
                <w:color w:val="000000" w:themeColor="text1"/>
                <w:sz w:val="24"/>
              </w:rPr>
              <w:t>0.02</w:t>
            </w:r>
          </w:p>
        </w:tc>
      </w:tr>
      <w:tr w:rsidR="000172F7">
        <w:tc>
          <w:tcPr>
            <w:tcW w:w="817" w:type="dxa"/>
            <w:vAlign w:val="center"/>
          </w:tcPr>
          <w:p w:rsidR="000172F7" w:rsidRDefault="0012435B">
            <w:pPr>
              <w:jc w:val="center"/>
            </w:pPr>
            <w:r>
              <w:rPr>
                <w:rFonts w:eastAsiaTheme="minorEastAsia"/>
                <w:color w:val="000000" w:themeColor="text1"/>
                <w:sz w:val="24"/>
              </w:rPr>
              <w:t>8</w:t>
            </w:r>
          </w:p>
        </w:tc>
        <w:tc>
          <w:tcPr>
            <w:tcW w:w="1276" w:type="dxa"/>
            <w:vAlign w:val="center"/>
          </w:tcPr>
          <w:p w:rsidR="000172F7" w:rsidRDefault="0012435B">
            <w:pPr>
              <w:jc w:val="center"/>
            </w:pPr>
            <w:r>
              <w:rPr>
                <w:rFonts w:eastAsiaTheme="minorEastAsia"/>
                <w:color w:val="000000" w:themeColor="text1"/>
                <w:sz w:val="24"/>
              </w:rPr>
              <w:t>601628</w:t>
            </w:r>
          </w:p>
        </w:tc>
        <w:tc>
          <w:tcPr>
            <w:tcW w:w="1701" w:type="dxa"/>
            <w:vAlign w:val="center"/>
          </w:tcPr>
          <w:p w:rsidR="000172F7" w:rsidRDefault="0012435B">
            <w:pPr>
              <w:jc w:val="center"/>
            </w:pPr>
            <w:r>
              <w:rPr>
                <w:rFonts w:eastAsiaTheme="minorEastAsia"/>
                <w:color w:val="000000" w:themeColor="text1"/>
                <w:sz w:val="24"/>
              </w:rPr>
              <w:t>中国人寿</w:t>
            </w:r>
          </w:p>
        </w:tc>
        <w:tc>
          <w:tcPr>
            <w:tcW w:w="1276" w:type="dxa"/>
            <w:vAlign w:val="center"/>
          </w:tcPr>
          <w:p w:rsidR="000172F7" w:rsidRDefault="0012435B">
            <w:pPr>
              <w:jc w:val="right"/>
            </w:pPr>
            <w:r>
              <w:rPr>
                <w:rFonts w:eastAsiaTheme="minorEastAsia"/>
                <w:color w:val="000000" w:themeColor="text1"/>
                <w:sz w:val="24"/>
              </w:rPr>
              <w:t>10,200</w:t>
            </w:r>
          </w:p>
        </w:tc>
        <w:tc>
          <w:tcPr>
            <w:tcW w:w="1842" w:type="dxa"/>
            <w:vAlign w:val="center"/>
          </w:tcPr>
          <w:p w:rsidR="000172F7" w:rsidRDefault="0012435B">
            <w:pPr>
              <w:jc w:val="right"/>
            </w:pPr>
            <w:r>
              <w:rPr>
                <w:rFonts w:eastAsiaTheme="minorEastAsia"/>
                <w:color w:val="000000" w:themeColor="text1"/>
                <w:sz w:val="24"/>
              </w:rPr>
              <w:t>280,296.00</w:t>
            </w:r>
          </w:p>
        </w:tc>
        <w:tc>
          <w:tcPr>
            <w:tcW w:w="1616" w:type="dxa"/>
            <w:vAlign w:val="center"/>
          </w:tcPr>
          <w:p w:rsidR="000172F7" w:rsidRDefault="0012435B">
            <w:pPr>
              <w:jc w:val="right"/>
            </w:pPr>
            <w:r>
              <w:rPr>
                <w:rFonts w:eastAsiaTheme="minorEastAsia"/>
                <w:color w:val="000000" w:themeColor="text1"/>
                <w:sz w:val="24"/>
              </w:rPr>
              <w:t>0.02</w:t>
            </w:r>
          </w:p>
        </w:tc>
      </w:tr>
      <w:tr w:rsidR="000172F7">
        <w:tc>
          <w:tcPr>
            <w:tcW w:w="817" w:type="dxa"/>
            <w:vAlign w:val="center"/>
          </w:tcPr>
          <w:p w:rsidR="000172F7" w:rsidRDefault="0012435B">
            <w:pPr>
              <w:jc w:val="center"/>
            </w:pPr>
            <w:r>
              <w:rPr>
                <w:rFonts w:eastAsiaTheme="minorEastAsia"/>
                <w:color w:val="000000" w:themeColor="text1"/>
                <w:sz w:val="24"/>
              </w:rPr>
              <w:t>9</w:t>
            </w:r>
          </w:p>
        </w:tc>
        <w:tc>
          <w:tcPr>
            <w:tcW w:w="1276" w:type="dxa"/>
            <w:vAlign w:val="center"/>
          </w:tcPr>
          <w:p w:rsidR="000172F7" w:rsidRDefault="0012435B">
            <w:pPr>
              <w:jc w:val="center"/>
            </w:pPr>
            <w:r>
              <w:rPr>
                <w:rFonts w:eastAsiaTheme="minorEastAsia"/>
                <w:color w:val="000000" w:themeColor="text1"/>
                <w:sz w:val="24"/>
              </w:rPr>
              <w:t>601336</w:t>
            </w:r>
          </w:p>
        </w:tc>
        <w:tc>
          <w:tcPr>
            <w:tcW w:w="1701" w:type="dxa"/>
            <w:vAlign w:val="center"/>
          </w:tcPr>
          <w:p w:rsidR="000172F7" w:rsidRDefault="0012435B">
            <w:pPr>
              <w:jc w:val="center"/>
            </w:pPr>
            <w:r>
              <w:rPr>
                <w:rFonts w:eastAsiaTheme="minorEastAsia"/>
                <w:color w:val="000000" w:themeColor="text1"/>
                <w:sz w:val="24"/>
              </w:rPr>
              <w:t>新华保险</w:t>
            </w:r>
          </w:p>
        </w:tc>
        <w:tc>
          <w:tcPr>
            <w:tcW w:w="1276" w:type="dxa"/>
            <w:vAlign w:val="center"/>
          </w:tcPr>
          <w:p w:rsidR="000172F7" w:rsidRDefault="0012435B">
            <w:pPr>
              <w:jc w:val="right"/>
            </w:pPr>
            <w:r>
              <w:rPr>
                <w:rFonts w:eastAsiaTheme="minorEastAsia"/>
                <w:color w:val="000000" w:themeColor="text1"/>
                <w:sz w:val="24"/>
              </w:rPr>
              <w:t>5,400</w:t>
            </w:r>
          </w:p>
        </w:tc>
        <w:tc>
          <w:tcPr>
            <w:tcW w:w="1842" w:type="dxa"/>
            <w:vAlign w:val="center"/>
          </w:tcPr>
          <w:p w:rsidR="000172F7" w:rsidRDefault="0012435B">
            <w:pPr>
              <w:jc w:val="right"/>
            </w:pPr>
            <w:r>
              <w:rPr>
                <w:rFonts w:eastAsiaTheme="minorEastAsia"/>
                <w:color w:val="000000" w:themeColor="text1"/>
                <w:sz w:val="24"/>
              </w:rPr>
              <w:t>262,818.00</w:t>
            </w:r>
          </w:p>
        </w:tc>
        <w:tc>
          <w:tcPr>
            <w:tcW w:w="1616" w:type="dxa"/>
            <w:vAlign w:val="center"/>
          </w:tcPr>
          <w:p w:rsidR="000172F7" w:rsidRDefault="0012435B">
            <w:pPr>
              <w:jc w:val="right"/>
            </w:pPr>
            <w:r>
              <w:rPr>
                <w:rFonts w:eastAsiaTheme="minorEastAsia"/>
                <w:color w:val="000000" w:themeColor="text1"/>
                <w:sz w:val="24"/>
              </w:rPr>
              <w:t>0.02</w:t>
            </w:r>
          </w:p>
        </w:tc>
      </w:tr>
      <w:tr w:rsidR="000172F7">
        <w:tc>
          <w:tcPr>
            <w:tcW w:w="817" w:type="dxa"/>
            <w:vAlign w:val="center"/>
          </w:tcPr>
          <w:p w:rsidR="000172F7" w:rsidRDefault="0012435B">
            <w:pPr>
              <w:jc w:val="center"/>
            </w:pPr>
            <w:r>
              <w:rPr>
                <w:rFonts w:eastAsiaTheme="minorEastAsia"/>
                <w:color w:val="000000" w:themeColor="text1"/>
                <w:sz w:val="24"/>
              </w:rPr>
              <w:t>10</w:t>
            </w:r>
          </w:p>
        </w:tc>
        <w:tc>
          <w:tcPr>
            <w:tcW w:w="1276" w:type="dxa"/>
            <w:vAlign w:val="center"/>
          </w:tcPr>
          <w:p w:rsidR="000172F7" w:rsidRDefault="0012435B">
            <w:pPr>
              <w:jc w:val="center"/>
            </w:pPr>
            <w:r>
              <w:rPr>
                <w:rFonts w:eastAsiaTheme="minorEastAsia"/>
                <w:color w:val="000000" w:themeColor="text1"/>
                <w:sz w:val="24"/>
              </w:rPr>
              <w:t>600958</w:t>
            </w:r>
          </w:p>
        </w:tc>
        <w:tc>
          <w:tcPr>
            <w:tcW w:w="1701" w:type="dxa"/>
            <w:vAlign w:val="center"/>
          </w:tcPr>
          <w:p w:rsidR="000172F7" w:rsidRDefault="0012435B">
            <w:pPr>
              <w:jc w:val="center"/>
            </w:pPr>
            <w:r>
              <w:rPr>
                <w:rFonts w:eastAsiaTheme="minorEastAsia"/>
                <w:color w:val="000000" w:themeColor="text1"/>
                <w:sz w:val="24"/>
              </w:rPr>
              <w:t>东方证券</w:t>
            </w:r>
          </w:p>
        </w:tc>
        <w:tc>
          <w:tcPr>
            <w:tcW w:w="1276" w:type="dxa"/>
            <w:vAlign w:val="center"/>
          </w:tcPr>
          <w:p w:rsidR="000172F7" w:rsidRDefault="0012435B">
            <w:pPr>
              <w:jc w:val="right"/>
            </w:pPr>
            <w:r>
              <w:rPr>
                <w:rFonts w:eastAsiaTheme="minorEastAsia"/>
                <w:color w:val="000000" w:themeColor="text1"/>
                <w:sz w:val="24"/>
              </w:rPr>
              <w:t>22,200</w:t>
            </w:r>
          </w:p>
        </w:tc>
        <w:tc>
          <w:tcPr>
            <w:tcW w:w="1842" w:type="dxa"/>
            <w:vAlign w:val="center"/>
          </w:tcPr>
          <w:p w:rsidR="000172F7" w:rsidRDefault="0012435B">
            <w:pPr>
              <w:jc w:val="right"/>
            </w:pPr>
            <w:r>
              <w:rPr>
                <w:rFonts w:eastAsiaTheme="minorEastAsia"/>
                <w:color w:val="000000" w:themeColor="text1"/>
                <w:sz w:val="24"/>
              </w:rPr>
              <w:t>226,440.00</w:t>
            </w:r>
          </w:p>
        </w:tc>
        <w:tc>
          <w:tcPr>
            <w:tcW w:w="1616" w:type="dxa"/>
            <w:vAlign w:val="center"/>
          </w:tcPr>
          <w:p w:rsidR="000172F7" w:rsidRDefault="0012435B">
            <w:pPr>
              <w:jc w:val="right"/>
            </w:pPr>
            <w:r>
              <w:rPr>
                <w:rFonts w:eastAsiaTheme="minorEastAsia"/>
                <w:color w:val="000000" w:themeColor="text1"/>
                <w:sz w:val="24"/>
              </w:rPr>
              <w:t>0.01</w:t>
            </w:r>
          </w:p>
        </w:tc>
      </w:tr>
    </w:tbl>
    <w:p w:rsidR="00F21B6D"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5</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报告期末按债券品种分类的债券投资组合</w:t>
      </w:r>
    </w:p>
    <w:p w:rsidR="009238DB" w:rsidRPr="00B34368" w:rsidRDefault="00F21B6D"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6</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的前五名债券投资明细</w:t>
      </w:r>
    </w:p>
    <w:p w:rsidR="009238DB" w:rsidRPr="00B34368" w:rsidRDefault="00296E4A"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7</w:t>
      </w:r>
      <w:r w:rsidRPr="00B34368">
        <w:rPr>
          <w:rFonts w:eastAsiaTheme="minorEastAsia" w:hAnsiTheme="minorEastAsia"/>
          <w:b/>
          <w:color w:val="000000" w:themeColor="text1"/>
          <w:kern w:val="0"/>
          <w:sz w:val="24"/>
        </w:rPr>
        <w:t xml:space="preserve">　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的前十名资产支持证券投资明细</w:t>
      </w:r>
    </w:p>
    <w:p w:rsidR="009238DB"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本基金本报告期末未持有资产支持证券。</w:t>
      </w:r>
    </w:p>
    <w:p w:rsidR="00E15FD1" w:rsidRPr="00B34368" w:rsidRDefault="00E15FD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 xml:space="preserve">5.8 </w:t>
      </w:r>
      <w:r w:rsidRPr="00B34368">
        <w:rPr>
          <w:rFonts w:eastAsiaTheme="minorEastAsia" w:hAnsiTheme="minorEastAsia"/>
          <w:b/>
          <w:bCs/>
          <w:color w:val="000000" w:themeColor="text1"/>
          <w:kern w:val="0"/>
          <w:sz w:val="24"/>
        </w:rPr>
        <w:t>报告期末按公允价值占基金资产净值比例大小排序的前五名贵金属投资明细</w:t>
      </w:r>
    </w:p>
    <w:p w:rsidR="00E15FD1" w:rsidRPr="00B34368" w:rsidRDefault="00E15FD1" w:rsidP="00B34368">
      <w:pPr>
        <w:widowControl/>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本基金本报告期末未持有贵金属。</w:t>
      </w:r>
    </w:p>
    <w:p w:rsidR="009238DB"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9238DB" w:rsidRPr="00B34368">
        <w:rPr>
          <w:rFonts w:eastAsiaTheme="minorEastAsia"/>
          <w:b/>
          <w:color w:val="000000" w:themeColor="text1"/>
          <w:kern w:val="0"/>
          <w:sz w:val="24"/>
        </w:rPr>
        <w:t>.</w:t>
      </w:r>
      <w:r w:rsidRPr="00B34368">
        <w:rPr>
          <w:rFonts w:eastAsiaTheme="minorEastAsia"/>
          <w:b/>
          <w:color w:val="000000" w:themeColor="text1"/>
          <w:kern w:val="0"/>
          <w:sz w:val="24"/>
        </w:rPr>
        <w:t>9</w:t>
      </w:r>
      <w:r w:rsidR="009238DB" w:rsidRPr="00B34368">
        <w:rPr>
          <w:rFonts w:eastAsiaTheme="minorEastAsia"/>
          <w:b/>
          <w:color w:val="000000" w:themeColor="text1"/>
          <w:kern w:val="0"/>
          <w:sz w:val="24"/>
        </w:rPr>
        <w:t xml:space="preserve"> </w:t>
      </w:r>
      <w:r w:rsidR="009238DB" w:rsidRPr="00B34368">
        <w:rPr>
          <w:rFonts w:eastAsiaTheme="minorEastAsia" w:hAnsiTheme="minorEastAsia"/>
          <w:b/>
          <w:color w:val="000000" w:themeColor="text1"/>
          <w:kern w:val="0"/>
          <w:sz w:val="24"/>
        </w:rPr>
        <w:t>报告</w:t>
      </w:r>
      <w:r w:rsidR="009238DB" w:rsidRPr="00B34368">
        <w:rPr>
          <w:rFonts w:eastAsiaTheme="minorEastAsia" w:hAnsiTheme="minorEastAsia"/>
          <w:b/>
          <w:bCs/>
          <w:color w:val="000000" w:themeColor="text1"/>
          <w:kern w:val="0"/>
          <w:sz w:val="24"/>
        </w:rPr>
        <w:t>期末</w:t>
      </w:r>
      <w:r w:rsidR="009238DB" w:rsidRPr="00B34368">
        <w:rPr>
          <w:rFonts w:eastAsiaTheme="minorEastAsia" w:hAnsiTheme="minorEastAsia"/>
          <w:b/>
          <w:color w:val="000000" w:themeColor="text1"/>
          <w:kern w:val="0"/>
          <w:sz w:val="24"/>
        </w:rPr>
        <w:t>按公允价值占基金资产净值比例大小排</w:t>
      </w:r>
      <w:r w:rsidR="006B3FDB" w:rsidRPr="00B34368">
        <w:rPr>
          <w:rFonts w:eastAsiaTheme="minorEastAsia" w:hAnsiTheme="minorEastAsia"/>
          <w:b/>
          <w:color w:val="000000" w:themeColor="text1"/>
          <w:kern w:val="0"/>
          <w:sz w:val="24"/>
        </w:rPr>
        <w:t>序</w:t>
      </w:r>
      <w:r w:rsidR="009238DB" w:rsidRPr="00B34368">
        <w:rPr>
          <w:rFonts w:eastAsiaTheme="minorEastAsia" w:hAnsiTheme="minorEastAsia"/>
          <w:b/>
          <w:color w:val="000000" w:themeColor="text1"/>
          <w:kern w:val="0"/>
          <w:sz w:val="24"/>
        </w:rPr>
        <w:t>的前五名权证投资明细</w:t>
      </w:r>
    </w:p>
    <w:p w:rsidR="001D5CD0"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本基金本报告期末未持有权证。</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sz w:val="24"/>
        </w:rPr>
      </w:pPr>
      <w:r w:rsidRPr="00B34368">
        <w:rPr>
          <w:rFonts w:eastAsiaTheme="minorEastAsia"/>
          <w:b/>
          <w:color w:val="000000" w:themeColor="text1"/>
          <w:sz w:val="24"/>
        </w:rPr>
        <w:t xml:space="preserve">5.10 </w:t>
      </w:r>
      <w:r w:rsidRPr="00B34368">
        <w:rPr>
          <w:rFonts w:eastAsiaTheme="minorEastAsia" w:hAnsiTheme="minorEastAsia"/>
          <w:b/>
          <w:color w:val="000000" w:themeColor="text1"/>
          <w:sz w:val="24"/>
        </w:rPr>
        <w:t>报告期末本基金投资的股指期货交易情况说明</w:t>
      </w:r>
    </w:p>
    <w:p w:rsidR="00901C58" w:rsidRDefault="00901C58" w:rsidP="00901C58">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5.11</w:t>
      </w:r>
      <w:r w:rsidRPr="00B34368">
        <w:rPr>
          <w:rFonts w:eastAsiaTheme="minorEastAsia" w:hAnsiTheme="minorEastAsia"/>
          <w:b/>
          <w:color w:val="000000" w:themeColor="text1"/>
          <w:sz w:val="24"/>
        </w:rPr>
        <w:t>报告期末本基金投资的国债期货交易情况说明</w:t>
      </w:r>
    </w:p>
    <w:p w:rsidR="00D53C6D" w:rsidRDefault="00D53C6D" w:rsidP="00D53C6D">
      <w:pPr>
        <w:spacing w:line="360" w:lineRule="auto"/>
        <w:ind w:firstLineChars="200" w:firstLine="480"/>
      </w:pPr>
      <w:r>
        <w:rPr>
          <w:color w:val="000000"/>
          <w:sz w:val="24"/>
        </w:rPr>
        <w:t>本基金本报告期末未投资国债期货。</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w:t>
      </w:r>
      <w:r w:rsidRPr="00B34368">
        <w:rPr>
          <w:rFonts w:eastAsiaTheme="minorEastAsia" w:hAnsiTheme="minorEastAsia"/>
          <w:b/>
          <w:color w:val="000000" w:themeColor="text1"/>
          <w:kern w:val="0"/>
          <w:sz w:val="24"/>
        </w:rPr>
        <w:t>投资组合报告附注</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5.12.1</w:t>
      </w:r>
      <w:r w:rsidRPr="00B34368">
        <w:rPr>
          <w:rFonts w:eastAsiaTheme="minorEastAsia"/>
          <w:color w:val="000000" w:themeColor="text1"/>
          <w:sz w:val="24"/>
        </w:rPr>
        <w:t>本基金投资的前十名证券的发行主体本期没有出现被监管部门立案调查，或在报告编制日前一年内受到公开谴责、处罚的情形。</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5.12.2</w:t>
      </w:r>
      <w:r w:rsidRPr="00B34368">
        <w:rPr>
          <w:rFonts w:eastAsiaTheme="minorEastAsia"/>
          <w:color w:val="000000" w:themeColor="text1"/>
          <w:sz w:val="24"/>
        </w:rPr>
        <w:t>本基金投资的前十名股票没有超出基金合同规定的备选股票库。</w:t>
      </w:r>
    </w:p>
    <w:p w:rsidR="001D5CD0" w:rsidRPr="00B34368" w:rsidRDefault="001D5CD0" w:rsidP="001D5CD0">
      <w:pPr>
        <w:autoSpaceDE w:val="0"/>
        <w:autoSpaceDN w:val="0"/>
        <w:adjustRightInd w:val="0"/>
        <w:spacing w:line="360" w:lineRule="auto"/>
        <w:rPr>
          <w:rFonts w:eastAsiaTheme="minorEastAsia"/>
          <w:b/>
          <w:color w:val="000000" w:themeColor="text1"/>
          <w:kern w:val="0"/>
          <w:sz w:val="24"/>
        </w:rPr>
      </w:pPr>
      <w:r w:rsidRPr="00B34368">
        <w:rPr>
          <w:rFonts w:eastAsiaTheme="minorEastAsia"/>
          <w:b/>
          <w:color w:val="000000" w:themeColor="text1"/>
          <w:kern w:val="0"/>
          <w:sz w:val="24"/>
        </w:rPr>
        <w:t>5.12.3</w:t>
      </w:r>
      <w:r w:rsidRPr="00B34368">
        <w:rPr>
          <w:rFonts w:eastAsiaTheme="minorEastAsia" w:hAnsiTheme="minorEastAsia"/>
          <w:b/>
          <w:color w:val="000000" w:themeColor="text1"/>
          <w:kern w:val="0"/>
          <w:sz w:val="24"/>
        </w:rPr>
        <w:t>其他各项资产构成</w:t>
      </w:r>
    </w:p>
    <w:tbl>
      <w:tblPr>
        <w:tblStyle w:val="af2"/>
        <w:tblW w:w="0" w:type="auto"/>
        <w:tblInd w:w="108" w:type="dxa"/>
        <w:tblLook w:val="04A0" w:firstRow="1" w:lastRow="0" w:firstColumn="1" w:lastColumn="0" w:noHBand="0" w:noVBand="1"/>
      </w:tblPr>
      <w:tblGrid>
        <w:gridCol w:w="944"/>
        <w:gridCol w:w="2761"/>
        <w:gridCol w:w="4808"/>
      </w:tblGrid>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2761"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名称</w:t>
            </w:r>
          </w:p>
        </w:tc>
        <w:tc>
          <w:tcPr>
            <w:tcW w:w="4808"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金额</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color w:val="000000" w:themeColor="text1"/>
                <w:sz w:val="24"/>
              </w:rPr>
              <w:t>1</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存出保证金</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185,367.81</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2</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应收证券清算款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3</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应收股利</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4</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应收利息</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17,677.55</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5</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应收申购款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5,434,779.29</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6</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其他应收款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64,703.69</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7</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sz w:val="24"/>
              </w:rPr>
            </w:pPr>
            <w:r w:rsidRPr="00B34368">
              <w:rPr>
                <w:rFonts w:eastAsiaTheme="minorEastAsia" w:hAnsiTheme="minorEastAsia"/>
                <w:color w:val="000000" w:themeColor="text1"/>
                <w:sz w:val="24"/>
              </w:rPr>
              <w:t>待摊费用</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8</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9</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合计</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5,702,528.34</w:t>
            </w:r>
          </w:p>
        </w:tc>
      </w:tr>
    </w:tbl>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5.12.4</w:t>
      </w:r>
      <w:r w:rsidRPr="00B34368">
        <w:rPr>
          <w:rFonts w:eastAsiaTheme="minorEastAsia" w:hAnsiTheme="minorEastAsia"/>
          <w:b/>
          <w:color w:val="000000" w:themeColor="text1"/>
          <w:kern w:val="0"/>
          <w:sz w:val="24"/>
        </w:rPr>
        <w:t>报告期末持有的处于转股期的可转换债券明细</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本基金本报告期末未持有处于转股期的可转换债券。</w:t>
      </w:r>
    </w:p>
    <w:p w:rsidR="001D5CD0" w:rsidRPr="00B34368" w:rsidRDefault="001D5CD0" w:rsidP="00C544B8">
      <w:pPr>
        <w:autoSpaceDE w:val="0"/>
        <w:autoSpaceDN w:val="0"/>
        <w:adjustRightInd w:val="0"/>
        <w:spacing w:beforeLines="100" w:before="312" w:line="360" w:lineRule="auto"/>
        <w:jc w:val="left"/>
        <w:rPr>
          <w:rFonts w:eastAsiaTheme="minorEastAsia"/>
          <w:b/>
          <w:bCs/>
          <w:color w:val="000000" w:themeColor="text1"/>
          <w:sz w:val="24"/>
        </w:rPr>
      </w:pPr>
      <w:r w:rsidRPr="00B34368">
        <w:rPr>
          <w:rFonts w:eastAsiaTheme="minorEastAsia"/>
          <w:b/>
          <w:color w:val="000000" w:themeColor="text1"/>
          <w:kern w:val="0"/>
          <w:sz w:val="24"/>
        </w:rPr>
        <w:t>5.12.5</w:t>
      </w:r>
      <w:r w:rsidRPr="00B34368">
        <w:rPr>
          <w:rFonts w:eastAsiaTheme="minorEastAsia" w:hAnsiTheme="minorEastAsia"/>
          <w:b/>
          <w:bCs/>
          <w:color w:val="000000" w:themeColor="text1"/>
          <w:sz w:val="24"/>
        </w:rPr>
        <w:t>报告期末前十名股票中存在流通受限情况的说明</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本基金本报告期末前十名股票中不存在流通受限情况。</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§6  </w:t>
      </w:r>
      <w:r w:rsidRPr="00B34368">
        <w:rPr>
          <w:rFonts w:eastAsiaTheme="minorEastAsia" w:hAnsiTheme="minorEastAsia"/>
          <w:color w:val="000000" w:themeColor="text1"/>
          <w:kern w:val="0"/>
          <w:sz w:val="24"/>
          <w:szCs w:val="24"/>
        </w:rPr>
        <w:t>开放式基金份额变动</w:t>
      </w:r>
    </w:p>
    <w:p w:rsidR="009238DB" w:rsidRPr="00B34368"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单位：份</w:t>
      </w:r>
    </w:p>
    <w:tbl>
      <w:tblPr>
        <w:tblW w:w="0" w:type="auto"/>
        <w:tblInd w:w="108" w:type="dxa"/>
        <w:tblLayout w:type="fixed"/>
        <w:tblLook w:val="0000" w:firstRow="0" w:lastRow="0" w:firstColumn="0" w:lastColumn="0" w:noHBand="0" w:noVBand="0"/>
      </w:tblPr>
      <w:tblGrid>
        <w:gridCol w:w="3900"/>
        <w:gridCol w:w="2367"/>
        <w:gridCol w:w="2367"/>
      </w:tblGrid>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非银联接</w:t>
            </w:r>
            <w:r w:rsidRPr="00B34368">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易方达沪深</w:t>
            </w:r>
            <w:r w:rsidRPr="00B34368">
              <w:rPr>
                <w:rFonts w:eastAsiaTheme="minorEastAsia"/>
                <w:color w:val="000000" w:themeColor="text1"/>
                <w:sz w:val="24"/>
              </w:rPr>
              <w:t>300</w:t>
            </w:r>
            <w:r w:rsidRPr="00B34368">
              <w:rPr>
                <w:rFonts w:eastAsiaTheme="minorEastAsia"/>
                <w:color w:val="000000" w:themeColor="text1"/>
                <w:sz w:val="24"/>
              </w:rPr>
              <w:t>非银联接</w:t>
            </w:r>
            <w:r w:rsidRPr="00B34368">
              <w:rPr>
                <w:rFonts w:eastAsiaTheme="minorEastAsia"/>
                <w:color w:val="000000" w:themeColor="text1"/>
                <w:sz w:val="24"/>
              </w:rPr>
              <w:t>C</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1,372,892,480.86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816,840,695.66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37,739,541.21</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减：</w:t>
            </w:r>
            <w:r w:rsidR="00F72579" w:rsidRPr="00B34368">
              <w:rPr>
                <w:rFonts w:eastAsiaTheme="minorEastAsia"/>
                <w:color w:val="000000" w:themeColor="text1"/>
                <w:kern w:val="0"/>
                <w:sz w:val="24"/>
              </w:rPr>
              <w:t>本报告期</w:t>
            </w:r>
            <w:r w:rsidRPr="00B34368">
              <w:rPr>
                <w:rFonts w:eastAsiaTheme="minorEastAsia" w:hAnsi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624,373,177.05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4,483,783.82</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B57BCF">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1,565,359,999.47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33,255,757.39</w:t>
            </w:r>
          </w:p>
        </w:tc>
      </w:tr>
    </w:tbl>
    <w:p w:rsidR="00FB3C94" w:rsidRPr="00B34368" w:rsidRDefault="00FB3C94"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注：本基金</w:t>
      </w:r>
      <w:r w:rsidRPr="00B34368">
        <w:rPr>
          <w:rFonts w:eastAsiaTheme="minorEastAsia"/>
          <w:color w:val="000000" w:themeColor="text1"/>
          <w:sz w:val="24"/>
        </w:rPr>
        <w:t>A</w:t>
      </w:r>
      <w:r w:rsidRPr="00B34368">
        <w:rPr>
          <w:rFonts w:eastAsiaTheme="minorEastAsia"/>
          <w:color w:val="000000" w:themeColor="text1"/>
          <w:sz w:val="24"/>
        </w:rPr>
        <w:t>类基金份额由易方达沪深</w:t>
      </w:r>
      <w:r w:rsidRPr="00B34368">
        <w:rPr>
          <w:rFonts w:eastAsiaTheme="minorEastAsia"/>
          <w:color w:val="000000" w:themeColor="text1"/>
          <w:sz w:val="24"/>
        </w:rPr>
        <w:t>300</w:t>
      </w:r>
      <w:r w:rsidRPr="00B34368">
        <w:rPr>
          <w:rFonts w:eastAsiaTheme="minorEastAsia"/>
          <w:color w:val="000000" w:themeColor="text1"/>
          <w:sz w:val="24"/>
        </w:rPr>
        <w:t>非银行金融交易型开放式指数证券投资基金联接基金份额变更而来，并于</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8</w:t>
      </w:r>
      <w:r w:rsidRPr="00B34368">
        <w:rPr>
          <w:rFonts w:eastAsiaTheme="minorEastAsia"/>
          <w:color w:val="000000" w:themeColor="text1"/>
          <w:sz w:val="24"/>
        </w:rPr>
        <w:t>月</w:t>
      </w:r>
      <w:r w:rsidRPr="00B34368">
        <w:rPr>
          <w:rFonts w:eastAsiaTheme="minorEastAsia"/>
          <w:color w:val="000000" w:themeColor="text1"/>
          <w:sz w:val="24"/>
        </w:rPr>
        <w:t>20</w:t>
      </w:r>
      <w:r w:rsidRPr="00B34368">
        <w:rPr>
          <w:rFonts w:eastAsiaTheme="minorEastAsia"/>
          <w:color w:val="000000" w:themeColor="text1"/>
          <w:sz w:val="24"/>
        </w:rPr>
        <w:t>日起增设</w:t>
      </w:r>
      <w:r w:rsidRPr="00B34368">
        <w:rPr>
          <w:rFonts w:eastAsiaTheme="minorEastAsia"/>
          <w:color w:val="000000" w:themeColor="text1"/>
          <w:sz w:val="24"/>
        </w:rPr>
        <w:t>C</w:t>
      </w:r>
      <w:r w:rsidRPr="00B34368">
        <w:rPr>
          <w:rFonts w:eastAsiaTheme="minorEastAsia"/>
          <w:color w:val="000000" w:themeColor="text1"/>
          <w:sz w:val="24"/>
        </w:rPr>
        <w:t>类份额类别，本报告期的相关数据按实际存续期计算。</w:t>
      </w:r>
    </w:p>
    <w:p w:rsidR="00617125" w:rsidRPr="00B34368" w:rsidRDefault="00617125" w:rsidP="00C544B8">
      <w:pPr>
        <w:pStyle w:val="1"/>
        <w:tabs>
          <w:tab w:val="center" w:pos="4156"/>
          <w:tab w:val="right" w:pos="8312"/>
        </w:tabs>
        <w:spacing w:beforeLines="100" w:before="312" w:afterLines="100" w:after="312" w:line="360" w:lineRule="auto"/>
        <w:jc w:val="center"/>
        <w:rPr>
          <w:rFonts w:eastAsiaTheme="minorEastAsia"/>
          <w:color w:val="000000" w:themeColor="text1"/>
          <w:sz w:val="24"/>
          <w:szCs w:val="24"/>
        </w:rPr>
      </w:pPr>
      <w:r w:rsidRPr="00B34368">
        <w:rPr>
          <w:rFonts w:eastAsiaTheme="minorEastAsia"/>
          <w:color w:val="000000" w:themeColor="text1"/>
          <w:kern w:val="0"/>
          <w:sz w:val="24"/>
          <w:szCs w:val="24"/>
        </w:rPr>
        <w:t>§7</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sz w:val="24"/>
          <w:szCs w:val="24"/>
        </w:rPr>
        <w:t>基金管理人运用固有资金投资本基金情况</w:t>
      </w:r>
    </w:p>
    <w:p w:rsidR="00617125" w:rsidRPr="00B34368" w:rsidRDefault="00617125" w:rsidP="00617125">
      <w:pPr>
        <w:spacing w:line="360" w:lineRule="auto"/>
        <w:jc w:val="left"/>
        <w:rPr>
          <w:rFonts w:eastAsiaTheme="minorEastAsia"/>
          <w:color w:val="000000" w:themeColor="text1"/>
          <w:sz w:val="24"/>
        </w:rPr>
      </w:pPr>
      <w:r w:rsidRPr="00B34368">
        <w:rPr>
          <w:rFonts w:eastAsiaTheme="minorEastAsia"/>
          <w:b/>
          <w:color w:val="000000" w:themeColor="text1"/>
          <w:sz w:val="24"/>
        </w:rPr>
        <w:t xml:space="preserve">7.1 </w:t>
      </w:r>
      <w:r w:rsidRPr="00B34368">
        <w:rPr>
          <w:rFonts w:eastAsiaTheme="minorEastAsia" w:hAnsiTheme="minorEastAsia"/>
          <w:b/>
          <w:color w:val="000000" w:themeColor="text1"/>
          <w:sz w:val="24"/>
        </w:rPr>
        <w:t>基金管理人持有本基金份额变动情况</w:t>
      </w:r>
    </w:p>
    <w:p w:rsidR="00617125" w:rsidRPr="00B34368" w:rsidRDefault="00A01C74" w:rsidP="00B34368">
      <w:pPr>
        <w:autoSpaceDE w:val="0"/>
        <w:autoSpaceDN w:val="0"/>
        <w:adjustRightInd w:val="0"/>
        <w:spacing w:line="360" w:lineRule="auto"/>
        <w:ind w:firstLineChars="200" w:firstLine="480"/>
        <w:jc w:val="left"/>
        <w:rPr>
          <w:rFonts w:eastAsiaTheme="minorEastAsia"/>
          <w:color w:val="000000" w:themeColor="text1"/>
          <w:sz w:val="24"/>
        </w:rPr>
      </w:pPr>
      <w:r w:rsidRPr="00DF18FE">
        <w:rPr>
          <w:color w:val="000000"/>
          <w:sz w:val="24"/>
        </w:rPr>
        <w:t>本报告期内基金管理人未持有本基金份额。</w:t>
      </w:r>
    </w:p>
    <w:p w:rsidR="00617125" w:rsidRPr="00B34368" w:rsidRDefault="00617125" w:rsidP="00C544B8">
      <w:pPr>
        <w:spacing w:beforeLines="100" w:before="312" w:line="360" w:lineRule="auto"/>
        <w:jc w:val="left"/>
        <w:rPr>
          <w:rFonts w:eastAsiaTheme="minorEastAsia"/>
          <w:color w:val="000000" w:themeColor="text1"/>
          <w:sz w:val="24"/>
        </w:rPr>
      </w:pPr>
      <w:r w:rsidRPr="00B34368">
        <w:rPr>
          <w:rFonts w:eastAsiaTheme="minorEastAsia"/>
          <w:b/>
          <w:color w:val="000000" w:themeColor="text1"/>
          <w:sz w:val="24"/>
        </w:rPr>
        <w:t xml:space="preserve">7.2 </w:t>
      </w:r>
      <w:r w:rsidRPr="00B34368">
        <w:rPr>
          <w:rFonts w:eastAsiaTheme="minorEastAsia" w:hAnsiTheme="minorEastAsia"/>
          <w:b/>
          <w:color w:val="000000" w:themeColor="text1"/>
          <w:sz w:val="24"/>
        </w:rPr>
        <w:t>基金管理人运用固有资金投资本基金交易明细</w:t>
      </w:r>
    </w:p>
    <w:p w:rsidR="00617125" w:rsidRPr="00B34368" w:rsidRDefault="00617125"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本报告期内基金管理人未运用固有资金申购、赎回、买卖本基金份额。</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w:t>
      </w:r>
      <w:r w:rsidR="00A14399" w:rsidRPr="00B34368">
        <w:rPr>
          <w:rFonts w:eastAsiaTheme="minorEastAsia"/>
          <w:color w:val="000000" w:themeColor="text1"/>
          <w:kern w:val="0"/>
          <w:sz w:val="24"/>
          <w:szCs w:val="24"/>
        </w:rPr>
        <w:t>8</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kern w:val="0"/>
          <w:sz w:val="24"/>
          <w:szCs w:val="24"/>
        </w:rPr>
        <w:t>备查文件目录</w:t>
      </w:r>
    </w:p>
    <w:p w:rsidR="00FB3C94" w:rsidRPr="00B34368" w:rsidRDefault="00A14399" w:rsidP="00FC13C8">
      <w:pPr>
        <w:autoSpaceDE w:val="0"/>
        <w:autoSpaceDN w:val="0"/>
        <w:adjustRightInd w:val="0"/>
        <w:spacing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w:t>
      </w:r>
      <w:r w:rsidR="00D13A01" w:rsidRPr="00B34368">
        <w:rPr>
          <w:rFonts w:eastAsiaTheme="minorEastAsia"/>
          <w:b/>
          <w:bCs/>
          <w:color w:val="000000" w:themeColor="text1"/>
          <w:kern w:val="0"/>
          <w:sz w:val="24"/>
        </w:rPr>
        <w:t>1</w:t>
      </w:r>
      <w:r w:rsidR="00FB3C94" w:rsidRPr="00B34368">
        <w:rPr>
          <w:rFonts w:eastAsiaTheme="minorEastAsia" w:hAnsiTheme="minorEastAsia"/>
          <w:b/>
          <w:bCs/>
          <w:color w:val="000000" w:themeColor="text1"/>
          <w:kern w:val="0"/>
          <w:sz w:val="24"/>
        </w:rPr>
        <w:t>备查文件目录</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中国证监会注册易方达沪深</w:t>
      </w:r>
      <w:r>
        <w:rPr>
          <w:rFonts w:eastAsiaTheme="minorEastAsia"/>
          <w:color w:val="000000" w:themeColor="text1"/>
          <w:sz w:val="24"/>
        </w:rPr>
        <w:t>300</w:t>
      </w:r>
      <w:r>
        <w:rPr>
          <w:rFonts w:eastAsiaTheme="minorEastAsia"/>
          <w:color w:val="000000" w:themeColor="text1"/>
          <w:sz w:val="24"/>
        </w:rPr>
        <w:t>非银行金融交易型开放式指数证券投资基金联接基金募集的文件；</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《易方达沪深</w:t>
      </w:r>
      <w:r>
        <w:rPr>
          <w:rFonts w:eastAsiaTheme="minorEastAsia"/>
          <w:color w:val="000000" w:themeColor="text1"/>
          <w:sz w:val="24"/>
        </w:rPr>
        <w:t>300</w:t>
      </w:r>
      <w:r>
        <w:rPr>
          <w:rFonts w:eastAsiaTheme="minorEastAsia"/>
          <w:color w:val="000000" w:themeColor="text1"/>
          <w:sz w:val="24"/>
        </w:rPr>
        <w:t>非银行金融交易型开放式指数证券投资基金联接基金基金合同》；</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《易方达沪深</w:t>
      </w:r>
      <w:r>
        <w:rPr>
          <w:rFonts w:eastAsiaTheme="minorEastAsia"/>
          <w:color w:val="000000" w:themeColor="text1"/>
          <w:sz w:val="24"/>
        </w:rPr>
        <w:t>300</w:t>
      </w:r>
      <w:r>
        <w:rPr>
          <w:rFonts w:eastAsiaTheme="minorEastAsia"/>
          <w:color w:val="000000" w:themeColor="text1"/>
          <w:sz w:val="24"/>
        </w:rPr>
        <w:t>非银行金融交易型开放式指数证券投资基金联接基金托管协议》；</w:t>
      </w:r>
    </w:p>
    <w:p w:rsidR="000172F7" w:rsidRDefault="0012435B">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《易方达基金管理有限公司开放式基金业务规则》；</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5.</w:t>
      </w:r>
      <w:r w:rsidRPr="00B34368">
        <w:rPr>
          <w:rFonts w:eastAsiaTheme="minorEastAsia"/>
          <w:color w:val="000000" w:themeColor="text1"/>
          <w:sz w:val="24"/>
        </w:rPr>
        <w:t>基金管理人业务资格批件、营业执照。</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8.2</w:t>
      </w:r>
      <w:r w:rsidR="00FB3C94" w:rsidRPr="00B34368">
        <w:rPr>
          <w:rFonts w:eastAsiaTheme="minorEastAsia" w:hAnsiTheme="minorEastAsia"/>
          <w:b/>
          <w:bCs/>
          <w:color w:val="000000" w:themeColor="text1"/>
          <w:kern w:val="0"/>
          <w:sz w:val="24"/>
        </w:rPr>
        <w:t>存放地点</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广州市天河区珠江新城珠江东路</w:t>
      </w:r>
      <w:r w:rsidRPr="00B34368">
        <w:rPr>
          <w:rFonts w:eastAsiaTheme="minorEastAsia"/>
          <w:color w:val="000000" w:themeColor="text1"/>
          <w:sz w:val="24"/>
        </w:rPr>
        <w:t>30</w:t>
      </w:r>
      <w:r w:rsidRPr="00B34368">
        <w:rPr>
          <w:rFonts w:eastAsiaTheme="minorEastAsia"/>
          <w:color w:val="000000" w:themeColor="text1"/>
          <w:sz w:val="24"/>
        </w:rPr>
        <w:t>号广州银行大厦</w:t>
      </w:r>
      <w:r w:rsidRPr="00B34368">
        <w:rPr>
          <w:rFonts w:eastAsiaTheme="minorEastAsia"/>
          <w:color w:val="000000" w:themeColor="text1"/>
          <w:sz w:val="24"/>
        </w:rPr>
        <w:t>40-43</w:t>
      </w:r>
      <w:r w:rsidRPr="00B34368">
        <w:rPr>
          <w:rFonts w:eastAsiaTheme="minorEastAsia"/>
          <w:color w:val="000000" w:themeColor="text1"/>
          <w:sz w:val="24"/>
        </w:rPr>
        <w:t>楼。</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8.3</w:t>
      </w:r>
      <w:r w:rsidR="00FB3C94" w:rsidRPr="00B34368">
        <w:rPr>
          <w:rFonts w:eastAsiaTheme="minorEastAsia" w:hAnsiTheme="minorEastAsia"/>
          <w:b/>
          <w:bCs/>
          <w:color w:val="000000" w:themeColor="text1"/>
          <w:kern w:val="0"/>
          <w:sz w:val="24"/>
        </w:rPr>
        <w:t>查阅方式</w:t>
      </w:r>
    </w:p>
    <w:p w:rsidR="00FB3C94"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投资者可在营业时间免费查阅，也可按工本费购买复印件。</w:t>
      </w:r>
    </w:p>
    <w:p w:rsidR="00FB3C94" w:rsidRPr="00B34368" w:rsidRDefault="00FB3C94" w:rsidP="00FB3C94">
      <w:pPr>
        <w:spacing w:line="360" w:lineRule="auto"/>
        <w:ind w:left="840"/>
        <w:jc w:val="right"/>
        <w:rPr>
          <w:rFonts w:eastAsiaTheme="minorEastAsia"/>
          <w:color w:val="000000" w:themeColor="text1"/>
          <w:sz w:val="24"/>
        </w:rPr>
      </w:pPr>
    </w:p>
    <w:p w:rsidR="00AF3AF9" w:rsidRPr="00B34368" w:rsidRDefault="00AF3AF9" w:rsidP="00053FFD">
      <w:pPr>
        <w:spacing w:line="360" w:lineRule="auto"/>
        <w:ind w:left="840"/>
        <w:jc w:val="center"/>
        <w:rPr>
          <w:rFonts w:eastAsiaTheme="minorEastAsia"/>
          <w:b/>
          <w:color w:val="000000" w:themeColor="text1"/>
          <w:sz w:val="24"/>
        </w:rPr>
      </w:pPr>
    </w:p>
    <w:p w:rsidR="00FB3C94" w:rsidRPr="00B34368" w:rsidRDefault="00FB3C94"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易方达基金管理有限公司</w:t>
      </w:r>
    </w:p>
    <w:p w:rsidR="009238DB" w:rsidRPr="00B34368" w:rsidRDefault="00D04410"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二〇一九年十月二十四日</w:t>
      </w:r>
    </w:p>
    <w:sectPr w:rsidR="009238DB" w:rsidRPr="00B3436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25" w:rsidRDefault="00173D25">
      <w:r>
        <w:separator/>
      </w:r>
    </w:p>
  </w:endnote>
  <w:endnote w:type="continuationSeparator" w:id="0">
    <w:p w:rsidR="00173D25" w:rsidRDefault="0017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Pr="001D0DB0" w:rsidRDefault="007C1122" w:rsidP="00F7094A">
    <w:pPr>
      <w:pStyle w:val="a6"/>
      <w:jc w:val="center"/>
    </w:pPr>
    <w:r>
      <w:rPr>
        <w:rFonts w:hint="eastAsia"/>
        <w:kern w:val="0"/>
        <w:szCs w:val="21"/>
      </w:rPr>
      <w:t>第</w:t>
    </w:r>
    <w:r w:rsidR="00EA55D2">
      <w:rPr>
        <w:kern w:val="0"/>
        <w:szCs w:val="21"/>
      </w:rPr>
      <w:fldChar w:fldCharType="begin"/>
    </w:r>
    <w:r>
      <w:rPr>
        <w:kern w:val="0"/>
        <w:szCs w:val="21"/>
      </w:rPr>
      <w:instrText xml:space="preserve"> PAGE </w:instrText>
    </w:r>
    <w:r w:rsidR="00EA55D2">
      <w:rPr>
        <w:kern w:val="0"/>
        <w:szCs w:val="21"/>
      </w:rPr>
      <w:fldChar w:fldCharType="separate"/>
    </w:r>
    <w:r w:rsidR="0012435B">
      <w:rPr>
        <w:noProof/>
        <w:kern w:val="0"/>
        <w:szCs w:val="21"/>
      </w:rPr>
      <w:t>1</w:t>
    </w:r>
    <w:r w:rsidR="00EA55D2">
      <w:rPr>
        <w:kern w:val="0"/>
        <w:szCs w:val="21"/>
      </w:rPr>
      <w:fldChar w:fldCharType="end"/>
    </w:r>
    <w:r>
      <w:rPr>
        <w:rFonts w:hint="eastAsia"/>
        <w:kern w:val="0"/>
        <w:szCs w:val="21"/>
      </w:rPr>
      <w:t>页共</w:t>
    </w:r>
    <w:r w:rsidR="00EA55D2">
      <w:rPr>
        <w:kern w:val="0"/>
        <w:szCs w:val="21"/>
      </w:rPr>
      <w:fldChar w:fldCharType="begin"/>
    </w:r>
    <w:r>
      <w:rPr>
        <w:kern w:val="0"/>
        <w:szCs w:val="21"/>
      </w:rPr>
      <w:instrText xml:space="preserve"> NUMPAGES </w:instrText>
    </w:r>
    <w:r w:rsidR="00EA55D2">
      <w:rPr>
        <w:kern w:val="0"/>
        <w:szCs w:val="21"/>
      </w:rPr>
      <w:fldChar w:fldCharType="separate"/>
    </w:r>
    <w:r w:rsidR="0012435B">
      <w:rPr>
        <w:noProof/>
        <w:kern w:val="0"/>
        <w:szCs w:val="21"/>
      </w:rPr>
      <w:t>4</w:t>
    </w:r>
    <w:r w:rsidR="00EA55D2">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separate"/>
    </w:r>
    <w:r w:rsidR="0012435B">
      <w:rPr>
        <w:rStyle w:val="a7"/>
        <w:noProof/>
      </w:rPr>
      <w:t>15</w:t>
    </w:r>
    <w:r>
      <w:rPr>
        <w:rStyle w:val="a7"/>
      </w:rPr>
      <w:fldChar w:fldCharType="end"/>
    </w:r>
  </w:p>
  <w:p w:rsidR="007C1122" w:rsidRDefault="007C1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25" w:rsidRDefault="00173D25">
      <w:r>
        <w:separator/>
      </w:r>
    </w:p>
  </w:footnote>
  <w:footnote w:type="continuationSeparator" w:id="0">
    <w:p w:rsidR="00173D25" w:rsidRDefault="0017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7C1122" w:rsidP="001207F2">
    <w:pPr>
      <w:pStyle w:val="a9"/>
      <w:pBdr>
        <w:bottom w:val="single" w:sz="6" w:space="0" w:color="auto"/>
      </w:pBdr>
      <w:jc w:val="right"/>
    </w:pPr>
    <w:r>
      <w:rPr>
        <w:sz w:val="21"/>
        <w:szCs w:val="21"/>
      </w:rPr>
      <w:t>易方达沪深</w:t>
    </w:r>
    <w:r>
      <w:rPr>
        <w:sz w:val="21"/>
        <w:szCs w:val="21"/>
      </w:rPr>
      <w:t>300</w:t>
    </w:r>
    <w:r>
      <w:rPr>
        <w:sz w:val="21"/>
        <w:szCs w:val="21"/>
      </w:rPr>
      <w:t>非银行金融交易型开放式指数证券投资基金联接基金</w:t>
    </w:r>
    <w:r>
      <w:rPr>
        <w:sz w:val="21"/>
        <w:szCs w:val="21"/>
      </w:rPr>
      <w:t>2019</w:t>
    </w:r>
    <w:r>
      <w:rPr>
        <w:sz w:val="21"/>
        <w:szCs w:val="21"/>
      </w:rPr>
      <w:t>年第</w:t>
    </w:r>
    <w:r>
      <w:rPr>
        <w:sz w:val="21"/>
        <w:szCs w:val="21"/>
      </w:rPr>
      <w:t>3</w:t>
    </w:r>
    <w:r>
      <w:rPr>
        <w:sz w:val="21"/>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2791"/>
    <w:rsid w:val="0000403B"/>
    <w:rsid w:val="00007441"/>
    <w:rsid w:val="00007F1F"/>
    <w:rsid w:val="00010A83"/>
    <w:rsid w:val="000137C1"/>
    <w:rsid w:val="000142F4"/>
    <w:rsid w:val="00014851"/>
    <w:rsid w:val="0001579C"/>
    <w:rsid w:val="00016551"/>
    <w:rsid w:val="00016934"/>
    <w:rsid w:val="000172F7"/>
    <w:rsid w:val="00020737"/>
    <w:rsid w:val="00020C27"/>
    <w:rsid w:val="000219D5"/>
    <w:rsid w:val="00022396"/>
    <w:rsid w:val="00023073"/>
    <w:rsid w:val="00023B97"/>
    <w:rsid w:val="00024836"/>
    <w:rsid w:val="00024FB8"/>
    <w:rsid w:val="000252D8"/>
    <w:rsid w:val="0003564A"/>
    <w:rsid w:val="00035B0C"/>
    <w:rsid w:val="00042065"/>
    <w:rsid w:val="00043FD2"/>
    <w:rsid w:val="00045BA9"/>
    <w:rsid w:val="00047D87"/>
    <w:rsid w:val="000510AB"/>
    <w:rsid w:val="00053FFD"/>
    <w:rsid w:val="00056D5C"/>
    <w:rsid w:val="00057507"/>
    <w:rsid w:val="00061B0B"/>
    <w:rsid w:val="00061E09"/>
    <w:rsid w:val="00062C69"/>
    <w:rsid w:val="00062DC5"/>
    <w:rsid w:val="00062E1F"/>
    <w:rsid w:val="00064601"/>
    <w:rsid w:val="00064AE3"/>
    <w:rsid w:val="0006750A"/>
    <w:rsid w:val="00075E4E"/>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3452"/>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1F00"/>
    <w:rsid w:val="0012304E"/>
    <w:rsid w:val="00123051"/>
    <w:rsid w:val="0012435B"/>
    <w:rsid w:val="001257C7"/>
    <w:rsid w:val="00125E66"/>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3D25"/>
    <w:rsid w:val="00176312"/>
    <w:rsid w:val="00176874"/>
    <w:rsid w:val="0017725A"/>
    <w:rsid w:val="0018052A"/>
    <w:rsid w:val="00180952"/>
    <w:rsid w:val="0018191A"/>
    <w:rsid w:val="001837D3"/>
    <w:rsid w:val="001857CB"/>
    <w:rsid w:val="00185B68"/>
    <w:rsid w:val="00186199"/>
    <w:rsid w:val="00194155"/>
    <w:rsid w:val="001A0417"/>
    <w:rsid w:val="001A0B71"/>
    <w:rsid w:val="001A1389"/>
    <w:rsid w:val="001A3016"/>
    <w:rsid w:val="001A3914"/>
    <w:rsid w:val="001A5FA6"/>
    <w:rsid w:val="001A78CC"/>
    <w:rsid w:val="001B053A"/>
    <w:rsid w:val="001B06D5"/>
    <w:rsid w:val="001B0C78"/>
    <w:rsid w:val="001B1A13"/>
    <w:rsid w:val="001B22BA"/>
    <w:rsid w:val="001B67D3"/>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028"/>
    <w:rsid w:val="001F5F5F"/>
    <w:rsid w:val="001F66D3"/>
    <w:rsid w:val="00205064"/>
    <w:rsid w:val="0020548A"/>
    <w:rsid w:val="00206EC3"/>
    <w:rsid w:val="00211668"/>
    <w:rsid w:val="002118A6"/>
    <w:rsid w:val="002122FF"/>
    <w:rsid w:val="002125F7"/>
    <w:rsid w:val="0021288A"/>
    <w:rsid w:val="002150AC"/>
    <w:rsid w:val="002164B5"/>
    <w:rsid w:val="00221938"/>
    <w:rsid w:val="00222262"/>
    <w:rsid w:val="002230A8"/>
    <w:rsid w:val="00225E1C"/>
    <w:rsid w:val="00227D20"/>
    <w:rsid w:val="00231BCE"/>
    <w:rsid w:val="00233CFB"/>
    <w:rsid w:val="002359EB"/>
    <w:rsid w:val="0023649E"/>
    <w:rsid w:val="00241740"/>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6645"/>
    <w:rsid w:val="00267386"/>
    <w:rsid w:val="00267C2E"/>
    <w:rsid w:val="00267DA9"/>
    <w:rsid w:val="00275FD0"/>
    <w:rsid w:val="00280514"/>
    <w:rsid w:val="002819E7"/>
    <w:rsid w:val="00282FF2"/>
    <w:rsid w:val="00283483"/>
    <w:rsid w:val="002844B5"/>
    <w:rsid w:val="0028459B"/>
    <w:rsid w:val="00285166"/>
    <w:rsid w:val="002872F8"/>
    <w:rsid w:val="00296E4A"/>
    <w:rsid w:val="002976E5"/>
    <w:rsid w:val="002A10AF"/>
    <w:rsid w:val="002A1F14"/>
    <w:rsid w:val="002A2678"/>
    <w:rsid w:val="002A3369"/>
    <w:rsid w:val="002A4B8A"/>
    <w:rsid w:val="002A5161"/>
    <w:rsid w:val="002A5C0F"/>
    <w:rsid w:val="002A61BA"/>
    <w:rsid w:val="002A6385"/>
    <w:rsid w:val="002A7929"/>
    <w:rsid w:val="002B41D7"/>
    <w:rsid w:val="002B5240"/>
    <w:rsid w:val="002B6A13"/>
    <w:rsid w:val="002C0904"/>
    <w:rsid w:val="002C0F67"/>
    <w:rsid w:val="002C1E84"/>
    <w:rsid w:val="002C32ED"/>
    <w:rsid w:val="002C36C3"/>
    <w:rsid w:val="002C77CC"/>
    <w:rsid w:val="002D2A00"/>
    <w:rsid w:val="002D5199"/>
    <w:rsid w:val="002E2862"/>
    <w:rsid w:val="002E4C01"/>
    <w:rsid w:val="002F0516"/>
    <w:rsid w:val="002F22D2"/>
    <w:rsid w:val="002F778A"/>
    <w:rsid w:val="002F7889"/>
    <w:rsid w:val="00302187"/>
    <w:rsid w:val="003028D8"/>
    <w:rsid w:val="0030290F"/>
    <w:rsid w:val="00302DE9"/>
    <w:rsid w:val="0030385E"/>
    <w:rsid w:val="00303869"/>
    <w:rsid w:val="00303F1D"/>
    <w:rsid w:val="00305084"/>
    <w:rsid w:val="00311ABF"/>
    <w:rsid w:val="003123E9"/>
    <w:rsid w:val="00314A81"/>
    <w:rsid w:val="00314DD2"/>
    <w:rsid w:val="00315A7C"/>
    <w:rsid w:val="00317705"/>
    <w:rsid w:val="003204E9"/>
    <w:rsid w:val="003232AA"/>
    <w:rsid w:val="00323A10"/>
    <w:rsid w:val="00323E6A"/>
    <w:rsid w:val="00323F25"/>
    <w:rsid w:val="00324A71"/>
    <w:rsid w:val="003303E3"/>
    <w:rsid w:val="0033236C"/>
    <w:rsid w:val="00334656"/>
    <w:rsid w:val="00337A86"/>
    <w:rsid w:val="0034147B"/>
    <w:rsid w:val="00341889"/>
    <w:rsid w:val="003426CE"/>
    <w:rsid w:val="00343016"/>
    <w:rsid w:val="0034447B"/>
    <w:rsid w:val="00350C22"/>
    <w:rsid w:val="00351704"/>
    <w:rsid w:val="003570C8"/>
    <w:rsid w:val="00367770"/>
    <w:rsid w:val="00371424"/>
    <w:rsid w:val="00371FF4"/>
    <w:rsid w:val="00372209"/>
    <w:rsid w:val="00377160"/>
    <w:rsid w:val="003771ED"/>
    <w:rsid w:val="0037768B"/>
    <w:rsid w:val="00382E6F"/>
    <w:rsid w:val="00387C00"/>
    <w:rsid w:val="00397960"/>
    <w:rsid w:val="00397F75"/>
    <w:rsid w:val="003A2008"/>
    <w:rsid w:val="003A3BC4"/>
    <w:rsid w:val="003A4AA3"/>
    <w:rsid w:val="003B405E"/>
    <w:rsid w:val="003B4843"/>
    <w:rsid w:val="003B494E"/>
    <w:rsid w:val="003B560C"/>
    <w:rsid w:val="003C67C6"/>
    <w:rsid w:val="003C6E9E"/>
    <w:rsid w:val="003C792F"/>
    <w:rsid w:val="003D117A"/>
    <w:rsid w:val="003D36B2"/>
    <w:rsid w:val="003D42D5"/>
    <w:rsid w:val="003D78B5"/>
    <w:rsid w:val="003E0BD4"/>
    <w:rsid w:val="003E45B9"/>
    <w:rsid w:val="003E654C"/>
    <w:rsid w:val="003F0DE5"/>
    <w:rsid w:val="003F46FC"/>
    <w:rsid w:val="003F4AA5"/>
    <w:rsid w:val="003F697D"/>
    <w:rsid w:val="003F7C45"/>
    <w:rsid w:val="00400500"/>
    <w:rsid w:val="0040132C"/>
    <w:rsid w:val="0040218E"/>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408EC"/>
    <w:rsid w:val="00440F74"/>
    <w:rsid w:val="00441FEC"/>
    <w:rsid w:val="004425E8"/>
    <w:rsid w:val="0044280E"/>
    <w:rsid w:val="00443C8F"/>
    <w:rsid w:val="00447BC6"/>
    <w:rsid w:val="004501CE"/>
    <w:rsid w:val="00452481"/>
    <w:rsid w:val="00452B25"/>
    <w:rsid w:val="00453417"/>
    <w:rsid w:val="00454A0F"/>
    <w:rsid w:val="0046335D"/>
    <w:rsid w:val="00463C2C"/>
    <w:rsid w:val="00483271"/>
    <w:rsid w:val="0049210E"/>
    <w:rsid w:val="0049297D"/>
    <w:rsid w:val="0049327D"/>
    <w:rsid w:val="0049405D"/>
    <w:rsid w:val="0049455C"/>
    <w:rsid w:val="00495A03"/>
    <w:rsid w:val="004A1BE1"/>
    <w:rsid w:val="004A63CB"/>
    <w:rsid w:val="004A67B0"/>
    <w:rsid w:val="004A6FB2"/>
    <w:rsid w:val="004B0847"/>
    <w:rsid w:val="004B0E6D"/>
    <w:rsid w:val="004B16E8"/>
    <w:rsid w:val="004B54B8"/>
    <w:rsid w:val="004C0541"/>
    <w:rsid w:val="004C634A"/>
    <w:rsid w:val="004C660B"/>
    <w:rsid w:val="004D050C"/>
    <w:rsid w:val="004D23D9"/>
    <w:rsid w:val="004D3537"/>
    <w:rsid w:val="004D45B6"/>
    <w:rsid w:val="004D4D4E"/>
    <w:rsid w:val="004D614E"/>
    <w:rsid w:val="004D650F"/>
    <w:rsid w:val="004E2133"/>
    <w:rsid w:val="004E4E04"/>
    <w:rsid w:val="004F521C"/>
    <w:rsid w:val="005002A3"/>
    <w:rsid w:val="00502CD8"/>
    <w:rsid w:val="0050361C"/>
    <w:rsid w:val="0050527A"/>
    <w:rsid w:val="00506A40"/>
    <w:rsid w:val="0051064F"/>
    <w:rsid w:val="00513A0E"/>
    <w:rsid w:val="00515D7B"/>
    <w:rsid w:val="00515F29"/>
    <w:rsid w:val="0052009E"/>
    <w:rsid w:val="00524880"/>
    <w:rsid w:val="00530161"/>
    <w:rsid w:val="005413D4"/>
    <w:rsid w:val="0054389B"/>
    <w:rsid w:val="005450F7"/>
    <w:rsid w:val="00545A0B"/>
    <w:rsid w:val="00545BED"/>
    <w:rsid w:val="0054672F"/>
    <w:rsid w:val="00547A9A"/>
    <w:rsid w:val="00547FA4"/>
    <w:rsid w:val="005536D4"/>
    <w:rsid w:val="00553EC8"/>
    <w:rsid w:val="005564EE"/>
    <w:rsid w:val="00557D4A"/>
    <w:rsid w:val="0056176B"/>
    <w:rsid w:val="00561889"/>
    <w:rsid w:val="005621F6"/>
    <w:rsid w:val="0056291C"/>
    <w:rsid w:val="005668D3"/>
    <w:rsid w:val="00566EBD"/>
    <w:rsid w:val="0057154B"/>
    <w:rsid w:val="005742DB"/>
    <w:rsid w:val="00577209"/>
    <w:rsid w:val="005800A9"/>
    <w:rsid w:val="00581139"/>
    <w:rsid w:val="00581645"/>
    <w:rsid w:val="00583723"/>
    <w:rsid w:val="0058694E"/>
    <w:rsid w:val="005875F9"/>
    <w:rsid w:val="00593A35"/>
    <w:rsid w:val="00593C74"/>
    <w:rsid w:val="00597D8B"/>
    <w:rsid w:val="005A46FF"/>
    <w:rsid w:val="005A557E"/>
    <w:rsid w:val="005A63FD"/>
    <w:rsid w:val="005B462A"/>
    <w:rsid w:val="005B5137"/>
    <w:rsid w:val="005B6047"/>
    <w:rsid w:val="005C0ED7"/>
    <w:rsid w:val="005C5409"/>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17125"/>
    <w:rsid w:val="00620EDB"/>
    <w:rsid w:val="0062386E"/>
    <w:rsid w:val="00623DB6"/>
    <w:rsid w:val="00624EDE"/>
    <w:rsid w:val="006253EF"/>
    <w:rsid w:val="00626075"/>
    <w:rsid w:val="0062680E"/>
    <w:rsid w:val="00631158"/>
    <w:rsid w:val="00632923"/>
    <w:rsid w:val="006341E6"/>
    <w:rsid w:val="00634439"/>
    <w:rsid w:val="006366C6"/>
    <w:rsid w:val="00636B55"/>
    <w:rsid w:val="00636EB1"/>
    <w:rsid w:val="006373D6"/>
    <w:rsid w:val="006403D4"/>
    <w:rsid w:val="00642CBC"/>
    <w:rsid w:val="00643760"/>
    <w:rsid w:val="0064454A"/>
    <w:rsid w:val="00645293"/>
    <w:rsid w:val="0064698F"/>
    <w:rsid w:val="006503F2"/>
    <w:rsid w:val="00651B78"/>
    <w:rsid w:val="0065237A"/>
    <w:rsid w:val="00652FF5"/>
    <w:rsid w:val="00654382"/>
    <w:rsid w:val="00654758"/>
    <w:rsid w:val="00661244"/>
    <w:rsid w:val="006640DF"/>
    <w:rsid w:val="00666A3C"/>
    <w:rsid w:val="00667519"/>
    <w:rsid w:val="006676A0"/>
    <w:rsid w:val="00670857"/>
    <w:rsid w:val="00670868"/>
    <w:rsid w:val="00673D69"/>
    <w:rsid w:val="00676431"/>
    <w:rsid w:val="0068050D"/>
    <w:rsid w:val="00685FFC"/>
    <w:rsid w:val="00686943"/>
    <w:rsid w:val="00686EDE"/>
    <w:rsid w:val="00687AD5"/>
    <w:rsid w:val="00690A31"/>
    <w:rsid w:val="006911CE"/>
    <w:rsid w:val="00695251"/>
    <w:rsid w:val="00695B58"/>
    <w:rsid w:val="0069798D"/>
    <w:rsid w:val="006A4828"/>
    <w:rsid w:val="006A7C09"/>
    <w:rsid w:val="006B046C"/>
    <w:rsid w:val="006B252F"/>
    <w:rsid w:val="006B3940"/>
    <w:rsid w:val="006B3FDB"/>
    <w:rsid w:val="006B66FE"/>
    <w:rsid w:val="006C168D"/>
    <w:rsid w:val="006C4033"/>
    <w:rsid w:val="006C642C"/>
    <w:rsid w:val="006D3BC4"/>
    <w:rsid w:val="006D7386"/>
    <w:rsid w:val="006E0DAD"/>
    <w:rsid w:val="006E313F"/>
    <w:rsid w:val="006E3EFB"/>
    <w:rsid w:val="006F1F1A"/>
    <w:rsid w:val="006F5AC2"/>
    <w:rsid w:val="006F5B4C"/>
    <w:rsid w:val="006F6C28"/>
    <w:rsid w:val="007007EB"/>
    <w:rsid w:val="00701F57"/>
    <w:rsid w:val="00703E8A"/>
    <w:rsid w:val="00706046"/>
    <w:rsid w:val="007112F0"/>
    <w:rsid w:val="00711343"/>
    <w:rsid w:val="00714309"/>
    <w:rsid w:val="0071450F"/>
    <w:rsid w:val="00714C6F"/>
    <w:rsid w:val="0071681D"/>
    <w:rsid w:val="00717772"/>
    <w:rsid w:val="00721DBE"/>
    <w:rsid w:val="007226EC"/>
    <w:rsid w:val="00722B5E"/>
    <w:rsid w:val="00724F6D"/>
    <w:rsid w:val="0072678C"/>
    <w:rsid w:val="00732D1D"/>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B8"/>
    <w:rsid w:val="007661D4"/>
    <w:rsid w:val="007661FD"/>
    <w:rsid w:val="00766A7C"/>
    <w:rsid w:val="00767A27"/>
    <w:rsid w:val="0077111A"/>
    <w:rsid w:val="00775419"/>
    <w:rsid w:val="007763A5"/>
    <w:rsid w:val="0078008C"/>
    <w:rsid w:val="0078105B"/>
    <w:rsid w:val="00782390"/>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04A1"/>
    <w:rsid w:val="007C1122"/>
    <w:rsid w:val="007C19EC"/>
    <w:rsid w:val="007C364E"/>
    <w:rsid w:val="007C5359"/>
    <w:rsid w:val="007C6701"/>
    <w:rsid w:val="007D16ED"/>
    <w:rsid w:val="007D2398"/>
    <w:rsid w:val="007D440B"/>
    <w:rsid w:val="007D5908"/>
    <w:rsid w:val="007D62F9"/>
    <w:rsid w:val="007D63A4"/>
    <w:rsid w:val="007D732D"/>
    <w:rsid w:val="007E0F19"/>
    <w:rsid w:val="007E2A84"/>
    <w:rsid w:val="007E5ECB"/>
    <w:rsid w:val="007F063D"/>
    <w:rsid w:val="007F0D73"/>
    <w:rsid w:val="007F2FC8"/>
    <w:rsid w:val="007F432A"/>
    <w:rsid w:val="007F63AA"/>
    <w:rsid w:val="008006B7"/>
    <w:rsid w:val="008032FD"/>
    <w:rsid w:val="00806461"/>
    <w:rsid w:val="008064CE"/>
    <w:rsid w:val="0080673A"/>
    <w:rsid w:val="00807A94"/>
    <w:rsid w:val="00810B79"/>
    <w:rsid w:val="00810EAD"/>
    <w:rsid w:val="00812803"/>
    <w:rsid w:val="008129C0"/>
    <w:rsid w:val="00813B0C"/>
    <w:rsid w:val="00814530"/>
    <w:rsid w:val="00815386"/>
    <w:rsid w:val="00821F9C"/>
    <w:rsid w:val="00825570"/>
    <w:rsid w:val="00826403"/>
    <w:rsid w:val="00827990"/>
    <w:rsid w:val="00834CA6"/>
    <w:rsid w:val="0083623B"/>
    <w:rsid w:val="008379E4"/>
    <w:rsid w:val="00837E59"/>
    <w:rsid w:val="00842100"/>
    <w:rsid w:val="008428A9"/>
    <w:rsid w:val="0084308F"/>
    <w:rsid w:val="00846C2B"/>
    <w:rsid w:val="0085139A"/>
    <w:rsid w:val="008524F6"/>
    <w:rsid w:val="00854B3F"/>
    <w:rsid w:val="008575B7"/>
    <w:rsid w:val="00861C2C"/>
    <w:rsid w:val="008668B8"/>
    <w:rsid w:val="00866D32"/>
    <w:rsid w:val="0086748F"/>
    <w:rsid w:val="00867B4D"/>
    <w:rsid w:val="00867CF3"/>
    <w:rsid w:val="00870278"/>
    <w:rsid w:val="00874AB5"/>
    <w:rsid w:val="008750A9"/>
    <w:rsid w:val="00875A68"/>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E58D6"/>
    <w:rsid w:val="008F1426"/>
    <w:rsid w:val="008F2125"/>
    <w:rsid w:val="008F23F4"/>
    <w:rsid w:val="008F61C4"/>
    <w:rsid w:val="008F7763"/>
    <w:rsid w:val="009007CB"/>
    <w:rsid w:val="009010F0"/>
    <w:rsid w:val="00901162"/>
    <w:rsid w:val="00901C58"/>
    <w:rsid w:val="00901D46"/>
    <w:rsid w:val="009028E2"/>
    <w:rsid w:val="00903692"/>
    <w:rsid w:val="00904E07"/>
    <w:rsid w:val="00912BAF"/>
    <w:rsid w:val="00914EAB"/>
    <w:rsid w:val="0091541F"/>
    <w:rsid w:val="009165E9"/>
    <w:rsid w:val="00920D98"/>
    <w:rsid w:val="0092249B"/>
    <w:rsid w:val="00922D49"/>
    <w:rsid w:val="009238DB"/>
    <w:rsid w:val="00925E37"/>
    <w:rsid w:val="00925EDD"/>
    <w:rsid w:val="0093006B"/>
    <w:rsid w:val="00930079"/>
    <w:rsid w:val="00930966"/>
    <w:rsid w:val="00932F64"/>
    <w:rsid w:val="00936075"/>
    <w:rsid w:val="00936D40"/>
    <w:rsid w:val="00937ABF"/>
    <w:rsid w:val="00937DB1"/>
    <w:rsid w:val="009407FE"/>
    <w:rsid w:val="009463CC"/>
    <w:rsid w:val="00950413"/>
    <w:rsid w:val="0095078E"/>
    <w:rsid w:val="00952404"/>
    <w:rsid w:val="00952A72"/>
    <w:rsid w:val="009530AC"/>
    <w:rsid w:val="009550A8"/>
    <w:rsid w:val="00955FF2"/>
    <w:rsid w:val="0095693D"/>
    <w:rsid w:val="00956B0D"/>
    <w:rsid w:val="0096260B"/>
    <w:rsid w:val="009631C1"/>
    <w:rsid w:val="00963918"/>
    <w:rsid w:val="00970C69"/>
    <w:rsid w:val="00973B57"/>
    <w:rsid w:val="00973E0D"/>
    <w:rsid w:val="0097403F"/>
    <w:rsid w:val="00975D18"/>
    <w:rsid w:val="00976797"/>
    <w:rsid w:val="00980C0C"/>
    <w:rsid w:val="00982E47"/>
    <w:rsid w:val="00983E7D"/>
    <w:rsid w:val="00986963"/>
    <w:rsid w:val="00991642"/>
    <w:rsid w:val="0099260C"/>
    <w:rsid w:val="009942F4"/>
    <w:rsid w:val="00995B3C"/>
    <w:rsid w:val="009A045B"/>
    <w:rsid w:val="009A0513"/>
    <w:rsid w:val="009A2283"/>
    <w:rsid w:val="009A31AF"/>
    <w:rsid w:val="009A3507"/>
    <w:rsid w:val="009A376D"/>
    <w:rsid w:val="009A5C1D"/>
    <w:rsid w:val="009B4286"/>
    <w:rsid w:val="009B5BF9"/>
    <w:rsid w:val="009B5DAF"/>
    <w:rsid w:val="009B5F83"/>
    <w:rsid w:val="009B61C5"/>
    <w:rsid w:val="009B769E"/>
    <w:rsid w:val="009C03E5"/>
    <w:rsid w:val="009C4D19"/>
    <w:rsid w:val="009C577A"/>
    <w:rsid w:val="009C5FDB"/>
    <w:rsid w:val="009C65AF"/>
    <w:rsid w:val="009C67A4"/>
    <w:rsid w:val="009C70CB"/>
    <w:rsid w:val="009C74DD"/>
    <w:rsid w:val="009D27AA"/>
    <w:rsid w:val="009D2AD9"/>
    <w:rsid w:val="009D514E"/>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1C74"/>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6437"/>
    <w:rsid w:val="00A32410"/>
    <w:rsid w:val="00A32B48"/>
    <w:rsid w:val="00A36D00"/>
    <w:rsid w:val="00A43389"/>
    <w:rsid w:val="00A4642E"/>
    <w:rsid w:val="00A47AF8"/>
    <w:rsid w:val="00A50AC8"/>
    <w:rsid w:val="00A52D75"/>
    <w:rsid w:val="00A53013"/>
    <w:rsid w:val="00A54BD6"/>
    <w:rsid w:val="00A5643A"/>
    <w:rsid w:val="00A57678"/>
    <w:rsid w:val="00A6090C"/>
    <w:rsid w:val="00A6200E"/>
    <w:rsid w:val="00A62D1E"/>
    <w:rsid w:val="00A65C6D"/>
    <w:rsid w:val="00A70F22"/>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F63"/>
    <w:rsid w:val="00AA7EBD"/>
    <w:rsid w:val="00AB2431"/>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33EA"/>
    <w:rsid w:val="00AE5129"/>
    <w:rsid w:val="00AE5645"/>
    <w:rsid w:val="00AF1D6B"/>
    <w:rsid w:val="00AF24AA"/>
    <w:rsid w:val="00AF3AF9"/>
    <w:rsid w:val="00AF3E5F"/>
    <w:rsid w:val="00AF4F09"/>
    <w:rsid w:val="00AF643E"/>
    <w:rsid w:val="00AF79C8"/>
    <w:rsid w:val="00B007B6"/>
    <w:rsid w:val="00B00FA8"/>
    <w:rsid w:val="00B011B0"/>
    <w:rsid w:val="00B0270C"/>
    <w:rsid w:val="00B0391C"/>
    <w:rsid w:val="00B047F6"/>
    <w:rsid w:val="00B06019"/>
    <w:rsid w:val="00B0700F"/>
    <w:rsid w:val="00B1493B"/>
    <w:rsid w:val="00B15119"/>
    <w:rsid w:val="00B17169"/>
    <w:rsid w:val="00B20F47"/>
    <w:rsid w:val="00B23996"/>
    <w:rsid w:val="00B23CB2"/>
    <w:rsid w:val="00B24A18"/>
    <w:rsid w:val="00B255C5"/>
    <w:rsid w:val="00B25807"/>
    <w:rsid w:val="00B268B3"/>
    <w:rsid w:val="00B268DD"/>
    <w:rsid w:val="00B32AE1"/>
    <w:rsid w:val="00B34368"/>
    <w:rsid w:val="00B37780"/>
    <w:rsid w:val="00B37813"/>
    <w:rsid w:val="00B37EEF"/>
    <w:rsid w:val="00B411CD"/>
    <w:rsid w:val="00B41ABB"/>
    <w:rsid w:val="00B41C1D"/>
    <w:rsid w:val="00B43917"/>
    <w:rsid w:val="00B43E1E"/>
    <w:rsid w:val="00B4515C"/>
    <w:rsid w:val="00B46220"/>
    <w:rsid w:val="00B464EA"/>
    <w:rsid w:val="00B47574"/>
    <w:rsid w:val="00B52BE7"/>
    <w:rsid w:val="00B5430C"/>
    <w:rsid w:val="00B56A90"/>
    <w:rsid w:val="00B5711C"/>
    <w:rsid w:val="00B57BCF"/>
    <w:rsid w:val="00B57E36"/>
    <w:rsid w:val="00B60209"/>
    <w:rsid w:val="00B606A3"/>
    <w:rsid w:val="00B65D6F"/>
    <w:rsid w:val="00B673F3"/>
    <w:rsid w:val="00B67A25"/>
    <w:rsid w:val="00B70229"/>
    <w:rsid w:val="00B7354A"/>
    <w:rsid w:val="00B7435B"/>
    <w:rsid w:val="00B74446"/>
    <w:rsid w:val="00B74B59"/>
    <w:rsid w:val="00B77142"/>
    <w:rsid w:val="00B8024E"/>
    <w:rsid w:val="00B80C3A"/>
    <w:rsid w:val="00B81633"/>
    <w:rsid w:val="00B84643"/>
    <w:rsid w:val="00B90452"/>
    <w:rsid w:val="00B90780"/>
    <w:rsid w:val="00B916D6"/>
    <w:rsid w:val="00B91AD8"/>
    <w:rsid w:val="00B9209B"/>
    <w:rsid w:val="00B9240D"/>
    <w:rsid w:val="00B95753"/>
    <w:rsid w:val="00B97E42"/>
    <w:rsid w:val="00BA0C05"/>
    <w:rsid w:val="00BA54D0"/>
    <w:rsid w:val="00BB1013"/>
    <w:rsid w:val="00BB4515"/>
    <w:rsid w:val="00BB7B89"/>
    <w:rsid w:val="00BC1A9B"/>
    <w:rsid w:val="00BC2A22"/>
    <w:rsid w:val="00BC4986"/>
    <w:rsid w:val="00BC5E2E"/>
    <w:rsid w:val="00BC6379"/>
    <w:rsid w:val="00BC7EEF"/>
    <w:rsid w:val="00BD43BB"/>
    <w:rsid w:val="00BD7ADE"/>
    <w:rsid w:val="00BE1A85"/>
    <w:rsid w:val="00BE46ED"/>
    <w:rsid w:val="00BE4FD1"/>
    <w:rsid w:val="00BE642D"/>
    <w:rsid w:val="00BE6D7A"/>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3D15"/>
    <w:rsid w:val="00C260A2"/>
    <w:rsid w:val="00C30DEC"/>
    <w:rsid w:val="00C31142"/>
    <w:rsid w:val="00C31DEF"/>
    <w:rsid w:val="00C338EB"/>
    <w:rsid w:val="00C35BB7"/>
    <w:rsid w:val="00C36B35"/>
    <w:rsid w:val="00C400CD"/>
    <w:rsid w:val="00C41617"/>
    <w:rsid w:val="00C4309A"/>
    <w:rsid w:val="00C43F23"/>
    <w:rsid w:val="00C43FF1"/>
    <w:rsid w:val="00C45494"/>
    <w:rsid w:val="00C52D18"/>
    <w:rsid w:val="00C544B8"/>
    <w:rsid w:val="00C559CE"/>
    <w:rsid w:val="00C55E19"/>
    <w:rsid w:val="00C563BF"/>
    <w:rsid w:val="00C57512"/>
    <w:rsid w:val="00C57607"/>
    <w:rsid w:val="00C61133"/>
    <w:rsid w:val="00C64009"/>
    <w:rsid w:val="00C7016D"/>
    <w:rsid w:val="00C767B3"/>
    <w:rsid w:val="00C76C07"/>
    <w:rsid w:val="00C80F23"/>
    <w:rsid w:val="00C835B4"/>
    <w:rsid w:val="00C850A3"/>
    <w:rsid w:val="00C87568"/>
    <w:rsid w:val="00C92451"/>
    <w:rsid w:val="00C9272C"/>
    <w:rsid w:val="00C97764"/>
    <w:rsid w:val="00C97C9B"/>
    <w:rsid w:val="00CA344C"/>
    <w:rsid w:val="00CB142D"/>
    <w:rsid w:val="00CB26C7"/>
    <w:rsid w:val="00CB29F6"/>
    <w:rsid w:val="00CB2BBF"/>
    <w:rsid w:val="00CB481C"/>
    <w:rsid w:val="00CB4C8C"/>
    <w:rsid w:val="00CB62E1"/>
    <w:rsid w:val="00CB6EFE"/>
    <w:rsid w:val="00CC16F9"/>
    <w:rsid w:val="00CC28A9"/>
    <w:rsid w:val="00CC4183"/>
    <w:rsid w:val="00CC6928"/>
    <w:rsid w:val="00CC70A4"/>
    <w:rsid w:val="00CD2BA8"/>
    <w:rsid w:val="00CD4A0C"/>
    <w:rsid w:val="00CD5CEF"/>
    <w:rsid w:val="00CE06EC"/>
    <w:rsid w:val="00CE1F8A"/>
    <w:rsid w:val="00CE592E"/>
    <w:rsid w:val="00CE5BC5"/>
    <w:rsid w:val="00CF16A4"/>
    <w:rsid w:val="00CF299F"/>
    <w:rsid w:val="00CF3357"/>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05C9"/>
    <w:rsid w:val="00D3194F"/>
    <w:rsid w:val="00D33751"/>
    <w:rsid w:val="00D3639B"/>
    <w:rsid w:val="00D37343"/>
    <w:rsid w:val="00D37495"/>
    <w:rsid w:val="00D41727"/>
    <w:rsid w:val="00D427E4"/>
    <w:rsid w:val="00D45F1B"/>
    <w:rsid w:val="00D472A5"/>
    <w:rsid w:val="00D52289"/>
    <w:rsid w:val="00D53C6D"/>
    <w:rsid w:val="00D55A37"/>
    <w:rsid w:val="00D55B7E"/>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110D"/>
    <w:rsid w:val="00D91124"/>
    <w:rsid w:val="00D91987"/>
    <w:rsid w:val="00D92168"/>
    <w:rsid w:val="00D93426"/>
    <w:rsid w:val="00D94B22"/>
    <w:rsid w:val="00D958D3"/>
    <w:rsid w:val="00D9594F"/>
    <w:rsid w:val="00D97213"/>
    <w:rsid w:val="00DA0C95"/>
    <w:rsid w:val="00DA134E"/>
    <w:rsid w:val="00DA13F3"/>
    <w:rsid w:val="00DA2DE3"/>
    <w:rsid w:val="00DA47D9"/>
    <w:rsid w:val="00DA64AF"/>
    <w:rsid w:val="00DB1F4F"/>
    <w:rsid w:val="00DB2AC7"/>
    <w:rsid w:val="00DB704C"/>
    <w:rsid w:val="00DC693B"/>
    <w:rsid w:val="00DC7C77"/>
    <w:rsid w:val="00DD0F5D"/>
    <w:rsid w:val="00DD426D"/>
    <w:rsid w:val="00DD74FC"/>
    <w:rsid w:val="00DE117F"/>
    <w:rsid w:val="00DE1769"/>
    <w:rsid w:val="00DE1A17"/>
    <w:rsid w:val="00DE1D7B"/>
    <w:rsid w:val="00DE44C8"/>
    <w:rsid w:val="00DE64CC"/>
    <w:rsid w:val="00DE6AA9"/>
    <w:rsid w:val="00DE7B30"/>
    <w:rsid w:val="00DF20C7"/>
    <w:rsid w:val="00DF4D0C"/>
    <w:rsid w:val="00DF5C20"/>
    <w:rsid w:val="00DF7D81"/>
    <w:rsid w:val="00E02DEB"/>
    <w:rsid w:val="00E03486"/>
    <w:rsid w:val="00E0405A"/>
    <w:rsid w:val="00E042A1"/>
    <w:rsid w:val="00E0476C"/>
    <w:rsid w:val="00E0576B"/>
    <w:rsid w:val="00E067EA"/>
    <w:rsid w:val="00E06D18"/>
    <w:rsid w:val="00E104FA"/>
    <w:rsid w:val="00E1320D"/>
    <w:rsid w:val="00E15FD1"/>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508EB"/>
    <w:rsid w:val="00E50A31"/>
    <w:rsid w:val="00E521E3"/>
    <w:rsid w:val="00E53B7A"/>
    <w:rsid w:val="00E550C9"/>
    <w:rsid w:val="00E55405"/>
    <w:rsid w:val="00E561F9"/>
    <w:rsid w:val="00E5645D"/>
    <w:rsid w:val="00E57CD3"/>
    <w:rsid w:val="00E627A4"/>
    <w:rsid w:val="00E6280E"/>
    <w:rsid w:val="00E62C9C"/>
    <w:rsid w:val="00E630EE"/>
    <w:rsid w:val="00E67A61"/>
    <w:rsid w:val="00E70455"/>
    <w:rsid w:val="00E73221"/>
    <w:rsid w:val="00E75116"/>
    <w:rsid w:val="00E763EB"/>
    <w:rsid w:val="00E8249B"/>
    <w:rsid w:val="00E8342F"/>
    <w:rsid w:val="00E84632"/>
    <w:rsid w:val="00E847EE"/>
    <w:rsid w:val="00E876F9"/>
    <w:rsid w:val="00E96A72"/>
    <w:rsid w:val="00E96B52"/>
    <w:rsid w:val="00EA01F7"/>
    <w:rsid w:val="00EA1D33"/>
    <w:rsid w:val="00EA1F5A"/>
    <w:rsid w:val="00EA375F"/>
    <w:rsid w:val="00EA55D2"/>
    <w:rsid w:val="00EA7104"/>
    <w:rsid w:val="00EA7533"/>
    <w:rsid w:val="00EB067F"/>
    <w:rsid w:val="00EB2419"/>
    <w:rsid w:val="00EB58F5"/>
    <w:rsid w:val="00EB6E6B"/>
    <w:rsid w:val="00EC010F"/>
    <w:rsid w:val="00EC2E3A"/>
    <w:rsid w:val="00EC3CCB"/>
    <w:rsid w:val="00EC5A74"/>
    <w:rsid w:val="00EC737D"/>
    <w:rsid w:val="00ED2154"/>
    <w:rsid w:val="00ED4277"/>
    <w:rsid w:val="00ED7C8C"/>
    <w:rsid w:val="00ED7DDB"/>
    <w:rsid w:val="00EE431B"/>
    <w:rsid w:val="00EE4874"/>
    <w:rsid w:val="00EE53E5"/>
    <w:rsid w:val="00EE6852"/>
    <w:rsid w:val="00EE73FB"/>
    <w:rsid w:val="00EE7BF0"/>
    <w:rsid w:val="00EF2674"/>
    <w:rsid w:val="00EF556F"/>
    <w:rsid w:val="00EF7D07"/>
    <w:rsid w:val="00F0181C"/>
    <w:rsid w:val="00F03512"/>
    <w:rsid w:val="00F0433A"/>
    <w:rsid w:val="00F0519B"/>
    <w:rsid w:val="00F059D4"/>
    <w:rsid w:val="00F11783"/>
    <w:rsid w:val="00F119AF"/>
    <w:rsid w:val="00F1480B"/>
    <w:rsid w:val="00F1498D"/>
    <w:rsid w:val="00F15173"/>
    <w:rsid w:val="00F20065"/>
    <w:rsid w:val="00F21B6D"/>
    <w:rsid w:val="00F22211"/>
    <w:rsid w:val="00F22341"/>
    <w:rsid w:val="00F24039"/>
    <w:rsid w:val="00F24E0E"/>
    <w:rsid w:val="00F26693"/>
    <w:rsid w:val="00F3477D"/>
    <w:rsid w:val="00F347FE"/>
    <w:rsid w:val="00F34859"/>
    <w:rsid w:val="00F356F7"/>
    <w:rsid w:val="00F40055"/>
    <w:rsid w:val="00F405D4"/>
    <w:rsid w:val="00F40868"/>
    <w:rsid w:val="00F421D5"/>
    <w:rsid w:val="00F44FDE"/>
    <w:rsid w:val="00F46467"/>
    <w:rsid w:val="00F46B63"/>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4742"/>
    <w:rsid w:val="00F804B9"/>
    <w:rsid w:val="00F80AE2"/>
    <w:rsid w:val="00F83FF9"/>
    <w:rsid w:val="00F91061"/>
    <w:rsid w:val="00F91B52"/>
    <w:rsid w:val="00F961A9"/>
    <w:rsid w:val="00F97478"/>
    <w:rsid w:val="00F97B71"/>
    <w:rsid w:val="00F97B9E"/>
    <w:rsid w:val="00FA0527"/>
    <w:rsid w:val="00FA085E"/>
    <w:rsid w:val="00FA0947"/>
    <w:rsid w:val="00FA2185"/>
    <w:rsid w:val="00FA2D49"/>
    <w:rsid w:val="00FA4B52"/>
    <w:rsid w:val="00FA4D4F"/>
    <w:rsid w:val="00FA4D5B"/>
    <w:rsid w:val="00FA54E8"/>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0C8B"/>
    <w:rsid w:val="00FE1E47"/>
    <w:rsid w:val="00FE275D"/>
    <w:rsid w:val="00FE7DDE"/>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E29CFAA-6A57-4637-9B67-64B7154F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uiPriority w:val="99"/>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uiPriority w:val="99"/>
    <w:rsid w:val="00D66685"/>
    <w:rPr>
      <w:kern w:val="2"/>
      <w:sz w:val="24"/>
    </w:rPr>
  </w:style>
  <w:style w:type="character" w:styleId="af6">
    <w:name w:val="Strong"/>
    <w:basedOn w:val="a1"/>
    <w:uiPriority w:val="22"/>
    <w:qFormat/>
    <w:rsid w:val="00FE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7133">
      <w:bodyDiv w:val="1"/>
      <w:marLeft w:val="0"/>
      <w:marRight w:val="0"/>
      <w:marTop w:val="0"/>
      <w:marBottom w:val="0"/>
      <w:divBdr>
        <w:top w:val="none" w:sz="0" w:space="0" w:color="auto"/>
        <w:left w:val="none" w:sz="0" w:space="0" w:color="auto"/>
        <w:bottom w:val="none" w:sz="0" w:space="0" w:color="auto"/>
        <w:right w:val="none" w:sz="0" w:space="0" w:color="auto"/>
      </w:divBdr>
    </w:div>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5579135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04229041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3885591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16389356">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0790D-60A1-44A9-97BA-4401FE0D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46</TotalTime>
  <Pages>4</Pages>
  <Words>1226</Words>
  <Characters>6992</Characters>
  <Application>Microsoft Office Word</Application>
  <DocSecurity>0</DocSecurity>
  <Lines>58</Lines>
  <Paragraphs>16</Paragraphs>
  <ScaleCrop>false</ScaleCrop>
  <Company>TRT. Ltd. Co.</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53</cp:revision>
  <cp:lastPrinted>2019-10-16T13:54:00Z</cp:lastPrinted>
  <dcterms:created xsi:type="dcterms:W3CDTF">2014-12-16T08:49:00Z</dcterms:created>
  <dcterms:modified xsi:type="dcterms:W3CDTF">2019-10-16T13:54:00Z</dcterms:modified>
</cp:coreProperties>
</file>