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6C" w:rsidRPr="0097021E" w:rsidRDefault="00941F6C" w:rsidP="00196812">
      <w:pPr>
        <w:autoSpaceDE w:val="0"/>
        <w:autoSpaceDN w:val="0"/>
        <w:adjustRightInd w:val="0"/>
        <w:spacing w:line="360" w:lineRule="auto"/>
        <w:jc w:val="left"/>
        <w:rPr>
          <w:rFonts w:ascii="宋体" w:cs="Arial"/>
          <w:color w:val="000000"/>
          <w:kern w:val="0"/>
          <w:sz w:val="24"/>
        </w:rPr>
      </w:pPr>
      <w:bookmarkStart w:id="0" w:name="_GoBack"/>
      <w:bookmarkEnd w:id="0"/>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196812">
      <w:pPr>
        <w:autoSpaceDE w:val="0"/>
        <w:autoSpaceDN w:val="0"/>
        <w:adjustRightInd w:val="0"/>
        <w:spacing w:line="360" w:lineRule="auto"/>
        <w:jc w:val="left"/>
        <w:rPr>
          <w:rFonts w:ascii="宋体" w:cs="Arial"/>
          <w:color w:val="000000"/>
          <w:kern w:val="0"/>
          <w:sz w:val="24"/>
        </w:rPr>
      </w:pP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易方达天天增利货币市场基金</w:t>
      </w:r>
    </w:p>
    <w:p w:rsidR="00941F6C" w:rsidRPr="0097021E" w:rsidRDefault="00941F6C" w:rsidP="0002085F">
      <w:pPr>
        <w:spacing w:line="360" w:lineRule="auto"/>
        <w:jc w:val="center"/>
        <w:rPr>
          <w:rFonts w:ascii="宋体" w:hAnsi="宋体"/>
          <w:b/>
          <w:sz w:val="36"/>
          <w:szCs w:val="36"/>
        </w:rPr>
      </w:pPr>
      <w:r w:rsidRPr="0097021E">
        <w:rPr>
          <w:rFonts w:ascii="宋体" w:hAnsi="宋体"/>
          <w:b/>
          <w:sz w:val="36"/>
          <w:szCs w:val="36"/>
        </w:rPr>
        <w:t>2019年第3季度报告</w:t>
      </w:r>
    </w:p>
    <w:p w:rsidR="00941F6C" w:rsidRPr="004F32E4" w:rsidRDefault="00941F6C" w:rsidP="0002085F">
      <w:pPr>
        <w:spacing w:line="360" w:lineRule="auto"/>
        <w:jc w:val="center"/>
        <w:rPr>
          <w:rFonts w:ascii="宋体" w:hAnsi="宋体"/>
          <w:b/>
          <w:sz w:val="24"/>
          <w:szCs w:val="36"/>
        </w:rPr>
      </w:pPr>
      <w:r w:rsidRPr="004F32E4">
        <w:rPr>
          <w:rFonts w:ascii="宋体" w:hAnsi="宋体"/>
          <w:b/>
          <w:sz w:val="24"/>
          <w:szCs w:val="36"/>
        </w:rPr>
        <w:t>2019年9月30日</w:t>
      </w: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jc w:val="center"/>
        <w:rPr>
          <w:rFonts w:ascii="宋体"/>
          <w:b/>
          <w:color w:val="000000"/>
          <w:sz w:val="24"/>
        </w:rPr>
      </w:pPr>
    </w:p>
    <w:p w:rsidR="00941F6C" w:rsidRPr="0097021E" w:rsidRDefault="00941F6C" w:rsidP="00196812">
      <w:pPr>
        <w:spacing w:line="360" w:lineRule="auto"/>
        <w:rPr>
          <w:rFonts w:ascii="宋体"/>
          <w:b/>
          <w:color w:val="000000"/>
          <w:sz w:val="24"/>
        </w:rPr>
      </w:pP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基金管理人：</w:t>
      </w:r>
      <w:r w:rsidRPr="0097021E">
        <w:rPr>
          <w:rFonts w:ascii="宋体" w:hAnsi="宋体"/>
          <w:b/>
          <w:color w:val="000000"/>
          <w:sz w:val="24"/>
        </w:rPr>
        <w:t>易方达基金管理有限公司</w:t>
      </w:r>
    </w:p>
    <w:p w:rsidR="00941F6C" w:rsidRPr="0097021E" w:rsidRDefault="00941F6C" w:rsidP="00DC22A1">
      <w:pPr>
        <w:spacing w:line="360" w:lineRule="auto"/>
        <w:ind w:firstLineChars="900" w:firstLine="2168"/>
        <w:rPr>
          <w:rFonts w:ascii="宋体" w:hAnsi="宋体"/>
          <w:b/>
          <w:color w:val="000000"/>
          <w:sz w:val="24"/>
        </w:rPr>
      </w:pPr>
      <w:r w:rsidRPr="0097021E">
        <w:rPr>
          <w:rFonts w:ascii="宋体" w:hAnsi="宋体" w:hint="eastAsia"/>
          <w:b/>
          <w:color w:val="000000"/>
          <w:sz w:val="24"/>
        </w:rPr>
        <w:t>基金托管人：</w:t>
      </w:r>
      <w:r w:rsidRPr="0097021E">
        <w:rPr>
          <w:rFonts w:ascii="宋体" w:hAnsi="宋体"/>
          <w:b/>
          <w:color w:val="000000"/>
          <w:sz w:val="24"/>
        </w:rPr>
        <w:t>中国建设银行股份有限公司</w:t>
      </w:r>
    </w:p>
    <w:p w:rsidR="00941F6C" w:rsidRPr="0097021E" w:rsidRDefault="00941F6C" w:rsidP="00DC22A1">
      <w:pPr>
        <w:spacing w:line="360" w:lineRule="auto"/>
        <w:ind w:firstLineChars="900" w:firstLine="2168"/>
        <w:rPr>
          <w:rFonts w:ascii="宋体" w:hAnsi="宋体"/>
          <w:b/>
          <w:color w:val="000000"/>
          <w:sz w:val="24"/>
        </w:rPr>
        <w:sectPr w:rsidR="00941F6C" w:rsidRPr="0097021E" w:rsidSect="005633AD">
          <w:headerReference w:type="default" r:id="rId7"/>
          <w:footerReference w:type="default" r:id="rId8"/>
          <w:pgSz w:w="11926" w:h="15840"/>
          <w:pgMar w:top="1418" w:right="1418" w:bottom="851" w:left="1418" w:header="851" w:footer="992" w:gutter="0"/>
          <w:cols w:space="720"/>
          <w:noEndnote/>
        </w:sectPr>
      </w:pPr>
      <w:r w:rsidRPr="0097021E">
        <w:rPr>
          <w:rFonts w:ascii="宋体" w:hAnsi="宋体" w:hint="eastAsia"/>
          <w:b/>
          <w:color w:val="000000"/>
          <w:sz w:val="24"/>
        </w:rPr>
        <w:t>报告送出日期：</w:t>
      </w:r>
      <w:r w:rsidRPr="0097021E">
        <w:rPr>
          <w:rFonts w:ascii="宋体" w:hAnsi="宋体"/>
          <w:b/>
          <w:color w:val="000000"/>
          <w:sz w:val="24"/>
        </w:rPr>
        <w:t>二〇一九年十月二十四日</w:t>
      </w:r>
    </w:p>
    <w:p w:rsidR="00941F6C" w:rsidRPr="0097021E" w:rsidRDefault="00941F6C" w:rsidP="00CE0B87">
      <w:pPr>
        <w:pStyle w:val="1"/>
        <w:spacing w:beforeLines="100" w:before="312" w:afterLines="100" w:after="312" w:line="360" w:lineRule="auto"/>
        <w:jc w:val="center"/>
        <w:rPr>
          <w:rFonts w:ascii="宋体" w:cs="Arial"/>
          <w:b w:val="0"/>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1  </w:t>
      </w:r>
      <w:r w:rsidRPr="0097021E">
        <w:rPr>
          <w:rFonts w:ascii="宋体" w:hAnsi="宋体" w:cs="Arial" w:hint="eastAsia"/>
          <w:color w:val="000000"/>
          <w:kern w:val="0"/>
          <w:sz w:val="24"/>
          <w:szCs w:val="24"/>
        </w:rPr>
        <w:t>重要提示</w:t>
      </w:r>
    </w:p>
    <w:p w:rsidR="00B520CF" w:rsidRDefault="00560D0C">
      <w:pPr>
        <w:adjustRightInd w:val="0"/>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520CF" w:rsidRDefault="00560D0C">
      <w:pPr>
        <w:adjustRightInd w:val="0"/>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520CF" w:rsidRDefault="00560D0C">
      <w:pPr>
        <w:adjustRightInd w:val="0"/>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520CF" w:rsidRDefault="00560D0C">
      <w:pPr>
        <w:adjustRightInd w:val="0"/>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B520CF" w:rsidRDefault="00560D0C">
      <w:pPr>
        <w:adjustRightInd w:val="0"/>
        <w:spacing w:line="360" w:lineRule="auto"/>
        <w:ind w:firstLineChars="200" w:firstLine="480"/>
        <w:rPr>
          <w:color w:val="000000"/>
          <w:sz w:val="24"/>
        </w:rPr>
      </w:pPr>
      <w:r>
        <w:rPr>
          <w:color w:val="000000"/>
          <w:sz w:val="24"/>
        </w:rPr>
        <w:t>本报告中财务资料未经审计。</w:t>
      </w:r>
    </w:p>
    <w:p w:rsidR="00941F6C" w:rsidRPr="00A15461" w:rsidRDefault="00941F6C" w:rsidP="00DC22A1">
      <w:pPr>
        <w:adjustRightInd w:val="0"/>
        <w:spacing w:line="360" w:lineRule="auto"/>
        <w:ind w:firstLineChars="200" w:firstLine="480"/>
        <w:rPr>
          <w:color w:val="000000"/>
          <w:sz w:val="24"/>
        </w:rPr>
      </w:pPr>
      <w:r w:rsidRPr="00A15461">
        <w:rPr>
          <w:color w:val="000000"/>
          <w:sz w:val="24"/>
        </w:rPr>
        <w:t>本报告期自</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日起至</w:t>
      </w:r>
      <w:r w:rsidRPr="00A15461">
        <w:rPr>
          <w:color w:val="000000"/>
          <w:sz w:val="24"/>
        </w:rPr>
        <w:t>9</w:t>
      </w:r>
      <w:r w:rsidRPr="00A15461">
        <w:rPr>
          <w:color w:val="000000"/>
          <w:sz w:val="24"/>
        </w:rPr>
        <w:t>月</w:t>
      </w:r>
      <w:r w:rsidRPr="00A15461">
        <w:rPr>
          <w:color w:val="000000"/>
          <w:sz w:val="24"/>
        </w:rPr>
        <w:t>30</w:t>
      </w:r>
      <w:r w:rsidRPr="00A15461">
        <w:rPr>
          <w:color w:val="000000"/>
          <w:sz w:val="24"/>
        </w:rPr>
        <w:t>日止。</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2  </w:t>
      </w:r>
      <w:r w:rsidRPr="0097021E">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基金简称</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易方达天天增利货币</w:t>
            </w:r>
          </w:p>
        </w:tc>
      </w:tr>
      <w:tr w:rsidR="00941F6C" w:rsidRPr="0097021E" w:rsidTr="00D06255">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基金主代码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000704</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基金运作方式</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契约型开放式</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基金合同生效日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2014</w:t>
            </w:r>
            <w:r w:rsidRPr="00A15461">
              <w:rPr>
                <w:color w:val="000000"/>
                <w:kern w:val="0"/>
                <w:sz w:val="24"/>
              </w:rPr>
              <w:t>年</w:t>
            </w:r>
            <w:r w:rsidRPr="00A15461">
              <w:rPr>
                <w:color w:val="000000"/>
                <w:kern w:val="0"/>
                <w:sz w:val="24"/>
              </w:rPr>
              <w:t>6</w:t>
            </w:r>
            <w:r w:rsidRPr="00A15461">
              <w:rPr>
                <w:color w:val="000000"/>
                <w:kern w:val="0"/>
                <w:sz w:val="24"/>
              </w:rPr>
              <w:t>月</w:t>
            </w:r>
            <w:r w:rsidRPr="00A15461">
              <w:rPr>
                <w:color w:val="000000"/>
                <w:kern w:val="0"/>
                <w:sz w:val="24"/>
              </w:rPr>
              <w:t>25</w:t>
            </w:r>
            <w:r w:rsidRPr="00A15461">
              <w:rPr>
                <w:color w:val="000000"/>
                <w:kern w:val="0"/>
                <w:sz w:val="24"/>
              </w:rPr>
              <w:t>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报告期末基金份额总额</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2,288,945,155.77</w:t>
            </w:r>
            <w:r w:rsidRPr="00A15461">
              <w:rPr>
                <w:color w:val="000000"/>
                <w:kern w:val="0"/>
                <w:sz w:val="24"/>
              </w:rPr>
              <w:t>份</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投资目标</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在有效控制投资风险和保持高流动性的基础上，力争获得高于业绩比较基准的投资回报。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投资策略</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本基金将对基金资产组合进行积极管理，在深入研究国内外的宏观经济走势、货币政策变化趋势、市场资金供求状况的基础上，综合考虑各类投资品种的收益性、流动性和风险特征，力争获得高于业绩</w:t>
            </w:r>
            <w:r w:rsidRPr="00A15461">
              <w:rPr>
                <w:color w:val="000000"/>
                <w:kern w:val="0"/>
                <w:sz w:val="24"/>
              </w:rPr>
              <w:lastRenderedPageBreak/>
              <w:t>比较基准的投资回报。</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lastRenderedPageBreak/>
              <w:t>业绩比较基准</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中国人民银行公布的七天通知存款利率（税后）</w:t>
            </w:r>
          </w:p>
        </w:tc>
      </w:tr>
      <w:tr w:rsidR="00941F6C" w:rsidRPr="0097021E" w:rsidTr="00F11244">
        <w:tc>
          <w:tcPr>
            <w:tcW w:w="2835" w:type="dxa"/>
          </w:tcPr>
          <w:p w:rsidR="00941F6C" w:rsidRPr="00A15461" w:rsidRDefault="00941F6C" w:rsidP="00196812">
            <w:pPr>
              <w:adjustRightInd w:val="0"/>
              <w:spacing w:before="29" w:line="360" w:lineRule="auto"/>
              <w:ind w:left="17"/>
              <w:jc w:val="left"/>
              <w:rPr>
                <w:kern w:val="0"/>
                <w:sz w:val="24"/>
              </w:rPr>
            </w:pPr>
            <w:r w:rsidRPr="00A15461">
              <w:rPr>
                <w:kern w:val="0"/>
                <w:sz w:val="24"/>
              </w:rPr>
              <w:t>风险收益特征</w:t>
            </w:r>
          </w:p>
        </w:tc>
        <w:tc>
          <w:tcPr>
            <w:tcW w:w="5479" w:type="dxa"/>
            <w:gridSpan w:val="2"/>
          </w:tcPr>
          <w:p w:rsidR="00941F6C" w:rsidRPr="00A15461" w:rsidRDefault="00941F6C" w:rsidP="00196812">
            <w:pPr>
              <w:adjustRightInd w:val="0"/>
              <w:spacing w:before="29" w:line="360" w:lineRule="auto"/>
              <w:ind w:left="17"/>
              <w:jc w:val="left"/>
              <w:rPr>
                <w:color w:val="000000"/>
                <w:kern w:val="0"/>
                <w:sz w:val="24"/>
              </w:rPr>
            </w:pPr>
            <w:r w:rsidRPr="00A15461">
              <w:rPr>
                <w:color w:val="000000"/>
                <w:kern w:val="0"/>
                <w:sz w:val="24"/>
              </w:rPr>
              <w:t>本基金为货币市场基金，是证券投资基金中的低风险品种。本基金的预期风险和预期收益低于股票型基金、混合型基金和债券型基金。</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基金管理人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易方达基金管理有限公司</w:t>
            </w:r>
          </w:p>
        </w:tc>
      </w:tr>
      <w:tr w:rsidR="00941F6C" w:rsidRPr="0097021E" w:rsidTr="00F11244">
        <w:tc>
          <w:tcPr>
            <w:tcW w:w="2835" w:type="dxa"/>
          </w:tcPr>
          <w:p w:rsidR="00941F6C" w:rsidRPr="00A15461" w:rsidRDefault="00941F6C" w:rsidP="00196812">
            <w:pPr>
              <w:adjustRightInd w:val="0"/>
              <w:spacing w:before="29" w:line="360" w:lineRule="auto"/>
              <w:ind w:left="17"/>
              <w:jc w:val="left"/>
              <w:rPr>
                <w:sz w:val="24"/>
              </w:rPr>
            </w:pPr>
            <w:r w:rsidRPr="00A15461">
              <w:rPr>
                <w:kern w:val="0"/>
                <w:sz w:val="24"/>
              </w:rPr>
              <w:t>基金托管人</w:t>
            </w:r>
          </w:p>
        </w:tc>
        <w:tc>
          <w:tcPr>
            <w:tcW w:w="5479" w:type="dxa"/>
            <w:gridSpan w:val="2"/>
          </w:tcPr>
          <w:p w:rsidR="00941F6C" w:rsidRPr="00A15461" w:rsidRDefault="00941F6C" w:rsidP="00196812">
            <w:pPr>
              <w:adjustRightInd w:val="0"/>
              <w:spacing w:before="29" w:line="360" w:lineRule="auto"/>
              <w:ind w:left="17"/>
              <w:jc w:val="left"/>
              <w:rPr>
                <w:color w:val="000000"/>
                <w:sz w:val="24"/>
              </w:rPr>
            </w:pPr>
            <w:r w:rsidRPr="00A15461">
              <w:rPr>
                <w:color w:val="000000"/>
                <w:kern w:val="0"/>
                <w:sz w:val="24"/>
              </w:rPr>
              <w:t>中国建设银行股份有限公司</w:t>
            </w:r>
          </w:p>
        </w:tc>
      </w:tr>
      <w:tr w:rsidR="00941F6C" w:rsidRPr="0097021E" w:rsidTr="00F11244">
        <w:tc>
          <w:tcPr>
            <w:tcW w:w="2835" w:type="dxa"/>
          </w:tcPr>
          <w:p w:rsidR="00941F6C" w:rsidRPr="00A15461" w:rsidRDefault="00941F6C" w:rsidP="00607D19">
            <w:pPr>
              <w:adjustRightInd w:val="0"/>
              <w:spacing w:before="29" w:line="360" w:lineRule="auto"/>
              <w:ind w:left="17"/>
              <w:jc w:val="left"/>
              <w:rPr>
                <w:kern w:val="0"/>
                <w:sz w:val="24"/>
              </w:rPr>
            </w:pPr>
            <w:r w:rsidRPr="00A15461">
              <w:rPr>
                <w:color w:val="000000"/>
                <w:sz w:val="24"/>
              </w:rPr>
              <w:t>下属</w:t>
            </w:r>
            <w:r w:rsidR="00607D19" w:rsidRPr="00A15461">
              <w:rPr>
                <w:color w:val="000000"/>
                <w:sz w:val="24"/>
              </w:rPr>
              <w:t>分</w:t>
            </w:r>
            <w:r w:rsidRPr="00A15461">
              <w:rPr>
                <w:color w:val="000000"/>
                <w:sz w:val="24"/>
              </w:rPr>
              <w:t>级基金的基金简称</w:t>
            </w:r>
          </w:p>
        </w:tc>
        <w:tc>
          <w:tcPr>
            <w:tcW w:w="2739" w:type="dxa"/>
            <w:vAlign w:val="center"/>
          </w:tcPr>
          <w:p w:rsidR="00941F6C" w:rsidRPr="00A15461" w:rsidRDefault="00941F6C" w:rsidP="00196812">
            <w:pPr>
              <w:spacing w:line="360" w:lineRule="auto"/>
              <w:jc w:val="left"/>
              <w:rPr>
                <w:sz w:val="24"/>
              </w:rPr>
            </w:pPr>
            <w:r w:rsidRPr="00A15461">
              <w:rPr>
                <w:sz w:val="24"/>
              </w:rPr>
              <w:t>易方达天天增利货币</w:t>
            </w:r>
            <w:r w:rsidRPr="00A15461">
              <w:rPr>
                <w:sz w:val="24"/>
              </w:rPr>
              <w:t>A</w:t>
            </w:r>
          </w:p>
        </w:tc>
        <w:tc>
          <w:tcPr>
            <w:tcW w:w="2740" w:type="dxa"/>
            <w:vAlign w:val="center"/>
          </w:tcPr>
          <w:p w:rsidR="00941F6C" w:rsidRPr="00A15461" w:rsidRDefault="00941F6C" w:rsidP="00196812">
            <w:pPr>
              <w:spacing w:line="360" w:lineRule="auto"/>
              <w:jc w:val="left"/>
              <w:rPr>
                <w:sz w:val="24"/>
              </w:rPr>
            </w:pPr>
            <w:r w:rsidRPr="00A15461">
              <w:rPr>
                <w:sz w:val="24"/>
              </w:rPr>
              <w:t>易方达天天增利货币</w:t>
            </w:r>
            <w:r w:rsidRPr="00A15461">
              <w:rPr>
                <w:sz w:val="24"/>
              </w:rPr>
              <w:t>B</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下属</w:t>
            </w:r>
            <w:r w:rsidR="00607D19" w:rsidRPr="00A15461">
              <w:rPr>
                <w:color w:val="000000"/>
                <w:sz w:val="24"/>
              </w:rPr>
              <w:t>分</w:t>
            </w:r>
            <w:r w:rsidRPr="00A15461">
              <w:rPr>
                <w:color w:val="000000"/>
                <w:sz w:val="24"/>
              </w:rPr>
              <w:t>级基金的交易代码</w:t>
            </w:r>
          </w:p>
        </w:tc>
        <w:tc>
          <w:tcPr>
            <w:tcW w:w="2739" w:type="dxa"/>
            <w:vAlign w:val="center"/>
          </w:tcPr>
          <w:p w:rsidR="00941F6C" w:rsidRPr="00A15461" w:rsidRDefault="00941F6C" w:rsidP="00196812">
            <w:pPr>
              <w:spacing w:line="360" w:lineRule="auto"/>
              <w:jc w:val="left"/>
              <w:rPr>
                <w:sz w:val="24"/>
              </w:rPr>
            </w:pPr>
            <w:r w:rsidRPr="00A15461">
              <w:rPr>
                <w:sz w:val="24"/>
              </w:rPr>
              <w:t>000704</w:t>
            </w:r>
          </w:p>
        </w:tc>
        <w:tc>
          <w:tcPr>
            <w:tcW w:w="2740" w:type="dxa"/>
            <w:vAlign w:val="center"/>
          </w:tcPr>
          <w:p w:rsidR="00941F6C" w:rsidRPr="00A15461" w:rsidRDefault="00941F6C" w:rsidP="00196812">
            <w:pPr>
              <w:spacing w:line="360" w:lineRule="auto"/>
              <w:jc w:val="left"/>
              <w:rPr>
                <w:sz w:val="24"/>
              </w:rPr>
            </w:pPr>
            <w:r w:rsidRPr="00A15461">
              <w:rPr>
                <w:sz w:val="24"/>
              </w:rPr>
              <w:t>000705</w:t>
            </w:r>
          </w:p>
        </w:tc>
      </w:tr>
      <w:tr w:rsidR="00941F6C" w:rsidRPr="0097021E" w:rsidTr="00F11244">
        <w:tc>
          <w:tcPr>
            <w:tcW w:w="2835" w:type="dxa"/>
          </w:tcPr>
          <w:p w:rsidR="00941F6C" w:rsidRPr="00A15461" w:rsidRDefault="00941F6C" w:rsidP="00607D19">
            <w:pPr>
              <w:adjustRightInd w:val="0"/>
              <w:spacing w:before="29" w:line="360" w:lineRule="auto"/>
              <w:ind w:left="17"/>
              <w:jc w:val="left"/>
              <w:rPr>
                <w:color w:val="000000"/>
                <w:sz w:val="24"/>
              </w:rPr>
            </w:pPr>
            <w:r w:rsidRPr="00A15461">
              <w:rPr>
                <w:color w:val="000000"/>
                <w:sz w:val="24"/>
              </w:rPr>
              <w:t>报告期末下属</w:t>
            </w:r>
            <w:r w:rsidR="00607D19" w:rsidRPr="00A15461">
              <w:rPr>
                <w:color w:val="000000"/>
                <w:sz w:val="24"/>
              </w:rPr>
              <w:t>分</w:t>
            </w:r>
            <w:r w:rsidRPr="00A15461">
              <w:rPr>
                <w:color w:val="000000"/>
                <w:sz w:val="24"/>
              </w:rPr>
              <w:t>级基金的份额总额</w:t>
            </w:r>
          </w:p>
        </w:tc>
        <w:tc>
          <w:tcPr>
            <w:tcW w:w="2739" w:type="dxa"/>
            <w:vAlign w:val="center"/>
          </w:tcPr>
          <w:p w:rsidR="00941F6C" w:rsidRPr="00A15461" w:rsidRDefault="00941F6C" w:rsidP="00196812">
            <w:pPr>
              <w:spacing w:line="360" w:lineRule="auto"/>
              <w:jc w:val="left"/>
              <w:rPr>
                <w:sz w:val="24"/>
              </w:rPr>
            </w:pPr>
            <w:r w:rsidRPr="00A15461">
              <w:rPr>
                <w:sz w:val="24"/>
              </w:rPr>
              <w:t>2,178,164,264.56</w:t>
            </w:r>
            <w:r w:rsidRPr="00A15461">
              <w:rPr>
                <w:sz w:val="24"/>
              </w:rPr>
              <w:t>份</w:t>
            </w:r>
          </w:p>
        </w:tc>
        <w:tc>
          <w:tcPr>
            <w:tcW w:w="2740" w:type="dxa"/>
            <w:vAlign w:val="center"/>
          </w:tcPr>
          <w:p w:rsidR="00941F6C" w:rsidRPr="00A15461" w:rsidRDefault="00941F6C" w:rsidP="00196812">
            <w:pPr>
              <w:spacing w:line="360" w:lineRule="auto"/>
              <w:jc w:val="left"/>
              <w:rPr>
                <w:sz w:val="24"/>
              </w:rPr>
            </w:pPr>
            <w:r w:rsidRPr="00A15461">
              <w:rPr>
                <w:sz w:val="24"/>
              </w:rPr>
              <w:t>110,780,891.21</w:t>
            </w:r>
            <w:r w:rsidRPr="00A15461">
              <w:rPr>
                <w:sz w:val="24"/>
              </w:rPr>
              <w:t>份</w:t>
            </w:r>
          </w:p>
        </w:tc>
      </w:tr>
    </w:tbl>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3  </w:t>
      </w:r>
      <w:r w:rsidRPr="0097021E">
        <w:rPr>
          <w:rFonts w:ascii="宋体" w:hAnsi="宋体" w:cs="Arial" w:hint="eastAsia"/>
          <w:color w:val="000000"/>
          <w:kern w:val="0"/>
          <w:sz w:val="24"/>
          <w:szCs w:val="24"/>
        </w:rPr>
        <w:t>主要财务指标和基金净值表现</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3.1 </w:t>
      </w:r>
      <w:r w:rsidRPr="0097021E">
        <w:rPr>
          <w:rFonts w:ascii="宋体" w:hAnsi="宋体" w:cs="Arial" w:hint="eastAsia"/>
          <w:b/>
          <w:color w:val="000000"/>
          <w:kern w:val="0"/>
          <w:sz w:val="24"/>
        </w:rPr>
        <w:t>主要财务指标</w:t>
      </w:r>
    </w:p>
    <w:p w:rsidR="00941F6C" w:rsidRPr="0097021E" w:rsidRDefault="00941F6C" w:rsidP="00196812">
      <w:pPr>
        <w:autoSpaceDE w:val="0"/>
        <w:autoSpaceDN w:val="0"/>
        <w:adjustRightInd w:val="0"/>
        <w:spacing w:before="29" w:line="360" w:lineRule="auto"/>
        <w:ind w:left="15"/>
        <w:jc w:val="right"/>
        <w:rPr>
          <w:rFonts w:ascii="宋体" w:cs="Arial"/>
          <w:color w:val="000000"/>
          <w:kern w:val="0"/>
          <w:sz w:val="24"/>
        </w:rPr>
      </w:pPr>
      <w:r w:rsidRPr="0097021E">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941F6C" w:rsidRPr="00A15461" w:rsidTr="00F11244">
        <w:tc>
          <w:tcPr>
            <w:tcW w:w="3402" w:type="dxa"/>
            <w:vMerge w:val="restart"/>
            <w:vAlign w:val="center"/>
          </w:tcPr>
          <w:p w:rsidR="00941F6C" w:rsidRPr="00A15461" w:rsidRDefault="00941F6C" w:rsidP="00196812">
            <w:pPr>
              <w:adjustRightInd w:val="0"/>
              <w:spacing w:before="29" w:line="360" w:lineRule="auto"/>
              <w:ind w:left="17"/>
              <w:jc w:val="center"/>
              <w:rPr>
                <w:kern w:val="0"/>
                <w:sz w:val="24"/>
              </w:rPr>
            </w:pPr>
            <w:r w:rsidRPr="00A15461">
              <w:rPr>
                <w:kern w:val="0"/>
                <w:sz w:val="24"/>
              </w:rPr>
              <w:t>主要财务指标</w:t>
            </w:r>
          </w:p>
        </w:tc>
        <w:tc>
          <w:tcPr>
            <w:tcW w:w="4962" w:type="dxa"/>
            <w:gridSpan w:val="2"/>
            <w:vAlign w:val="center"/>
          </w:tcPr>
          <w:p w:rsidR="00941F6C" w:rsidRPr="00A15461" w:rsidRDefault="00941F6C" w:rsidP="00196812">
            <w:pPr>
              <w:adjustRightInd w:val="0"/>
              <w:spacing w:before="29" w:line="360" w:lineRule="auto"/>
              <w:ind w:left="17"/>
              <w:jc w:val="center"/>
              <w:rPr>
                <w:color w:val="000000"/>
                <w:sz w:val="24"/>
              </w:rPr>
            </w:pPr>
            <w:r w:rsidRPr="00A15461">
              <w:rPr>
                <w:color w:val="000000"/>
                <w:sz w:val="24"/>
              </w:rPr>
              <w:t>报告期</w:t>
            </w:r>
            <w:r w:rsidRPr="00A15461">
              <w:rPr>
                <w:color w:val="000000"/>
                <w:sz w:val="24"/>
              </w:rPr>
              <w:t>(2019</w:t>
            </w:r>
            <w:r w:rsidRPr="00A15461">
              <w:rPr>
                <w:color w:val="000000"/>
                <w:sz w:val="24"/>
              </w:rPr>
              <w:t>年</w:t>
            </w:r>
            <w:r w:rsidRPr="00A15461">
              <w:rPr>
                <w:color w:val="000000"/>
                <w:sz w:val="24"/>
              </w:rPr>
              <w:t>7</w:t>
            </w:r>
            <w:r w:rsidRPr="00A15461">
              <w:rPr>
                <w:color w:val="000000"/>
                <w:sz w:val="24"/>
              </w:rPr>
              <w:t>月</w:t>
            </w:r>
            <w:r w:rsidRPr="00A15461">
              <w:rPr>
                <w:color w:val="000000"/>
                <w:sz w:val="24"/>
              </w:rPr>
              <w:t>1</w:t>
            </w:r>
            <w:r w:rsidRPr="00A15461">
              <w:rPr>
                <w:color w:val="000000"/>
                <w:sz w:val="24"/>
              </w:rPr>
              <w:t>日</w:t>
            </w:r>
            <w:r w:rsidRPr="00A15461">
              <w:rPr>
                <w:color w:val="000000"/>
                <w:sz w:val="24"/>
              </w:rPr>
              <w:t>-2019</w:t>
            </w:r>
            <w:r w:rsidRPr="00A15461">
              <w:rPr>
                <w:color w:val="000000"/>
                <w:sz w:val="24"/>
              </w:rPr>
              <w:t>年</w:t>
            </w:r>
            <w:r w:rsidRPr="00A15461">
              <w:rPr>
                <w:color w:val="000000"/>
                <w:sz w:val="24"/>
              </w:rPr>
              <w:t>9</w:t>
            </w:r>
            <w:r w:rsidRPr="00A15461">
              <w:rPr>
                <w:color w:val="000000"/>
                <w:sz w:val="24"/>
              </w:rPr>
              <w:t>月</w:t>
            </w:r>
            <w:r w:rsidRPr="00A15461">
              <w:rPr>
                <w:color w:val="000000"/>
                <w:sz w:val="24"/>
              </w:rPr>
              <w:t>30</w:t>
            </w:r>
            <w:r w:rsidRPr="00A15461">
              <w:rPr>
                <w:color w:val="000000"/>
                <w:sz w:val="24"/>
              </w:rPr>
              <w:t>日</w:t>
            </w:r>
            <w:r w:rsidRPr="00A15461">
              <w:rPr>
                <w:color w:val="000000"/>
                <w:sz w:val="24"/>
              </w:rPr>
              <w:t>)</w:t>
            </w:r>
          </w:p>
        </w:tc>
      </w:tr>
      <w:tr w:rsidR="00941F6C" w:rsidRPr="00A15461" w:rsidTr="00F11244">
        <w:tc>
          <w:tcPr>
            <w:tcW w:w="3402" w:type="dxa"/>
            <w:vMerge/>
            <w:vAlign w:val="center"/>
          </w:tcPr>
          <w:p w:rsidR="00941F6C" w:rsidRPr="00A15461" w:rsidRDefault="00941F6C" w:rsidP="00196812">
            <w:pPr>
              <w:adjustRightInd w:val="0"/>
              <w:spacing w:before="29" w:line="360" w:lineRule="auto"/>
              <w:ind w:left="17"/>
              <w:jc w:val="center"/>
              <w:rPr>
                <w:kern w:val="0"/>
                <w:sz w:val="24"/>
              </w:rPr>
            </w:pP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易方达天天增利货币</w:t>
            </w:r>
            <w:r w:rsidRPr="00A15461">
              <w:rPr>
                <w:sz w:val="24"/>
              </w:rPr>
              <w:t>A</w:t>
            </w:r>
          </w:p>
        </w:tc>
        <w:tc>
          <w:tcPr>
            <w:tcW w:w="2481" w:type="dxa"/>
            <w:vAlign w:val="center"/>
          </w:tcPr>
          <w:p w:rsidR="00941F6C" w:rsidRPr="00A15461" w:rsidRDefault="00941F6C" w:rsidP="00196812">
            <w:pPr>
              <w:adjustRightInd w:val="0"/>
              <w:spacing w:before="29" w:line="360" w:lineRule="auto"/>
              <w:ind w:left="17"/>
              <w:jc w:val="center"/>
              <w:rPr>
                <w:color w:val="000000"/>
                <w:sz w:val="24"/>
              </w:rPr>
            </w:pPr>
            <w:r w:rsidRPr="00A15461">
              <w:rPr>
                <w:sz w:val="24"/>
              </w:rPr>
              <w:t>易方达天天增利货币</w:t>
            </w:r>
            <w:r w:rsidRPr="00A15461">
              <w:rPr>
                <w:sz w:val="24"/>
              </w:rPr>
              <w:t>B</w:t>
            </w:r>
          </w:p>
        </w:tc>
      </w:tr>
      <w:tr w:rsidR="00941F6C" w:rsidRPr="00A15461" w:rsidTr="00F11244">
        <w:trPr>
          <w:trHeight w:val="840"/>
        </w:trPr>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1.</w:t>
            </w:r>
            <w:r w:rsidRPr="00A15461">
              <w:rPr>
                <w:kern w:val="0"/>
                <w:sz w:val="24"/>
              </w:rPr>
              <w:t>本期已实现收益</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11,322,587.87</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868,721.60</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2.</w:t>
            </w:r>
            <w:r w:rsidRPr="00A15461">
              <w:rPr>
                <w:kern w:val="0"/>
                <w:sz w:val="24"/>
              </w:rPr>
              <w:t>本期利润</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11,322,587.87</w:t>
            </w:r>
          </w:p>
        </w:tc>
        <w:tc>
          <w:tcPr>
            <w:tcW w:w="2481" w:type="dxa"/>
            <w:vAlign w:val="bottom"/>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868,721.60</w:t>
            </w:r>
          </w:p>
        </w:tc>
      </w:tr>
      <w:tr w:rsidR="00941F6C" w:rsidRPr="00A15461" w:rsidTr="00F11244">
        <w:tc>
          <w:tcPr>
            <w:tcW w:w="3402" w:type="dxa"/>
          </w:tcPr>
          <w:p w:rsidR="00941F6C" w:rsidRPr="00A15461" w:rsidRDefault="00941F6C" w:rsidP="00196812">
            <w:pPr>
              <w:adjustRightInd w:val="0"/>
              <w:spacing w:before="29" w:line="360" w:lineRule="auto"/>
              <w:ind w:left="17"/>
              <w:rPr>
                <w:kern w:val="0"/>
                <w:sz w:val="24"/>
              </w:rPr>
            </w:pPr>
            <w:r w:rsidRPr="00A15461">
              <w:rPr>
                <w:kern w:val="0"/>
                <w:sz w:val="24"/>
              </w:rPr>
              <w:t>3.</w:t>
            </w:r>
            <w:r w:rsidRPr="00A15461">
              <w:rPr>
                <w:kern w:val="0"/>
                <w:sz w:val="24"/>
              </w:rPr>
              <w:t>期末基金资产净值</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2,178,164,264.56</w:t>
            </w:r>
          </w:p>
        </w:tc>
        <w:tc>
          <w:tcPr>
            <w:tcW w:w="2481" w:type="dxa"/>
          </w:tcPr>
          <w:p w:rsidR="00941F6C" w:rsidRPr="00A15461" w:rsidRDefault="00941F6C" w:rsidP="00196812">
            <w:pPr>
              <w:adjustRightInd w:val="0"/>
              <w:spacing w:before="29" w:line="360" w:lineRule="auto"/>
              <w:ind w:left="17"/>
              <w:jc w:val="right"/>
              <w:rPr>
                <w:color w:val="000000"/>
                <w:sz w:val="24"/>
              </w:rPr>
            </w:pPr>
            <w:r w:rsidRPr="00A15461">
              <w:rPr>
                <w:color w:val="000000"/>
                <w:sz w:val="24"/>
              </w:rPr>
              <w:t>110,780,891.21</w:t>
            </w:r>
          </w:p>
        </w:tc>
      </w:tr>
    </w:tbl>
    <w:p w:rsidR="00B520CF" w:rsidRDefault="00560D0C">
      <w:pPr>
        <w:adjustRightInd w:val="0"/>
        <w:spacing w:line="360" w:lineRule="auto"/>
        <w:ind w:firstLineChars="200" w:firstLine="480"/>
        <w:rPr>
          <w:color w:val="000000"/>
          <w:sz w:val="24"/>
        </w:rPr>
      </w:pPr>
      <w:r>
        <w:rPr>
          <w:color w:val="000000"/>
          <w:sz w:val="24"/>
        </w:rPr>
        <w:t>注：</w:t>
      </w:r>
      <w:r>
        <w:rPr>
          <w:color w:val="000000"/>
          <w:sz w:val="24"/>
        </w:rPr>
        <w:t>1.</w:t>
      </w:r>
      <w:r>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w:t>
      </w:r>
      <w:r>
        <w:rPr>
          <w:color w:val="000000"/>
          <w:sz w:val="24"/>
        </w:rPr>
        <w:lastRenderedPageBreak/>
        <w:t>益和本期利润的金额相等。</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2.</w:t>
      </w:r>
      <w:r w:rsidRPr="00A15461">
        <w:rPr>
          <w:color w:val="000000"/>
          <w:sz w:val="24"/>
        </w:rPr>
        <w:t>本基金利润分配是按日结转份额。</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3.2 </w:t>
      </w:r>
      <w:r w:rsidRPr="0097021E">
        <w:rPr>
          <w:rFonts w:ascii="宋体" w:hAnsi="宋体" w:cs="Arial" w:hint="eastAsia"/>
          <w:b/>
          <w:color w:val="000000"/>
          <w:kern w:val="0"/>
          <w:sz w:val="24"/>
        </w:rPr>
        <w:t>基金净值表现</w:t>
      </w:r>
    </w:p>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3.2.1</w:t>
        </w:r>
      </w:smartTag>
      <w:r w:rsidRPr="0097021E">
        <w:rPr>
          <w:rFonts w:ascii="宋体" w:hAnsi="宋体" w:cs="Arial" w:hint="eastAsia"/>
          <w:b/>
          <w:color w:val="000000"/>
          <w:kern w:val="0"/>
          <w:sz w:val="24"/>
        </w:rPr>
        <w:t>本报告期基金份额净值收益率及其与同期业绩比较基准收益率的比较</w:t>
      </w:r>
    </w:p>
    <w:p w:rsidR="00941F6C" w:rsidRPr="0097021E" w:rsidRDefault="00941F6C" w:rsidP="004C44F3">
      <w:pPr>
        <w:pStyle w:val="20"/>
        <w:spacing w:line="360" w:lineRule="auto"/>
        <w:ind w:firstLine="402"/>
        <w:rPr>
          <w:b/>
        </w:rPr>
      </w:pPr>
      <w:r>
        <w:rPr>
          <w:b/>
        </w:rPr>
        <w:t>易方达天天增利货币</w:t>
      </w:r>
      <w:r>
        <w:rPr>
          <w:b/>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B520CF">
        <w:tc>
          <w:tcPr>
            <w:tcW w:w="1328" w:type="dxa"/>
            <w:vAlign w:val="center"/>
          </w:tcPr>
          <w:p w:rsidR="00B520CF" w:rsidRDefault="00560D0C">
            <w:pPr>
              <w:jc w:val="left"/>
            </w:pPr>
            <w:r>
              <w:rPr>
                <w:color w:val="000000"/>
                <w:sz w:val="24"/>
              </w:rPr>
              <w:t>过去三个月</w:t>
            </w:r>
          </w:p>
        </w:tc>
        <w:tc>
          <w:tcPr>
            <w:tcW w:w="1329" w:type="dxa"/>
            <w:vAlign w:val="center"/>
          </w:tcPr>
          <w:p w:rsidR="00B520CF" w:rsidRDefault="00560D0C">
            <w:pPr>
              <w:jc w:val="center"/>
            </w:pPr>
            <w:r>
              <w:rPr>
                <w:color w:val="000000"/>
                <w:sz w:val="24"/>
              </w:rPr>
              <w:t>0.5683%</w:t>
            </w:r>
          </w:p>
        </w:tc>
        <w:tc>
          <w:tcPr>
            <w:tcW w:w="1329" w:type="dxa"/>
            <w:vAlign w:val="center"/>
          </w:tcPr>
          <w:p w:rsidR="00B520CF" w:rsidRDefault="00560D0C">
            <w:pPr>
              <w:jc w:val="center"/>
            </w:pPr>
            <w:r>
              <w:rPr>
                <w:color w:val="000000"/>
                <w:sz w:val="24"/>
              </w:rPr>
              <w:t>0.0003%</w:t>
            </w:r>
          </w:p>
        </w:tc>
        <w:tc>
          <w:tcPr>
            <w:tcW w:w="1329" w:type="dxa"/>
            <w:vAlign w:val="center"/>
          </w:tcPr>
          <w:p w:rsidR="00B520CF" w:rsidRDefault="00560D0C">
            <w:pPr>
              <w:jc w:val="center"/>
            </w:pPr>
            <w:r>
              <w:rPr>
                <w:color w:val="000000"/>
                <w:sz w:val="24"/>
              </w:rPr>
              <w:t>0.3456%</w:t>
            </w:r>
          </w:p>
        </w:tc>
        <w:tc>
          <w:tcPr>
            <w:tcW w:w="1329" w:type="dxa"/>
            <w:vAlign w:val="center"/>
          </w:tcPr>
          <w:p w:rsidR="00B520CF" w:rsidRDefault="00560D0C">
            <w:pPr>
              <w:jc w:val="center"/>
            </w:pPr>
            <w:r>
              <w:rPr>
                <w:color w:val="000000"/>
                <w:sz w:val="24"/>
              </w:rPr>
              <w:t>0.0000%</w:t>
            </w:r>
          </w:p>
        </w:tc>
        <w:tc>
          <w:tcPr>
            <w:tcW w:w="1329" w:type="dxa"/>
            <w:vAlign w:val="center"/>
          </w:tcPr>
          <w:p w:rsidR="00B520CF" w:rsidRDefault="00560D0C">
            <w:pPr>
              <w:jc w:val="center"/>
            </w:pPr>
            <w:r>
              <w:rPr>
                <w:color w:val="000000"/>
                <w:sz w:val="24"/>
              </w:rPr>
              <w:t>0.2227%</w:t>
            </w:r>
          </w:p>
        </w:tc>
        <w:tc>
          <w:tcPr>
            <w:tcW w:w="1329" w:type="dxa"/>
            <w:vAlign w:val="center"/>
          </w:tcPr>
          <w:p w:rsidR="00B520CF" w:rsidRDefault="00560D0C">
            <w:pPr>
              <w:jc w:val="center"/>
            </w:pPr>
            <w:r>
              <w:rPr>
                <w:color w:val="000000"/>
                <w:sz w:val="24"/>
              </w:rPr>
              <w:t>0.0003%</w:t>
            </w:r>
          </w:p>
        </w:tc>
      </w:tr>
    </w:tbl>
    <w:p w:rsidR="00941F6C" w:rsidRPr="0097021E" w:rsidRDefault="00941F6C" w:rsidP="004C44F3">
      <w:pPr>
        <w:pStyle w:val="20"/>
        <w:spacing w:line="360" w:lineRule="auto"/>
        <w:ind w:firstLine="402"/>
        <w:rPr>
          <w:b/>
        </w:rPr>
      </w:pPr>
      <w:r w:rsidRPr="0097021E">
        <w:rPr>
          <w:b/>
          <w:color w:val="000000"/>
        </w:rPr>
        <w:t>易方达天天增利货币</w:t>
      </w:r>
      <w:r w:rsidRPr="0097021E">
        <w:rPr>
          <w:b/>
          <w:color w:val="000000"/>
        </w:rPr>
        <w: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8"/>
        <w:gridCol w:w="1329"/>
        <w:gridCol w:w="1329"/>
        <w:gridCol w:w="1329"/>
        <w:gridCol w:w="1329"/>
        <w:gridCol w:w="1329"/>
        <w:gridCol w:w="1329"/>
      </w:tblGrid>
      <w:tr w:rsidR="00941F6C" w:rsidRPr="0097021E" w:rsidTr="00CA7D55">
        <w:tc>
          <w:tcPr>
            <w:tcW w:w="1328"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阶段</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w:t>
            </w:r>
            <w:r w:rsidRPr="00A15461">
              <w:rPr>
                <w:rFonts w:cs="宋体" w:hint="eastAsia"/>
                <w:color w:val="000000"/>
                <w:szCs w:val="24"/>
              </w:rPr>
              <w:t>①</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净值收益率标准差</w:t>
            </w:r>
            <w:r w:rsidRPr="00A15461">
              <w:rPr>
                <w:rFonts w:cs="宋体" w:hint="eastAsia"/>
                <w:color w:val="000000"/>
                <w:szCs w:val="24"/>
              </w:rPr>
              <w:t>②</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ascii="Times New Roman" w:hAnsi="Times New Roman"/>
                <w:color w:val="000000"/>
                <w:szCs w:val="24"/>
              </w:rPr>
              <w:t>业绩比较基准收益率标准差</w:t>
            </w:r>
            <w:r w:rsidRPr="00A15461">
              <w:rPr>
                <w:rFonts w:cs="宋体" w:hint="eastAsia"/>
                <w:color w:val="000000"/>
                <w:szCs w:val="24"/>
              </w:rPr>
              <w:t>④</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①</w:t>
            </w:r>
            <w:r w:rsidRPr="00A15461">
              <w:rPr>
                <w:rFonts w:ascii="Times New Roman" w:hAnsi="Times New Roman"/>
                <w:color w:val="000000"/>
                <w:szCs w:val="24"/>
              </w:rPr>
              <w:t>-</w:t>
            </w:r>
            <w:r w:rsidRPr="00A15461">
              <w:rPr>
                <w:rFonts w:cs="宋体" w:hint="eastAsia"/>
                <w:color w:val="000000"/>
                <w:szCs w:val="24"/>
              </w:rPr>
              <w:t>③</w:t>
            </w:r>
          </w:p>
        </w:tc>
        <w:tc>
          <w:tcPr>
            <w:tcW w:w="1329" w:type="dxa"/>
            <w:vAlign w:val="center"/>
          </w:tcPr>
          <w:p w:rsidR="00941F6C" w:rsidRPr="00A15461" w:rsidRDefault="00941F6C" w:rsidP="00CA7D55">
            <w:pPr>
              <w:pStyle w:val="ab"/>
              <w:adjustRightInd w:val="0"/>
              <w:snapToGrid w:val="0"/>
              <w:spacing w:before="0" w:beforeAutospacing="0" w:after="0" w:afterAutospacing="0" w:line="360" w:lineRule="auto"/>
              <w:jc w:val="center"/>
              <w:rPr>
                <w:rFonts w:ascii="Times New Roman" w:hAnsi="Times New Roman"/>
                <w:color w:val="000000"/>
                <w:szCs w:val="24"/>
              </w:rPr>
            </w:pPr>
            <w:r w:rsidRPr="00A15461">
              <w:rPr>
                <w:rFonts w:cs="宋体" w:hint="eastAsia"/>
                <w:color w:val="000000"/>
                <w:szCs w:val="24"/>
              </w:rPr>
              <w:t>②</w:t>
            </w:r>
            <w:r w:rsidRPr="00A15461">
              <w:rPr>
                <w:rFonts w:ascii="Times New Roman" w:hAnsi="Times New Roman"/>
                <w:color w:val="000000"/>
                <w:szCs w:val="24"/>
              </w:rPr>
              <w:t>-</w:t>
            </w:r>
            <w:r w:rsidRPr="00A15461">
              <w:rPr>
                <w:rFonts w:cs="宋体" w:hint="eastAsia"/>
                <w:color w:val="000000"/>
                <w:szCs w:val="24"/>
              </w:rPr>
              <w:t>④</w:t>
            </w:r>
          </w:p>
        </w:tc>
      </w:tr>
      <w:tr w:rsidR="00B520CF">
        <w:tc>
          <w:tcPr>
            <w:tcW w:w="1328" w:type="dxa"/>
            <w:vAlign w:val="center"/>
          </w:tcPr>
          <w:p w:rsidR="00B520CF" w:rsidRDefault="00560D0C">
            <w:pPr>
              <w:jc w:val="left"/>
            </w:pPr>
            <w:r>
              <w:rPr>
                <w:color w:val="000000"/>
                <w:sz w:val="24"/>
              </w:rPr>
              <w:t>过去三个月</w:t>
            </w:r>
          </w:p>
        </w:tc>
        <w:tc>
          <w:tcPr>
            <w:tcW w:w="1329" w:type="dxa"/>
            <w:vAlign w:val="center"/>
          </w:tcPr>
          <w:p w:rsidR="00B520CF" w:rsidRDefault="00560D0C">
            <w:pPr>
              <w:jc w:val="center"/>
            </w:pPr>
            <w:r>
              <w:rPr>
                <w:color w:val="000000"/>
                <w:sz w:val="24"/>
              </w:rPr>
              <w:t>0.6291%</w:t>
            </w:r>
          </w:p>
        </w:tc>
        <w:tc>
          <w:tcPr>
            <w:tcW w:w="1329" w:type="dxa"/>
            <w:vAlign w:val="center"/>
          </w:tcPr>
          <w:p w:rsidR="00B520CF" w:rsidRDefault="00560D0C">
            <w:pPr>
              <w:jc w:val="center"/>
            </w:pPr>
            <w:r>
              <w:rPr>
                <w:color w:val="000000"/>
                <w:sz w:val="24"/>
              </w:rPr>
              <w:t>0.0003%</w:t>
            </w:r>
          </w:p>
        </w:tc>
        <w:tc>
          <w:tcPr>
            <w:tcW w:w="1329" w:type="dxa"/>
            <w:vAlign w:val="center"/>
          </w:tcPr>
          <w:p w:rsidR="00B520CF" w:rsidRDefault="00560D0C">
            <w:pPr>
              <w:jc w:val="center"/>
            </w:pPr>
            <w:r>
              <w:rPr>
                <w:color w:val="000000"/>
                <w:sz w:val="24"/>
              </w:rPr>
              <w:t>0.3456%</w:t>
            </w:r>
          </w:p>
        </w:tc>
        <w:tc>
          <w:tcPr>
            <w:tcW w:w="1329" w:type="dxa"/>
            <w:vAlign w:val="center"/>
          </w:tcPr>
          <w:p w:rsidR="00B520CF" w:rsidRDefault="00560D0C">
            <w:pPr>
              <w:jc w:val="center"/>
            </w:pPr>
            <w:r>
              <w:rPr>
                <w:color w:val="000000"/>
                <w:sz w:val="24"/>
              </w:rPr>
              <w:t>0.0000%</w:t>
            </w:r>
          </w:p>
        </w:tc>
        <w:tc>
          <w:tcPr>
            <w:tcW w:w="1329" w:type="dxa"/>
            <w:vAlign w:val="center"/>
          </w:tcPr>
          <w:p w:rsidR="00B520CF" w:rsidRDefault="00560D0C">
            <w:pPr>
              <w:jc w:val="center"/>
            </w:pPr>
            <w:r>
              <w:rPr>
                <w:color w:val="000000"/>
                <w:sz w:val="24"/>
              </w:rPr>
              <w:t>0.2835%</w:t>
            </w:r>
          </w:p>
        </w:tc>
        <w:tc>
          <w:tcPr>
            <w:tcW w:w="1329" w:type="dxa"/>
            <w:vAlign w:val="center"/>
          </w:tcPr>
          <w:p w:rsidR="00B520CF" w:rsidRDefault="00560D0C">
            <w:pPr>
              <w:jc w:val="center"/>
            </w:pPr>
            <w:r>
              <w:rPr>
                <w:color w:val="000000"/>
                <w:sz w:val="24"/>
              </w:rPr>
              <w:t>0.0003%</w:t>
            </w:r>
          </w:p>
        </w:tc>
      </w:tr>
    </w:tbl>
    <w:p w:rsidR="00941F6C" w:rsidRPr="0097021E" w:rsidRDefault="00941F6C" w:rsidP="009A755D">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3.2.2</w:t>
        </w:r>
        <w:r w:rsidR="000C572D" w:rsidRPr="00370BEA">
          <w:rPr>
            <w:rStyle w:val="af"/>
            <w:rFonts w:hint="eastAsia"/>
            <w:color w:val="000000"/>
            <w:sz w:val="24"/>
            <w:shd w:val="clear" w:color="auto" w:fill="FFFFFF"/>
          </w:rPr>
          <w:t>自基金合同生效以来</w:t>
        </w:r>
      </w:smartTag>
      <w:r w:rsidRPr="0097021E">
        <w:rPr>
          <w:rFonts w:ascii="宋体" w:hAnsi="宋体" w:cs="Arial" w:hint="eastAsia"/>
          <w:b/>
          <w:color w:val="000000"/>
          <w:kern w:val="0"/>
          <w:sz w:val="24"/>
        </w:rPr>
        <w:t>基金累计净值收益率变动及其与同期业绩比较基准收益率变动的比较</w:t>
      </w:r>
    </w:p>
    <w:p w:rsidR="00941F6C" w:rsidRPr="00A15461" w:rsidRDefault="00941F6C" w:rsidP="009A755D">
      <w:pPr>
        <w:spacing w:line="360" w:lineRule="auto"/>
        <w:jc w:val="center"/>
        <w:rPr>
          <w:sz w:val="24"/>
        </w:rPr>
      </w:pPr>
      <w:r w:rsidRPr="00A15461">
        <w:rPr>
          <w:sz w:val="24"/>
        </w:rPr>
        <w:t>易方达天天增利货币市场基金</w:t>
      </w:r>
    </w:p>
    <w:p w:rsidR="00941F6C" w:rsidRPr="00A15461" w:rsidRDefault="00941F6C" w:rsidP="009A755D">
      <w:pPr>
        <w:pStyle w:val="a6"/>
        <w:snapToGrid w:val="0"/>
        <w:spacing w:line="360" w:lineRule="auto"/>
        <w:jc w:val="center"/>
        <w:rPr>
          <w:rFonts w:ascii="Times New Roman" w:hAnsi="Times New Roman"/>
          <w:sz w:val="24"/>
          <w:szCs w:val="24"/>
        </w:rPr>
      </w:pPr>
      <w:r w:rsidRPr="00A15461">
        <w:rPr>
          <w:rFonts w:ascii="Times New Roman" w:hAnsi="Times New Roman"/>
          <w:sz w:val="24"/>
          <w:szCs w:val="24"/>
        </w:rPr>
        <w:t>累计净值收益率与业绩比较基准收益率的历史走势对比图</w:t>
      </w:r>
    </w:p>
    <w:p w:rsidR="00941F6C" w:rsidRPr="00A15461" w:rsidRDefault="00DC22A1" w:rsidP="009A755D">
      <w:pPr>
        <w:spacing w:line="360" w:lineRule="auto"/>
        <w:jc w:val="center"/>
        <w:rPr>
          <w:sz w:val="24"/>
        </w:rPr>
      </w:pPr>
      <w:r w:rsidRPr="00A15461">
        <w:rPr>
          <w:color w:val="000000"/>
          <w:kern w:val="0"/>
          <w:sz w:val="24"/>
        </w:rPr>
        <w:t>（</w:t>
      </w:r>
      <w:r w:rsidRPr="00A15461">
        <w:rPr>
          <w:color w:val="000000"/>
          <w:kern w:val="0"/>
          <w:sz w:val="24"/>
        </w:rPr>
        <w:t>2014</w:t>
      </w:r>
      <w:r w:rsidRPr="00A15461">
        <w:rPr>
          <w:color w:val="000000"/>
          <w:kern w:val="0"/>
          <w:sz w:val="24"/>
        </w:rPr>
        <w:t>年</w:t>
      </w:r>
      <w:r w:rsidRPr="00A15461">
        <w:rPr>
          <w:color w:val="000000"/>
          <w:kern w:val="0"/>
          <w:sz w:val="24"/>
        </w:rPr>
        <w:t>6</w:t>
      </w:r>
      <w:r w:rsidRPr="00A15461">
        <w:rPr>
          <w:color w:val="000000"/>
          <w:kern w:val="0"/>
          <w:sz w:val="24"/>
        </w:rPr>
        <w:t>月</w:t>
      </w:r>
      <w:r w:rsidRPr="00A15461">
        <w:rPr>
          <w:color w:val="000000"/>
          <w:kern w:val="0"/>
          <w:sz w:val="24"/>
        </w:rPr>
        <w:t>25</w:t>
      </w:r>
      <w:r w:rsidRPr="00A15461">
        <w:rPr>
          <w:color w:val="000000"/>
          <w:kern w:val="0"/>
          <w:sz w:val="24"/>
        </w:rPr>
        <w:t>日至</w:t>
      </w:r>
      <w:r w:rsidRPr="00A15461">
        <w:rPr>
          <w:color w:val="000000"/>
          <w:kern w:val="0"/>
          <w:sz w:val="24"/>
        </w:rPr>
        <w:t>2019</w:t>
      </w:r>
      <w:r w:rsidRPr="00A15461">
        <w:rPr>
          <w:color w:val="000000"/>
          <w:kern w:val="0"/>
          <w:sz w:val="24"/>
        </w:rPr>
        <w:t>年</w:t>
      </w:r>
      <w:r w:rsidRPr="00A15461">
        <w:rPr>
          <w:color w:val="000000"/>
          <w:kern w:val="0"/>
          <w:sz w:val="24"/>
        </w:rPr>
        <w:t>9</w:t>
      </w:r>
      <w:r w:rsidRPr="00A15461">
        <w:rPr>
          <w:color w:val="000000"/>
          <w:kern w:val="0"/>
          <w:sz w:val="24"/>
        </w:rPr>
        <w:t>月</w:t>
      </w:r>
      <w:r w:rsidRPr="00A15461">
        <w:rPr>
          <w:color w:val="000000"/>
          <w:kern w:val="0"/>
          <w:sz w:val="24"/>
        </w:rPr>
        <w:t>30</w:t>
      </w:r>
      <w:r w:rsidRPr="00A15461">
        <w:rPr>
          <w:color w:val="000000"/>
          <w:kern w:val="0"/>
          <w:sz w:val="24"/>
        </w:rPr>
        <w:t>日）</w:t>
      </w:r>
    </w:p>
    <w:p w:rsidR="00941F6C" w:rsidRPr="00A15461" w:rsidRDefault="00941F6C" w:rsidP="00A15461">
      <w:pPr>
        <w:snapToGrid w:val="0"/>
        <w:spacing w:line="360" w:lineRule="auto"/>
        <w:rPr>
          <w:color w:val="000000"/>
          <w:sz w:val="24"/>
        </w:rPr>
      </w:pPr>
      <w:r w:rsidRPr="00A15461">
        <w:rPr>
          <w:color w:val="000000"/>
          <w:kern w:val="0"/>
          <w:sz w:val="24"/>
        </w:rPr>
        <w:t>易方达天天增利货币</w:t>
      </w:r>
      <w:r w:rsidRPr="00A15461">
        <w:rPr>
          <w:color w:val="000000"/>
          <w:kern w:val="0"/>
          <w:sz w:val="24"/>
        </w:rPr>
        <w:t>A</w:t>
      </w:r>
    </w:p>
    <w:p w:rsidR="00941F6C" w:rsidRPr="0097021E" w:rsidRDefault="00560D0C" w:rsidP="00196812">
      <w:pPr>
        <w:tabs>
          <w:tab w:val="left" w:pos="0"/>
        </w:tabs>
        <w:spacing w:line="360" w:lineRule="auto"/>
        <w:jc w:val="center"/>
        <w:rPr>
          <w:rFonts w:ascii="宋体"/>
          <w:color w:val="000000"/>
          <w:sz w:val="24"/>
        </w:rPr>
      </w:pPr>
      <w:r>
        <w:rPr>
          <w:rFonts w:ascii="宋体"/>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52.25pt;height:267pt;visibility:visible">
            <v:imagedata r:id="rId9" o:title=""/>
          </v:shape>
        </w:pict>
      </w:r>
    </w:p>
    <w:p w:rsidR="00941F6C" w:rsidRPr="00A15461" w:rsidRDefault="00941F6C" w:rsidP="00A15461">
      <w:pPr>
        <w:snapToGrid w:val="0"/>
        <w:spacing w:line="360" w:lineRule="auto"/>
        <w:rPr>
          <w:color w:val="000000"/>
          <w:sz w:val="24"/>
        </w:rPr>
      </w:pPr>
      <w:r w:rsidRPr="00A15461">
        <w:rPr>
          <w:color w:val="000000"/>
          <w:kern w:val="0"/>
          <w:sz w:val="24"/>
        </w:rPr>
        <w:t>易方达天天增利货币</w:t>
      </w:r>
      <w:r w:rsidRPr="00A15461">
        <w:rPr>
          <w:color w:val="000000"/>
          <w:kern w:val="0"/>
          <w:sz w:val="24"/>
        </w:rPr>
        <w:t>B</w:t>
      </w:r>
    </w:p>
    <w:p w:rsidR="00941F6C" w:rsidRPr="0097021E" w:rsidRDefault="00560D0C" w:rsidP="00196812">
      <w:pPr>
        <w:snapToGrid w:val="0"/>
        <w:spacing w:line="360" w:lineRule="auto"/>
        <w:jc w:val="center"/>
        <w:rPr>
          <w:rFonts w:ascii="宋体"/>
          <w:color w:val="000000"/>
          <w:sz w:val="24"/>
        </w:rPr>
      </w:pPr>
      <w:r>
        <w:rPr>
          <w:rFonts w:ascii="宋体"/>
          <w:noProof/>
          <w:color w:val="000000"/>
          <w:sz w:val="24"/>
        </w:rPr>
        <w:pict>
          <v:shape id="图片 2" o:spid="_x0000_i1026" type="#_x0000_t75" style="width:452.25pt;height:267pt;visibility:visible">
            <v:imagedata r:id="rId10" o:title=""/>
          </v:shape>
        </w:pic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注：自基金合同生效至报告期末，</w:t>
      </w:r>
      <w:r w:rsidRPr="00A15461">
        <w:rPr>
          <w:color w:val="000000"/>
          <w:sz w:val="24"/>
        </w:rPr>
        <w:t>A</w:t>
      </w:r>
      <w:r w:rsidRPr="00A15461">
        <w:rPr>
          <w:color w:val="000000"/>
          <w:sz w:val="24"/>
        </w:rPr>
        <w:t>类基金份额净值收益率为</w:t>
      </w:r>
      <w:r w:rsidRPr="00A15461">
        <w:rPr>
          <w:color w:val="000000"/>
          <w:sz w:val="24"/>
        </w:rPr>
        <w:t>19.7599%</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21.2791%</w:t>
      </w:r>
      <w:r w:rsidRPr="00A15461">
        <w:rPr>
          <w:color w:val="000000"/>
          <w:sz w:val="24"/>
        </w:rPr>
        <w:t>，同期业绩比较基准收益率为</w:t>
      </w:r>
      <w:r w:rsidRPr="00A15461">
        <w:rPr>
          <w:color w:val="000000"/>
          <w:sz w:val="24"/>
        </w:rPr>
        <w:t>7.4815%</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lastRenderedPageBreak/>
        <w:t>§</w:t>
      </w:r>
      <w:r w:rsidRPr="0097021E">
        <w:rPr>
          <w:rFonts w:ascii="宋体" w:hAnsi="宋体" w:cs="Arial"/>
          <w:color w:val="000000"/>
          <w:kern w:val="0"/>
          <w:sz w:val="24"/>
          <w:szCs w:val="24"/>
        </w:rPr>
        <w:t xml:space="preserve">4  </w:t>
      </w:r>
      <w:r w:rsidRPr="0097021E">
        <w:rPr>
          <w:rFonts w:ascii="宋体" w:hAnsi="宋体" w:cs="Arial" w:hint="eastAsia"/>
          <w:color w:val="000000"/>
          <w:kern w:val="0"/>
          <w:sz w:val="24"/>
          <w:szCs w:val="24"/>
        </w:rPr>
        <w:t>管理人报告</w:t>
      </w:r>
    </w:p>
    <w:p w:rsidR="00CE0B87" w:rsidRPr="0078105B" w:rsidRDefault="00941F6C" w:rsidP="00CE0B87">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4.1 </w:t>
      </w:r>
      <w:r w:rsidR="00DC22A1">
        <w:rPr>
          <w:rFonts w:ascii="宋体" w:hAnsi="宋体" w:cs="Arial" w:hint="eastAsia"/>
          <w:b/>
          <w:color w:val="000000"/>
          <w:kern w:val="0"/>
          <w:sz w:val="24"/>
        </w:rPr>
        <w:t>基金经理（</w:t>
      </w:r>
      <w:r w:rsidR="00DC22A1" w:rsidRPr="0097021E">
        <w:rPr>
          <w:rFonts w:ascii="宋体" w:hAnsi="宋体" w:cs="Arial" w:hint="eastAsia"/>
          <w:b/>
          <w:color w:val="000000"/>
          <w:kern w:val="0"/>
          <w:sz w:val="24"/>
        </w:rPr>
        <w:t>或基金经理小组</w:t>
      </w:r>
      <w:r w:rsidR="00DC22A1">
        <w:rPr>
          <w:rFonts w:ascii="宋体" w:hAnsi="宋体" w:cs="Arial" w:hint="eastAsia"/>
          <w:b/>
          <w:color w:val="000000"/>
          <w:kern w:val="0"/>
          <w:sz w:val="24"/>
        </w:rPr>
        <w:t>）</w:t>
      </w:r>
      <w:r w:rsidRPr="0097021E">
        <w:rPr>
          <w:rFonts w:ascii="宋体" w:hAnsi="宋体" w:cs="Arial" w:hint="eastAsia"/>
          <w:b/>
          <w:color w:val="000000"/>
          <w:kern w:val="0"/>
          <w:sz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CE0B87" w:rsidRPr="0078105B" w:rsidTr="00B7074C">
        <w:trPr>
          <w:cantSplit/>
        </w:trPr>
        <w:tc>
          <w:tcPr>
            <w:tcW w:w="56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CE0B87" w:rsidRPr="0078105B" w:rsidTr="00B7074C">
        <w:trPr>
          <w:cantSplit/>
        </w:trPr>
        <w:tc>
          <w:tcPr>
            <w:tcW w:w="56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835" w:type="dxa"/>
            <w:vMerge/>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851"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c>
          <w:tcPr>
            <w:tcW w:w="2977" w:type="dxa"/>
            <w:vMerge/>
            <w:vAlign w:val="center"/>
          </w:tcPr>
          <w:p w:rsidR="00CE0B87" w:rsidRPr="00FA472B" w:rsidRDefault="00CE0B87" w:rsidP="00B7074C">
            <w:pPr>
              <w:autoSpaceDE w:val="0"/>
              <w:autoSpaceDN w:val="0"/>
              <w:adjustRightInd w:val="0"/>
              <w:spacing w:before="29" w:line="288" w:lineRule="auto"/>
              <w:ind w:left="15"/>
              <w:jc w:val="center"/>
              <w:rPr>
                <w:color w:val="000000"/>
                <w:kern w:val="0"/>
                <w:sz w:val="24"/>
              </w:rPr>
            </w:pPr>
          </w:p>
        </w:tc>
      </w:tr>
      <w:tr w:rsidR="00B520CF">
        <w:tc>
          <w:tcPr>
            <w:tcW w:w="567" w:type="dxa"/>
            <w:vAlign w:val="center"/>
          </w:tcPr>
          <w:p w:rsidR="00B520CF" w:rsidRDefault="00560D0C">
            <w:pPr>
              <w:jc w:val="center"/>
            </w:pPr>
            <w:r>
              <w:rPr>
                <w:color w:val="000000"/>
                <w:sz w:val="24"/>
              </w:rPr>
              <w:t>石大怿</w:t>
            </w:r>
          </w:p>
        </w:tc>
        <w:tc>
          <w:tcPr>
            <w:tcW w:w="2835" w:type="dxa"/>
            <w:vAlign w:val="center"/>
          </w:tcPr>
          <w:p w:rsidR="00B520CF" w:rsidRDefault="00560D0C">
            <w:pPr>
              <w:jc w:val="center"/>
            </w:pPr>
            <w:r>
              <w:rPr>
                <w:color w:val="000000"/>
                <w:sz w:val="24"/>
              </w:rPr>
              <w:t>本基金的基金经理、易方达掌柜季季盈理财债券型证券投资基金的基金经理、易方达月月利理财债券型证券投资基金的基金经理、易方达易理财货币市场基金的基金经理、易方达现金增利货币市场基金的基金经理、易方达天天理财货币市场基金的基金经理、易方达天天发货币市场基金的基金经理、易方达龙宝货币市场基金的基金经理、易方达货币市场基金的基金经理、易方达财富快线货币市场基金的基金经理、易方达保证金收益货币市场基金的基金经理、易方达安瑞短债债券型证券投资基金的基金经理、易方达恒安定期开放债券型发起式证券投资基金的基金经理助理</w:t>
            </w:r>
          </w:p>
        </w:tc>
        <w:tc>
          <w:tcPr>
            <w:tcW w:w="851" w:type="dxa"/>
            <w:vAlign w:val="center"/>
          </w:tcPr>
          <w:p w:rsidR="00B520CF" w:rsidRDefault="00560D0C">
            <w:pPr>
              <w:jc w:val="center"/>
            </w:pPr>
            <w:r>
              <w:rPr>
                <w:color w:val="000000"/>
                <w:sz w:val="24"/>
              </w:rPr>
              <w:t>201</w:t>
            </w:r>
            <w:r>
              <w:rPr>
                <w:color w:val="000000"/>
                <w:sz w:val="24"/>
              </w:rPr>
              <w:t>4-06-25</w:t>
            </w:r>
          </w:p>
        </w:tc>
        <w:tc>
          <w:tcPr>
            <w:tcW w:w="850" w:type="dxa"/>
            <w:vAlign w:val="center"/>
          </w:tcPr>
          <w:p w:rsidR="00B520CF" w:rsidRDefault="00560D0C">
            <w:pPr>
              <w:jc w:val="center"/>
            </w:pPr>
            <w:r>
              <w:rPr>
                <w:color w:val="000000"/>
                <w:sz w:val="24"/>
              </w:rPr>
              <w:t>-</w:t>
            </w:r>
          </w:p>
        </w:tc>
        <w:tc>
          <w:tcPr>
            <w:tcW w:w="851" w:type="dxa"/>
            <w:vAlign w:val="center"/>
          </w:tcPr>
          <w:p w:rsidR="00B520CF" w:rsidRDefault="00560D0C">
            <w:pPr>
              <w:jc w:val="center"/>
            </w:pPr>
            <w:r>
              <w:rPr>
                <w:color w:val="000000"/>
                <w:sz w:val="24"/>
              </w:rPr>
              <w:t>10</w:t>
            </w:r>
            <w:r>
              <w:rPr>
                <w:color w:val="000000"/>
                <w:sz w:val="24"/>
              </w:rPr>
              <w:t>年</w:t>
            </w:r>
          </w:p>
        </w:tc>
        <w:tc>
          <w:tcPr>
            <w:tcW w:w="2977" w:type="dxa"/>
            <w:vAlign w:val="center"/>
          </w:tcPr>
          <w:p w:rsidR="00B520CF" w:rsidRDefault="00560D0C">
            <w:r>
              <w:rPr>
                <w:color w:val="000000"/>
                <w:sz w:val="24"/>
              </w:rPr>
              <w:t>硕士研究生，曾任南方基金管理有限公司交易管理部交易员，易方达基金管理有限公司集中交易室债券交易员、固定收益部基金经理助理、易方达双月利理财债券型证券投资基金基金经理、易方达新鑫灵活配置混合型证券投资基金基金经理助理。</w:t>
            </w:r>
          </w:p>
        </w:tc>
      </w:tr>
      <w:tr w:rsidR="00B520CF">
        <w:tc>
          <w:tcPr>
            <w:tcW w:w="567" w:type="dxa"/>
            <w:vAlign w:val="center"/>
          </w:tcPr>
          <w:p w:rsidR="00B520CF" w:rsidRDefault="00560D0C">
            <w:pPr>
              <w:jc w:val="center"/>
            </w:pPr>
            <w:r>
              <w:rPr>
                <w:color w:val="000000"/>
                <w:sz w:val="24"/>
              </w:rPr>
              <w:t>梁莹</w:t>
            </w:r>
          </w:p>
        </w:tc>
        <w:tc>
          <w:tcPr>
            <w:tcW w:w="2835" w:type="dxa"/>
            <w:vAlign w:val="center"/>
          </w:tcPr>
          <w:p w:rsidR="00B520CF" w:rsidRDefault="00560D0C">
            <w:pPr>
              <w:jc w:val="center"/>
            </w:pPr>
            <w:r>
              <w:rPr>
                <w:color w:val="000000"/>
                <w:sz w:val="24"/>
              </w:rPr>
              <w:t>本基金的基金经理、易方达掌柜季季盈理财债券型证券投资基金的基金经理、易方达增金宝货币市场基金的基金经理、易方达月月利理财债券型证券投资基金的基金经理、易方达现金增利货币市场基金的基金经理、易</w:t>
            </w:r>
            <w:r>
              <w:rPr>
                <w:color w:val="000000"/>
                <w:sz w:val="24"/>
              </w:rPr>
              <w:lastRenderedPageBreak/>
              <w:t>方达龙宝货币市场基金的基金经理、易方达财富快线货币市场基金的基金经理、易方达保证金收益货币市场基金的基金经理、易方达安悦超短债债券型证券投资基金的基金经理、易方达货币市场基金的基金经理助理、易方达易理财货币市场基金的基金经理助理、易方达天天理财货币市场基金的基金经理助理、投资经理</w:t>
            </w:r>
          </w:p>
        </w:tc>
        <w:tc>
          <w:tcPr>
            <w:tcW w:w="851" w:type="dxa"/>
            <w:vAlign w:val="center"/>
          </w:tcPr>
          <w:p w:rsidR="00B520CF" w:rsidRDefault="00560D0C">
            <w:pPr>
              <w:jc w:val="center"/>
            </w:pPr>
            <w:r>
              <w:rPr>
                <w:color w:val="000000"/>
                <w:sz w:val="24"/>
              </w:rPr>
              <w:lastRenderedPageBreak/>
              <w:t>2015-03-17</w:t>
            </w:r>
          </w:p>
        </w:tc>
        <w:tc>
          <w:tcPr>
            <w:tcW w:w="850" w:type="dxa"/>
            <w:vAlign w:val="center"/>
          </w:tcPr>
          <w:p w:rsidR="00B520CF" w:rsidRDefault="00560D0C">
            <w:pPr>
              <w:jc w:val="center"/>
            </w:pPr>
            <w:r>
              <w:rPr>
                <w:color w:val="000000"/>
                <w:sz w:val="24"/>
              </w:rPr>
              <w:t>-</w:t>
            </w:r>
          </w:p>
        </w:tc>
        <w:tc>
          <w:tcPr>
            <w:tcW w:w="851" w:type="dxa"/>
            <w:vAlign w:val="center"/>
          </w:tcPr>
          <w:p w:rsidR="00B520CF" w:rsidRDefault="00560D0C">
            <w:pPr>
              <w:jc w:val="center"/>
            </w:pPr>
            <w:r>
              <w:rPr>
                <w:color w:val="000000"/>
                <w:sz w:val="24"/>
              </w:rPr>
              <w:t>9</w:t>
            </w:r>
            <w:r>
              <w:rPr>
                <w:color w:val="000000"/>
                <w:sz w:val="24"/>
              </w:rPr>
              <w:t>年</w:t>
            </w:r>
          </w:p>
        </w:tc>
        <w:tc>
          <w:tcPr>
            <w:tcW w:w="2977" w:type="dxa"/>
            <w:vAlign w:val="center"/>
          </w:tcPr>
          <w:p w:rsidR="00B520CF" w:rsidRDefault="00560D0C">
            <w:r>
              <w:rPr>
                <w:color w:val="000000"/>
                <w:sz w:val="24"/>
              </w:rPr>
              <w:t>硕士研究</w:t>
            </w:r>
            <w:r>
              <w:rPr>
                <w:color w:val="000000"/>
                <w:sz w:val="24"/>
              </w:rPr>
              <w:t>生，曾任招商证券股份有限公司债券销售交易部交易员，易方达基金管理有限公司固定收益交易员、易方达保证金收益货币市场基金基金经理助理、易方达双月利理财债券型证券投资基金基金经理。</w:t>
            </w:r>
          </w:p>
        </w:tc>
      </w:tr>
    </w:tbl>
    <w:p w:rsidR="00B520CF" w:rsidRDefault="00560D0C">
      <w:pPr>
        <w:autoSpaceDE w:val="0"/>
        <w:autoSpaceDN w:val="0"/>
        <w:adjustRightInd w:val="0"/>
        <w:spacing w:line="360" w:lineRule="auto"/>
        <w:ind w:firstLineChars="200" w:firstLine="480"/>
        <w:jc w:val="left"/>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BF6648" w:rsidRPr="00232B03" w:rsidRDefault="00CE0B87" w:rsidP="00CE0B87">
      <w:pPr>
        <w:autoSpaceDE w:val="0"/>
        <w:autoSpaceDN w:val="0"/>
        <w:adjustRightInd w:val="0"/>
        <w:spacing w:line="360" w:lineRule="auto"/>
        <w:ind w:firstLineChars="200" w:firstLine="480"/>
        <w:jc w:val="left"/>
        <w:rPr>
          <w:color w:val="000000"/>
          <w:sz w:val="24"/>
        </w:rPr>
      </w:pPr>
      <w:r w:rsidRPr="00DF18FE">
        <w:rPr>
          <w:color w:val="000000"/>
          <w:sz w:val="24"/>
        </w:rPr>
        <w:t>2.</w:t>
      </w:r>
      <w:r w:rsidRPr="00DF18FE">
        <w:rPr>
          <w:color w:val="000000"/>
          <w:sz w:val="24"/>
        </w:rPr>
        <w:t>证券从业的含义遵从《证券业从业人员资格管理办法》的相关规定。</w:t>
      </w:r>
    </w:p>
    <w:p w:rsidR="00941F6C" w:rsidRPr="0097021E" w:rsidRDefault="00941F6C" w:rsidP="00BF6648">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4.2</w:t>
      </w:r>
      <w:r w:rsidRPr="00756761">
        <w:rPr>
          <w:rFonts w:cs="Arial" w:hint="eastAsia"/>
          <w:b/>
          <w:color w:val="000000"/>
          <w:kern w:val="0"/>
          <w:sz w:val="24"/>
        </w:rPr>
        <w:t>管理人对报告期内本基金运作遵规守信情况的说明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41F6C" w:rsidRPr="0097021E" w:rsidRDefault="00941F6C" w:rsidP="009A755D">
      <w:pPr>
        <w:autoSpaceDE w:val="0"/>
        <w:autoSpaceDN w:val="0"/>
        <w:adjustRightInd w:val="0"/>
        <w:spacing w:line="360" w:lineRule="auto"/>
        <w:jc w:val="left"/>
        <w:rPr>
          <w:rFonts w:ascii="宋体" w:cs="Arial"/>
          <w:b/>
          <w:color w:val="000000"/>
          <w:kern w:val="0"/>
          <w:sz w:val="24"/>
        </w:rPr>
      </w:pPr>
      <w:r w:rsidRPr="0097021E">
        <w:rPr>
          <w:rFonts w:ascii="宋体" w:hAnsi="宋体" w:cs="Arial"/>
          <w:b/>
          <w:color w:val="000000"/>
          <w:kern w:val="0"/>
          <w:sz w:val="24"/>
        </w:rPr>
        <w:t xml:space="preserve">4.3 </w:t>
      </w:r>
      <w:r w:rsidRPr="0097021E">
        <w:rPr>
          <w:rFonts w:ascii="宋体" w:hAnsi="宋体" w:cs="Arial" w:hint="eastAsia"/>
          <w:b/>
          <w:color w:val="000000"/>
          <w:kern w:val="0"/>
          <w:sz w:val="24"/>
        </w:rPr>
        <w:t>公平交易专项说明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4.3.1</w:t>
        </w:r>
      </w:smartTag>
      <w:r w:rsidRPr="0097021E">
        <w:rPr>
          <w:rFonts w:ascii="宋体" w:hAnsi="宋体" w:hint="eastAsia"/>
          <w:sz w:val="24"/>
        </w:rPr>
        <w:t>公平交易制度的执行情况</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A15461">
        <w:rPr>
          <w:color w:val="000000"/>
          <w:sz w:val="24"/>
        </w:rPr>
        <w:t>“</w:t>
      </w:r>
      <w:r w:rsidRPr="00A15461">
        <w:rPr>
          <w:color w:val="000000"/>
          <w:sz w:val="24"/>
        </w:rPr>
        <w:t>时间优先、价格优先</w:t>
      </w:r>
      <w:r w:rsidRPr="00A15461">
        <w:rPr>
          <w:color w:val="000000"/>
          <w:sz w:val="24"/>
        </w:rPr>
        <w:t>”</w:t>
      </w:r>
      <w:r w:rsidRPr="00A15461">
        <w:rPr>
          <w:color w:val="000000"/>
          <w:sz w:val="24"/>
        </w:rPr>
        <w:t>作为执行指令的基本原则，通过投资交易系统中的公平交易模块，以尽可能确保公平对待各投资组合。本报告期内，公平交易制度总体执行情况良好。</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lastRenderedPageBreak/>
          <w:t>4.3.2</w:t>
        </w:r>
      </w:smartTag>
      <w:r w:rsidRPr="0097021E">
        <w:rPr>
          <w:rFonts w:ascii="宋体" w:hAnsi="宋体" w:hint="eastAsia"/>
          <w:sz w:val="24"/>
        </w:rPr>
        <w:t>异常交易行为的专项说明</w:t>
      </w:r>
    </w:p>
    <w:p w:rsidR="00B520CF" w:rsidRDefault="00560D0C">
      <w:pPr>
        <w:adjustRightInd w:val="0"/>
        <w:spacing w:line="360" w:lineRule="auto"/>
        <w:ind w:firstLineChars="200" w:firstLine="480"/>
        <w:rPr>
          <w:color w:val="000000"/>
          <w:sz w:val="24"/>
        </w:rPr>
      </w:pPr>
      <w:r>
        <w:rPr>
          <w:color w:val="000000"/>
          <w:sz w:val="24"/>
        </w:rPr>
        <w:t>本报告期内，公司旗下所有投资组合参与的交易所公开竞价交易中，同日反向交易</w:t>
      </w:r>
      <w:r>
        <w:rPr>
          <w:color w:val="000000"/>
          <w:sz w:val="24"/>
        </w:rPr>
        <w:t>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本报告期内，未发现本基金有可能导致不公平交易和利益输送的异常交易。</w:t>
      </w:r>
    </w:p>
    <w:p w:rsidR="00941F6C" w:rsidRPr="0097021E" w:rsidRDefault="00941F6C" w:rsidP="009A755D">
      <w:pPr>
        <w:spacing w:line="360" w:lineRule="auto"/>
        <w:rPr>
          <w:rFonts w:ascii="宋体" w:cs="Arial"/>
          <w:b/>
          <w:color w:val="000000"/>
          <w:kern w:val="0"/>
          <w:sz w:val="24"/>
        </w:rPr>
      </w:pPr>
      <w:r w:rsidRPr="0097021E">
        <w:rPr>
          <w:rFonts w:ascii="宋体" w:hAnsi="宋体" w:cs="Arial"/>
          <w:b/>
          <w:color w:val="000000"/>
          <w:kern w:val="0"/>
          <w:sz w:val="24"/>
        </w:rPr>
        <w:t xml:space="preserve">4.4 </w:t>
      </w:r>
      <w:r w:rsidRPr="0097021E">
        <w:rPr>
          <w:rFonts w:ascii="宋体" w:hAnsi="宋体" w:cs="Arial" w:hint="eastAsia"/>
          <w:b/>
          <w:color w:val="000000"/>
          <w:kern w:val="0"/>
          <w:sz w:val="24"/>
        </w:rPr>
        <w:t>报告期内基金的投资策略和业绩表现说明</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4.4.1</w:t>
        </w:r>
      </w:smartTag>
      <w:r w:rsidRPr="0097021E">
        <w:rPr>
          <w:rFonts w:ascii="宋体" w:hAnsi="宋体" w:hint="eastAsia"/>
          <w:sz w:val="24"/>
        </w:rPr>
        <w:t>报告期内基金投资策略和运作分析</w:t>
      </w:r>
    </w:p>
    <w:p w:rsidR="00B520CF" w:rsidRDefault="00560D0C">
      <w:pPr>
        <w:adjustRightInd w:val="0"/>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月，资金面波动加大，回购利率抬升显著。但是在海外市场货币政策宽松、国内制造</w:t>
      </w:r>
      <w:r>
        <w:rPr>
          <w:color w:val="000000"/>
          <w:sz w:val="24"/>
        </w:rPr>
        <w:t>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B520CF" w:rsidRDefault="00560D0C">
      <w:pPr>
        <w:adjustRightInd w:val="0"/>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总体来看，三季度债券市场收益率整体仍是以下行为主，货币政策仍维持稳健，货币市场利率没有进一步下行，货币市场基金收益率维持稳定。</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操作方面，报告期内基金以同业存单、同业存款、短期融资券、短期逆回购为主要配置资产。在三季度组合保持适中的剩余期限和杠杆率。总体来看，组合在三季度保持了较好的流动性和稳定的收益率。</w:t>
      </w:r>
    </w:p>
    <w:p w:rsidR="00941F6C" w:rsidRPr="0097021E" w:rsidRDefault="00941F6C" w:rsidP="009A755D">
      <w:pPr>
        <w:spacing w:line="360" w:lineRule="auto"/>
        <w:rPr>
          <w:rFonts w:ascii="宋体"/>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sz w:val="24"/>
          </w:rPr>
          <w:t>4.4.2</w:t>
        </w:r>
      </w:smartTag>
      <w:r w:rsidRPr="0097021E">
        <w:rPr>
          <w:rFonts w:ascii="宋体" w:hAnsi="宋体" w:hint="eastAsia"/>
          <w:sz w:val="24"/>
        </w:rPr>
        <w:t>报告期内基金的业绩表现</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本基金本报告期内</w:t>
      </w:r>
      <w:r w:rsidRPr="00A15461">
        <w:rPr>
          <w:color w:val="000000"/>
          <w:sz w:val="24"/>
        </w:rPr>
        <w:t>A</w:t>
      </w:r>
      <w:r w:rsidRPr="00A15461">
        <w:rPr>
          <w:color w:val="000000"/>
          <w:sz w:val="24"/>
        </w:rPr>
        <w:t>类基金份额净值收益率为</w:t>
      </w:r>
      <w:r w:rsidRPr="00A15461">
        <w:rPr>
          <w:color w:val="000000"/>
          <w:sz w:val="24"/>
        </w:rPr>
        <w:t>0.5683%</w:t>
      </w:r>
      <w:r w:rsidRPr="00A15461">
        <w:rPr>
          <w:color w:val="000000"/>
          <w:sz w:val="24"/>
        </w:rPr>
        <w:t>；</w:t>
      </w:r>
      <w:r w:rsidRPr="00A15461">
        <w:rPr>
          <w:color w:val="000000"/>
          <w:sz w:val="24"/>
        </w:rPr>
        <w:t>B</w:t>
      </w:r>
      <w:r w:rsidRPr="00A15461">
        <w:rPr>
          <w:color w:val="000000"/>
          <w:sz w:val="24"/>
        </w:rPr>
        <w:t>类基金份额净值收益率为</w:t>
      </w:r>
      <w:r w:rsidRPr="00A15461">
        <w:rPr>
          <w:color w:val="000000"/>
          <w:sz w:val="24"/>
        </w:rPr>
        <w:t>0.6291%</w:t>
      </w:r>
      <w:r w:rsidRPr="00A15461">
        <w:rPr>
          <w:color w:val="000000"/>
          <w:sz w:val="24"/>
        </w:rPr>
        <w:t>；同期业绩比较基准收益率为</w:t>
      </w:r>
      <w:r w:rsidRPr="00A15461">
        <w:rPr>
          <w:color w:val="000000"/>
          <w:sz w:val="24"/>
        </w:rPr>
        <w:t>0.3456%</w:t>
      </w:r>
      <w:r w:rsidRPr="00A15461">
        <w:rPr>
          <w:color w:val="000000"/>
          <w:sz w:val="24"/>
        </w:rPr>
        <w:t>。</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5  </w:t>
      </w:r>
      <w:r w:rsidRPr="0097021E">
        <w:rPr>
          <w:rFonts w:ascii="宋体" w:hAnsi="宋体" w:cs="Arial" w:hint="eastAsia"/>
          <w:color w:val="000000"/>
          <w:kern w:val="0"/>
          <w:sz w:val="24"/>
          <w:szCs w:val="24"/>
        </w:rPr>
        <w:t>投资组合报告</w:t>
      </w:r>
    </w:p>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 xml:space="preserve">5.1 </w:t>
      </w:r>
      <w:r w:rsidRPr="0097021E">
        <w:rPr>
          <w:rFonts w:ascii="宋体" w:hAnsi="宋体" w:cs="Arial" w:hint="eastAsia"/>
          <w:b/>
          <w:color w:val="000000"/>
          <w:kern w:val="0"/>
          <w:sz w:val="24"/>
        </w:rPr>
        <w:t>报告期末基金资产组合情况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3119"/>
        <w:gridCol w:w="1843"/>
      </w:tblGrid>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序号</w:t>
            </w:r>
          </w:p>
        </w:tc>
        <w:tc>
          <w:tcPr>
            <w:tcW w:w="3357"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项目</w:t>
            </w:r>
          </w:p>
        </w:tc>
        <w:tc>
          <w:tcPr>
            <w:tcW w:w="3119"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金额</w:t>
            </w:r>
            <w:r w:rsidR="00DC22A1" w:rsidRPr="00A15461">
              <w:rPr>
                <w:color w:val="000000"/>
                <w:sz w:val="24"/>
              </w:rPr>
              <w:t>（元）</w:t>
            </w:r>
          </w:p>
        </w:tc>
        <w:tc>
          <w:tcPr>
            <w:tcW w:w="1843"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占基金总资产</w:t>
            </w:r>
            <w:r w:rsidRPr="00A15461">
              <w:rPr>
                <w:color w:val="000000"/>
                <w:sz w:val="24"/>
              </w:rPr>
              <w:lastRenderedPageBreak/>
              <w:t>的比例</w:t>
            </w: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lastRenderedPageBreak/>
              <w:t>1</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固定收益投资</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1,203,743,344.86</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50.34</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其中：债券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1,203,743,344.86</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50.34</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autoSpaceDE w:val="0"/>
              <w:autoSpaceDN w:val="0"/>
              <w:adjustRightInd w:val="0"/>
              <w:spacing w:before="29" w:line="360" w:lineRule="auto"/>
              <w:ind w:left="17"/>
              <w:jc w:val="left"/>
              <w:rPr>
                <w:color w:val="000000"/>
                <w:sz w:val="24"/>
              </w:rPr>
            </w:pPr>
            <w:r w:rsidRPr="00A15461">
              <w:rPr>
                <w:color w:val="000000"/>
                <w:sz w:val="24"/>
              </w:rPr>
              <w:t>资产支持证券</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2</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856,421,164.63</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35.81</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其中：买断式回购的买入返售金融资产</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3</w:t>
            </w:r>
          </w:p>
        </w:tc>
        <w:tc>
          <w:tcPr>
            <w:tcW w:w="3357" w:type="dxa"/>
            <w:vAlign w:val="center"/>
          </w:tcPr>
          <w:p w:rsidR="00941F6C" w:rsidRPr="00A15461" w:rsidRDefault="00941F6C" w:rsidP="00196812">
            <w:pPr>
              <w:spacing w:before="29" w:line="360" w:lineRule="auto"/>
              <w:ind w:left="17"/>
              <w:jc w:val="left"/>
              <w:rPr>
                <w:sz w:val="24"/>
              </w:rPr>
            </w:pPr>
            <w:r w:rsidRPr="00A15461">
              <w:rPr>
                <w:color w:val="000000"/>
                <w:sz w:val="24"/>
              </w:rPr>
              <w:t>银行存款和结算备付金合计</w:t>
            </w:r>
          </w:p>
        </w:tc>
        <w:tc>
          <w:tcPr>
            <w:tcW w:w="3119"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316,788,044.10</w:t>
            </w:r>
          </w:p>
        </w:tc>
        <w:tc>
          <w:tcPr>
            <w:tcW w:w="1843" w:type="dxa"/>
            <w:vAlign w:val="center"/>
          </w:tcPr>
          <w:p w:rsidR="00941F6C" w:rsidRPr="00A15461" w:rsidRDefault="00941F6C" w:rsidP="00196812">
            <w:pPr>
              <w:spacing w:before="29" w:line="360" w:lineRule="auto"/>
              <w:ind w:left="17"/>
              <w:jc w:val="right"/>
              <w:rPr>
                <w:color w:val="000000"/>
                <w:sz w:val="24"/>
              </w:rPr>
            </w:pPr>
            <w:r w:rsidRPr="00A15461">
              <w:rPr>
                <w:color w:val="000000"/>
                <w:sz w:val="24"/>
              </w:rPr>
              <w:t>13.25</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4</w:t>
            </w:r>
          </w:p>
        </w:tc>
        <w:tc>
          <w:tcPr>
            <w:tcW w:w="3357" w:type="dxa"/>
            <w:vAlign w:val="center"/>
          </w:tcPr>
          <w:p w:rsidR="00941F6C" w:rsidRPr="00A15461" w:rsidRDefault="00941F6C" w:rsidP="00196812">
            <w:pPr>
              <w:spacing w:line="360" w:lineRule="auto"/>
              <w:jc w:val="left"/>
              <w:rPr>
                <w:sz w:val="24"/>
              </w:rPr>
            </w:pPr>
            <w:r w:rsidRPr="00A15461">
              <w:rPr>
                <w:color w:val="000000"/>
                <w:sz w:val="24"/>
              </w:rPr>
              <w:t>其他资产</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14,321,519.18</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0.60</w:t>
            </w:r>
          </w:p>
        </w:tc>
      </w:tr>
      <w:tr w:rsidR="00941F6C" w:rsidRPr="0097021E" w:rsidTr="000A7480">
        <w:tc>
          <w:tcPr>
            <w:tcW w:w="720" w:type="dxa"/>
            <w:vAlign w:val="center"/>
          </w:tcPr>
          <w:p w:rsidR="00941F6C" w:rsidRPr="00A15461" w:rsidRDefault="00941F6C" w:rsidP="00196812">
            <w:pPr>
              <w:spacing w:before="29" w:line="360" w:lineRule="auto"/>
              <w:ind w:left="17"/>
              <w:jc w:val="center"/>
              <w:rPr>
                <w:color w:val="000000"/>
                <w:sz w:val="24"/>
              </w:rPr>
            </w:pPr>
            <w:r w:rsidRPr="00A15461">
              <w:rPr>
                <w:color w:val="000000"/>
                <w:sz w:val="24"/>
              </w:rPr>
              <w:t>5</w:t>
            </w:r>
          </w:p>
        </w:tc>
        <w:tc>
          <w:tcPr>
            <w:tcW w:w="3357" w:type="dxa"/>
            <w:vAlign w:val="center"/>
          </w:tcPr>
          <w:p w:rsidR="00941F6C" w:rsidRPr="00A15461" w:rsidRDefault="00941F6C" w:rsidP="00196812">
            <w:pPr>
              <w:spacing w:line="360" w:lineRule="auto"/>
              <w:jc w:val="left"/>
              <w:rPr>
                <w:sz w:val="24"/>
              </w:rPr>
            </w:pPr>
            <w:r w:rsidRPr="00A15461">
              <w:rPr>
                <w:color w:val="000000"/>
                <w:sz w:val="24"/>
              </w:rPr>
              <w:t>合计</w:t>
            </w:r>
          </w:p>
        </w:tc>
        <w:tc>
          <w:tcPr>
            <w:tcW w:w="3119" w:type="dxa"/>
            <w:vAlign w:val="center"/>
          </w:tcPr>
          <w:p w:rsidR="00941F6C" w:rsidRPr="00A15461" w:rsidRDefault="00941F6C" w:rsidP="00196812">
            <w:pPr>
              <w:spacing w:line="360" w:lineRule="auto"/>
              <w:jc w:val="right"/>
              <w:rPr>
                <w:color w:val="000000"/>
                <w:sz w:val="24"/>
              </w:rPr>
            </w:pPr>
            <w:r w:rsidRPr="00A15461">
              <w:rPr>
                <w:color w:val="000000"/>
                <w:sz w:val="24"/>
              </w:rPr>
              <w:t>2,391,274,072.77</w:t>
            </w:r>
          </w:p>
        </w:tc>
        <w:tc>
          <w:tcPr>
            <w:tcW w:w="1843" w:type="dxa"/>
            <w:vAlign w:val="center"/>
          </w:tcPr>
          <w:p w:rsidR="00941F6C" w:rsidRPr="00A15461" w:rsidRDefault="00941F6C" w:rsidP="00196812">
            <w:pPr>
              <w:spacing w:line="360" w:lineRule="auto"/>
              <w:jc w:val="right"/>
              <w:rPr>
                <w:color w:val="000000"/>
                <w:sz w:val="24"/>
              </w:rPr>
            </w:pPr>
            <w:r w:rsidRPr="00A15461">
              <w:rPr>
                <w:color w:val="000000"/>
                <w:sz w:val="24"/>
              </w:rPr>
              <w:t>100.00</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5.2 </w:t>
      </w:r>
      <w:r w:rsidRPr="0097021E">
        <w:rPr>
          <w:rFonts w:ascii="宋体" w:hAnsi="宋体" w:cs="Arial" w:hint="eastAsia"/>
          <w:b/>
          <w:color w:val="000000"/>
          <w:kern w:val="0"/>
          <w:sz w:val="24"/>
        </w:rPr>
        <w:t>报告期债券回购融资情况</w:t>
      </w:r>
    </w:p>
    <w:tbl>
      <w:tblPr>
        <w:tblW w:w="0" w:type="auto"/>
        <w:tblInd w:w="108" w:type="dxa"/>
        <w:tblLayout w:type="fixed"/>
        <w:tblLook w:val="0000" w:firstRow="0" w:lastRow="0" w:firstColumn="0" w:lastColumn="0" w:noHBand="0" w:noVBand="0"/>
      </w:tblPr>
      <w:tblGrid>
        <w:gridCol w:w="861"/>
        <w:gridCol w:w="3108"/>
        <w:gridCol w:w="2977"/>
        <w:gridCol w:w="2126"/>
      </w:tblGrid>
      <w:tr w:rsidR="00941F6C" w:rsidRPr="0097021E" w:rsidTr="00F11244">
        <w:tc>
          <w:tcPr>
            <w:tcW w:w="86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项目</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占基金资产净值的比例（％）</w:t>
            </w:r>
          </w:p>
        </w:tc>
      </w:tr>
      <w:tr w:rsidR="00941F6C" w:rsidRPr="0097021E" w:rsidTr="00F11244">
        <w:tc>
          <w:tcPr>
            <w:tcW w:w="861" w:type="dxa"/>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kern w:val="0"/>
                <w:sz w:val="24"/>
              </w:rPr>
            </w:pPr>
            <w:r w:rsidRPr="00A15461">
              <w:rPr>
                <w:color w:val="000000"/>
                <w:kern w:val="0"/>
                <w:sz w:val="24"/>
              </w:rPr>
              <w:t>1</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报告期内债券回购融资余额</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3.28</w:t>
            </w:r>
          </w:p>
        </w:tc>
      </w:tr>
      <w:tr w:rsidR="00941F6C" w:rsidRPr="0097021E" w:rsidTr="00F11244">
        <w:trPr>
          <w:trHeight w:val="712"/>
        </w:trPr>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5103" w:type="dxa"/>
            <w:gridSpan w:val="2"/>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r w:rsidR="00941F6C" w:rsidRPr="0097021E" w:rsidTr="00F11244">
        <w:tc>
          <w:tcPr>
            <w:tcW w:w="861" w:type="dxa"/>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kern w:val="0"/>
                <w:sz w:val="24"/>
              </w:rPr>
              <w:t>序号</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金额</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color w:val="000000"/>
                <w:kern w:val="0"/>
                <w:sz w:val="24"/>
              </w:rPr>
              <w:t>占基金资产净值的比例（％）</w:t>
            </w:r>
          </w:p>
        </w:tc>
      </w:tr>
      <w:tr w:rsidR="00941F6C" w:rsidRPr="0097021E" w:rsidTr="00F11244">
        <w:tc>
          <w:tcPr>
            <w:tcW w:w="861" w:type="dxa"/>
            <w:vMerge w:val="restart"/>
            <w:tcBorders>
              <w:top w:val="single" w:sz="8" w:space="0" w:color="000000"/>
              <w:left w:val="single" w:sz="8" w:space="0" w:color="000000"/>
              <w:right w:val="single" w:sz="8" w:space="0" w:color="000000"/>
            </w:tcBorders>
            <w:vAlign w:val="center"/>
          </w:tcPr>
          <w:p w:rsidR="00941F6C" w:rsidRPr="00A15461" w:rsidRDefault="00941F6C" w:rsidP="00196812">
            <w:pPr>
              <w:spacing w:line="360" w:lineRule="auto"/>
              <w:rPr>
                <w:color w:val="000000"/>
                <w:sz w:val="24"/>
              </w:rPr>
            </w:pPr>
            <w:r w:rsidRPr="00A15461">
              <w:rPr>
                <w:color w:val="000000"/>
                <w:sz w:val="24"/>
              </w:rPr>
              <w:t>2</w:t>
            </w: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报告期末债券回购融资余额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100,351,649.47</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4.38</w:t>
            </w:r>
          </w:p>
        </w:tc>
      </w:tr>
      <w:tr w:rsidR="00941F6C" w:rsidRPr="0097021E" w:rsidTr="00F11244">
        <w:tc>
          <w:tcPr>
            <w:tcW w:w="861" w:type="dxa"/>
            <w:vMerge/>
            <w:tcBorders>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color w:val="000000"/>
                <w:sz w:val="24"/>
              </w:rPr>
            </w:pPr>
          </w:p>
        </w:tc>
        <w:tc>
          <w:tcPr>
            <w:tcW w:w="3108" w:type="dxa"/>
            <w:tcBorders>
              <w:top w:val="single" w:sz="8" w:space="0" w:color="000000"/>
              <w:left w:val="single" w:sz="8" w:space="0" w:color="000000"/>
              <w:bottom w:val="single" w:sz="8" w:space="0" w:color="000000"/>
              <w:right w:val="single" w:sz="8" w:space="0" w:color="000000"/>
            </w:tcBorders>
          </w:tcPr>
          <w:p w:rsidR="00941F6C" w:rsidRPr="00A15461" w:rsidRDefault="00941F6C" w:rsidP="00196812">
            <w:pPr>
              <w:spacing w:line="360" w:lineRule="auto"/>
              <w:rPr>
                <w:sz w:val="24"/>
              </w:rPr>
            </w:pPr>
            <w:r w:rsidRPr="00A15461">
              <w:rPr>
                <w:sz w:val="24"/>
              </w:rPr>
              <w:t>其中：买断式回购融资</w:t>
            </w:r>
          </w:p>
        </w:tc>
        <w:tc>
          <w:tcPr>
            <w:tcW w:w="2977"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rPr>
                <w:sz w:val="24"/>
              </w:rPr>
            </w:pPr>
            <w:r w:rsidRPr="00A15461">
              <w:rPr>
                <w:sz w:val="24"/>
              </w:rPr>
              <w:t>-</w:t>
            </w:r>
          </w:p>
        </w:tc>
      </w:tr>
    </w:tbl>
    <w:p w:rsidR="00941F6C" w:rsidRPr="00A15461" w:rsidRDefault="00941F6C" w:rsidP="00A15461">
      <w:pPr>
        <w:adjustRightInd w:val="0"/>
        <w:spacing w:line="360" w:lineRule="auto"/>
        <w:ind w:firstLineChars="200" w:firstLine="480"/>
        <w:rPr>
          <w:color w:val="000000"/>
          <w:sz w:val="24"/>
        </w:rPr>
      </w:pPr>
      <w:r w:rsidRPr="00A15461">
        <w:rPr>
          <w:color w:val="000000"/>
          <w:sz w:val="24"/>
        </w:rPr>
        <w:t>注：上表中报告期内债券回购融资余额占基金资产净值的比例为报告期内每个交易日融资余额占基金资产净值比例的简单平均值。</w:t>
      </w:r>
    </w:p>
    <w:p w:rsidR="00941F6C" w:rsidRPr="003A0EC1" w:rsidRDefault="00941F6C" w:rsidP="00196812">
      <w:pPr>
        <w:spacing w:line="360" w:lineRule="auto"/>
        <w:rPr>
          <w:rFonts w:ascii="宋体" w:cs="Arial"/>
          <w:b/>
          <w:color w:val="000000"/>
          <w:kern w:val="0"/>
          <w:sz w:val="24"/>
        </w:rPr>
      </w:pPr>
      <w:r w:rsidRPr="003A0EC1">
        <w:rPr>
          <w:rFonts w:ascii="宋体" w:hAnsi="宋体" w:cs="Arial" w:hint="eastAsia"/>
          <w:b/>
          <w:color w:val="000000"/>
          <w:kern w:val="0"/>
          <w:sz w:val="24"/>
        </w:rPr>
        <w:t>债券正回购的资金余额超过基金资产净值的</w:t>
      </w:r>
      <w:r w:rsidRPr="003A0EC1">
        <w:rPr>
          <w:rFonts w:ascii="宋体" w:hAnsi="宋体" w:cs="Arial"/>
          <w:b/>
          <w:color w:val="000000"/>
          <w:kern w:val="0"/>
          <w:sz w:val="24"/>
        </w:rPr>
        <w:t>20</w:t>
      </w:r>
      <w:r w:rsidRPr="003A0EC1">
        <w:rPr>
          <w:rFonts w:ascii="宋体" w:hAnsi="宋体" w:cs="Arial" w:hint="eastAsia"/>
          <w:b/>
          <w:color w:val="000000"/>
          <w:kern w:val="0"/>
          <w:sz w:val="24"/>
        </w:rPr>
        <w:t>％的说明</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在本报告期内本货币市场基金债券正回购的资金余额未超过资产净值的</w:t>
      </w:r>
      <w:r w:rsidRPr="00A15461">
        <w:rPr>
          <w:color w:val="000000"/>
          <w:sz w:val="24"/>
        </w:rPr>
        <w:t>20%</w:t>
      </w:r>
      <w:r w:rsidRPr="00A15461">
        <w:rPr>
          <w:color w:val="000000"/>
          <w:sz w:val="24"/>
        </w:rPr>
        <w:t>。</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 </w:t>
      </w:r>
      <w:r w:rsidRPr="0097021E">
        <w:rPr>
          <w:rFonts w:ascii="宋体" w:hAnsi="宋体" w:cs="Arial" w:hint="eastAsia"/>
          <w:b/>
          <w:color w:val="000000"/>
          <w:kern w:val="0"/>
          <w:sz w:val="24"/>
        </w:rPr>
        <w:t>基金投资组合平均剩余期限</w:t>
      </w:r>
    </w:p>
    <w:p w:rsidR="00941F6C" w:rsidRPr="0097021E" w:rsidRDefault="00941F6C" w:rsidP="00196812">
      <w:pPr>
        <w:spacing w:line="360" w:lineRule="auto"/>
        <w:rPr>
          <w:rFonts w:ascii="宋体" w:cs="Arial"/>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97021E">
          <w:rPr>
            <w:rFonts w:ascii="宋体" w:hAnsi="宋体" w:cs="Arial"/>
            <w:b/>
            <w:color w:val="000000"/>
            <w:kern w:val="0"/>
            <w:sz w:val="24"/>
          </w:rPr>
          <w:t>5.3.1</w:t>
        </w:r>
      </w:smartTag>
      <w:r w:rsidRPr="0097021E">
        <w:rPr>
          <w:rFonts w:ascii="宋体" w:hAnsi="宋体" w:cs="Arial" w:hint="eastAsia"/>
          <w:b/>
          <w:color w:val="000000"/>
          <w:kern w:val="0"/>
          <w:sz w:val="24"/>
        </w:rPr>
        <w:t>投资组合平均剩余期限基本情况</w:t>
      </w:r>
    </w:p>
    <w:tbl>
      <w:tblPr>
        <w:tblW w:w="0" w:type="auto"/>
        <w:tblInd w:w="108" w:type="dxa"/>
        <w:tblLayout w:type="fixed"/>
        <w:tblLook w:val="0000" w:firstRow="0" w:lastRow="0" w:firstColumn="0" w:lastColumn="0" w:noHBand="0" w:noVBand="0"/>
      </w:tblPr>
      <w:tblGrid>
        <w:gridCol w:w="4056"/>
        <w:gridCol w:w="5016"/>
      </w:tblGrid>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天数</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报告期末投资组合平均剩余期限</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87</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lastRenderedPageBreak/>
              <w:t>报告期内投资组合平均剩余期限最高值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jc w:val="right"/>
              <w:rPr>
                <w:sz w:val="24"/>
              </w:rPr>
            </w:pPr>
            <w:r w:rsidRPr="00A15461">
              <w:rPr>
                <w:sz w:val="24"/>
              </w:rPr>
              <w:t>89</w:t>
            </w:r>
          </w:p>
        </w:tc>
      </w:tr>
      <w:tr w:rsidR="00941F6C" w:rsidRPr="0097021E" w:rsidTr="00F11244">
        <w:tc>
          <w:tcPr>
            <w:tcW w:w="405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报告期内投资组合平均剩余期限最低值</w:t>
            </w:r>
          </w:p>
        </w:tc>
        <w:tc>
          <w:tcPr>
            <w:tcW w:w="5016"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spacing w:line="360" w:lineRule="auto"/>
              <w:ind w:right="120"/>
              <w:jc w:val="right"/>
              <w:rPr>
                <w:sz w:val="24"/>
              </w:rPr>
            </w:pPr>
            <w:r w:rsidRPr="00A15461">
              <w:rPr>
                <w:sz w:val="24"/>
              </w:rPr>
              <w:t>70</w:t>
            </w:r>
          </w:p>
        </w:tc>
      </w:tr>
    </w:tbl>
    <w:p w:rsidR="00941F6C" w:rsidRPr="003A0EC1" w:rsidRDefault="00941F6C" w:rsidP="003A0EC1">
      <w:pPr>
        <w:spacing w:line="360" w:lineRule="auto"/>
        <w:rPr>
          <w:rFonts w:ascii="宋体" w:cs="Arial"/>
          <w:b/>
          <w:color w:val="000000"/>
          <w:kern w:val="0"/>
          <w:sz w:val="24"/>
        </w:rPr>
      </w:pPr>
      <w:r w:rsidRPr="003A0EC1">
        <w:rPr>
          <w:rFonts w:ascii="宋体" w:hAnsi="宋体" w:cs="Arial" w:hint="eastAsia"/>
          <w:b/>
          <w:color w:val="000000"/>
          <w:kern w:val="0"/>
          <w:sz w:val="24"/>
        </w:rPr>
        <w:t>报告期内投资组合平均剩余期限超过</w:t>
      </w:r>
      <w:r w:rsidRPr="003A0EC1">
        <w:rPr>
          <w:rFonts w:ascii="宋体" w:hAnsi="宋体" w:cs="Arial"/>
          <w:b/>
          <w:color w:val="000000"/>
          <w:kern w:val="0"/>
          <w:sz w:val="24"/>
        </w:rPr>
        <w:t>1</w:t>
      </w:r>
      <w:r w:rsidR="008E6C59">
        <w:rPr>
          <w:rFonts w:ascii="宋体" w:hAnsi="宋体" w:cs="Arial" w:hint="eastAsia"/>
          <w:b/>
          <w:color w:val="000000"/>
          <w:kern w:val="0"/>
          <w:sz w:val="24"/>
        </w:rPr>
        <w:t>2</w:t>
      </w:r>
      <w:r w:rsidRPr="003A0EC1">
        <w:rPr>
          <w:rFonts w:ascii="宋体" w:hAnsi="宋体" w:cs="Arial"/>
          <w:b/>
          <w:color w:val="000000"/>
          <w:kern w:val="0"/>
          <w:sz w:val="24"/>
        </w:rPr>
        <w:t>0</w:t>
      </w:r>
      <w:r w:rsidRPr="003A0EC1">
        <w:rPr>
          <w:rFonts w:ascii="宋体" w:hAnsi="宋体" w:cs="Arial" w:hint="eastAsia"/>
          <w:b/>
          <w:color w:val="000000"/>
          <w:kern w:val="0"/>
          <w:sz w:val="24"/>
        </w:rPr>
        <w:t>天情况说明</w:t>
      </w:r>
    </w:p>
    <w:p w:rsidR="008E6C59" w:rsidRPr="008E6C59" w:rsidRDefault="008E6C59" w:rsidP="008E6C59">
      <w:pPr>
        <w:adjustRightInd w:val="0"/>
        <w:spacing w:line="360" w:lineRule="auto"/>
        <w:ind w:firstLineChars="200" w:firstLine="480"/>
        <w:rPr>
          <w:color w:val="000000"/>
          <w:sz w:val="24"/>
        </w:rPr>
      </w:pPr>
      <w:r w:rsidRPr="008E6C59">
        <w:rPr>
          <w:rFonts w:hint="eastAsia"/>
          <w:color w:val="000000"/>
          <w:sz w:val="24"/>
        </w:rPr>
        <w:t>本报告期内本货币市场基金投资组合平均剩余期限未超过</w:t>
      </w:r>
      <w:r w:rsidRPr="008E6C59">
        <w:rPr>
          <w:rFonts w:hint="eastAsia"/>
          <w:color w:val="000000"/>
          <w:sz w:val="24"/>
        </w:rPr>
        <w:t>120</w:t>
      </w:r>
      <w:r w:rsidRPr="008E6C59">
        <w:rPr>
          <w:rFonts w:hint="eastAsia"/>
          <w:color w:val="000000"/>
          <w:sz w:val="24"/>
        </w:rPr>
        <w:t>天。</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 xml:space="preserve">5.3.2 </w:t>
      </w:r>
      <w:r w:rsidRPr="0097021E">
        <w:rPr>
          <w:rFonts w:ascii="宋体" w:hAnsi="宋体" w:cs="Arial" w:hint="eastAsia"/>
          <w:b/>
          <w:color w:val="000000"/>
          <w:kern w:val="0"/>
          <w:sz w:val="24"/>
        </w:rPr>
        <w:t>报告期末投资组合平均剩余期限分布比例</w:t>
      </w:r>
    </w:p>
    <w:tbl>
      <w:tblPr>
        <w:tblW w:w="0" w:type="auto"/>
        <w:tblInd w:w="108" w:type="dxa"/>
        <w:tblLayout w:type="fixed"/>
        <w:tblLook w:val="0000" w:firstRow="0" w:lastRow="0" w:firstColumn="0" w:lastColumn="0" w:noHBand="0" w:noVBand="0"/>
      </w:tblPr>
      <w:tblGrid>
        <w:gridCol w:w="851"/>
        <w:gridCol w:w="3351"/>
        <w:gridCol w:w="2529"/>
        <w:gridCol w:w="2431"/>
      </w:tblGrid>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各期限资产占基金资产净值的比例（</w:t>
            </w:r>
            <w:r w:rsidRPr="00A15461">
              <w:rPr>
                <w:color w:val="000000"/>
                <w:kern w:val="0"/>
                <w:sz w:val="24"/>
              </w:rPr>
              <w:t>%</w:t>
            </w:r>
            <w:r w:rsidRPr="00A15461">
              <w:rPr>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各期限负债占基金资产净值的比例（％）</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41.12</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4.38</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30</w:t>
            </w:r>
            <w:r w:rsidRPr="00A15461">
              <w:rPr>
                <w:color w:val="000000"/>
                <w:sz w:val="24"/>
              </w:rPr>
              <w:t>天（含）</w:t>
            </w:r>
            <w:r w:rsidRPr="00A15461">
              <w:rPr>
                <w:color w:val="000000"/>
                <w:sz w:val="24"/>
              </w:rPr>
              <w:t>—60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6.99</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r w:rsidRPr="00A15461">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60</w:t>
            </w:r>
            <w:r w:rsidRPr="00A15461">
              <w:rPr>
                <w:color w:val="000000"/>
                <w:sz w:val="24"/>
              </w:rPr>
              <w:t>天（含）</w:t>
            </w:r>
            <w:r w:rsidRPr="00A15461">
              <w:rPr>
                <w:color w:val="000000"/>
                <w:sz w:val="24"/>
              </w:rPr>
              <w:t>—90</w:t>
            </w:r>
            <w:r w:rsidRPr="00A15461">
              <w:rPr>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10.69</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941F6C"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sz w:val="24"/>
              </w:rPr>
            </w:pPr>
            <w:r w:rsidRPr="00A15461">
              <w:rPr>
                <w:color w:val="000000"/>
                <w:sz w:val="24"/>
              </w:rPr>
              <w:t>其中：剩余存续期超过</w:t>
            </w:r>
            <w:r w:rsidRPr="00A15461">
              <w:rPr>
                <w:color w:val="000000"/>
                <w:sz w:val="24"/>
              </w:rPr>
              <w:t>397</w:t>
            </w:r>
            <w:r w:rsidRPr="00A15461">
              <w:rPr>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right"/>
              <w:rPr>
                <w:color w:val="000000"/>
                <w:kern w:val="0"/>
                <w:sz w:val="24"/>
              </w:rPr>
            </w:pPr>
            <w:r w:rsidRPr="00A15461">
              <w:rPr>
                <w:color w:val="000000"/>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90</w:t>
            </w:r>
            <w:r w:rsidRPr="00E5550E">
              <w:rPr>
                <w:rFonts w:eastAsiaTheme="minorEastAsia"/>
                <w:color w:val="000000" w:themeColor="text1"/>
                <w:sz w:val="24"/>
              </w:rPr>
              <w:t>天（含）</w:t>
            </w:r>
            <w:r w:rsidRPr="00E5550E">
              <w:rPr>
                <w:rFonts w:eastAsiaTheme="minorEastAsia"/>
                <w:color w:val="000000" w:themeColor="text1"/>
                <w:sz w:val="24"/>
              </w:rPr>
              <w:t>—120</w:t>
            </w:r>
            <w:r w:rsidRPr="00E5550E">
              <w:rPr>
                <w:rFonts w:eastAsiaTheme="minorEastAsia"/>
                <w:color w:val="000000" w:themeColor="text1"/>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11.71</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r w:rsidRPr="00A15461">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120</w:t>
            </w:r>
            <w:r w:rsidRPr="00E5550E">
              <w:rPr>
                <w:rFonts w:eastAsiaTheme="minorEastAsia"/>
                <w:color w:val="000000" w:themeColor="text1"/>
                <w:sz w:val="24"/>
              </w:rPr>
              <w:t>天（含）</w:t>
            </w:r>
            <w:r w:rsidRPr="00E5550E">
              <w:rPr>
                <w:rFonts w:eastAsiaTheme="minorEastAsia"/>
                <w:color w:val="000000" w:themeColor="text1"/>
                <w:sz w:val="24"/>
              </w:rPr>
              <w:t>—397</w:t>
            </w:r>
            <w:r w:rsidRPr="00E5550E">
              <w:rPr>
                <w:rFonts w:eastAsiaTheme="minorEastAsia"/>
                <w:color w:val="000000" w:themeColor="text1"/>
                <w:sz w:val="24"/>
              </w:rPr>
              <w:t>天（含）</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33.33</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E5550E" w:rsidRPr="0097021E" w:rsidTr="00F11244">
        <w:tc>
          <w:tcPr>
            <w:tcW w:w="851" w:type="dxa"/>
            <w:tcBorders>
              <w:top w:val="single" w:sz="8" w:space="0" w:color="000000"/>
              <w:left w:val="single" w:sz="8" w:space="0" w:color="000000"/>
              <w:bottom w:val="single" w:sz="8" w:space="0" w:color="000000"/>
              <w:right w:val="single" w:sz="8" w:space="0" w:color="000000"/>
            </w:tcBorders>
            <w:vAlign w:val="center"/>
          </w:tcPr>
          <w:p w:rsidR="00E5550E" w:rsidRPr="00A15461" w:rsidRDefault="00E5550E" w:rsidP="00196812">
            <w:pPr>
              <w:autoSpaceDE w:val="0"/>
              <w:autoSpaceDN w:val="0"/>
              <w:adjustRightInd w:val="0"/>
              <w:spacing w:before="29" w:line="360"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left"/>
              <w:rPr>
                <w:rFonts w:eastAsiaTheme="minorEastAsia"/>
                <w:color w:val="000000" w:themeColor="text1"/>
                <w:sz w:val="24"/>
              </w:rPr>
            </w:pPr>
            <w:r w:rsidRPr="00E5550E">
              <w:rPr>
                <w:rFonts w:eastAsiaTheme="minorEastAsia"/>
                <w:color w:val="000000" w:themeColor="text1"/>
                <w:sz w:val="24"/>
              </w:rPr>
              <w:t>其中：剩余存续期超过</w:t>
            </w:r>
            <w:r w:rsidRPr="00E5550E">
              <w:rPr>
                <w:rFonts w:eastAsiaTheme="minorEastAsia"/>
                <w:color w:val="000000" w:themeColor="text1"/>
                <w:sz w:val="24"/>
              </w:rPr>
              <w:t>397</w:t>
            </w:r>
            <w:r w:rsidRPr="00E5550E">
              <w:rPr>
                <w:rFonts w:eastAsiaTheme="minorEastAsia"/>
                <w:color w:val="000000" w:themeColor="text1"/>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E5550E" w:rsidRPr="00E5550E" w:rsidRDefault="00E5550E" w:rsidP="009000E6">
            <w:pPr>
              <w:autoSpaceDE w:val="0"/>
              <w:autoSpaceDN w:val="0"/>
              <w:adjustRightInd w:val="0"/>
              <w:spacing w:before="29" w:line="360" w:lineRule="auto"/>
              <w:ind w:left="15"/>
              <w:jc w:val="right"/>
              <w:rPr>
                <w:rFonts w:eastAsiaTheme="minorEastAsia"/>
                <w:color w:val="000000" w:themeColor="text1"/>
                <w:kern w:val="0"/>
                <w:sz w:val="24"/>
              </w:rPr>
            </w:pPr>
            <w:r w:rsidRPr="00E5550E">
              <w:rPr>
                <w:rFonts w:eastAsiaTheme="minorEastAsia"/>
                <w:color w:val="000000" w:themeColor="text1"/>
                <w:sz w:val="24"/>
              </w:rPr>
              <w:t>-</w:t>
            </w:r>
          </w:p>
        </w:tc>
      </w:tr>
      <w:tr w:rsidR="004B40EC" w:rsidRPr="0097021E" w:rsidTr="00F11244">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196812">
            <w:pPr>
              <w:autoSpaceDE w:val="0"/>
              <w:autoSpaceDN w:val="0"/>
              <w:adjustRightInd w:val="0"/>
              <w:spacing w:before="29" w:line="360" w:lineRule="auto"/>
              <w:ind w:left="15"/>
              <w:jc w:val="center"/>
              <w:rPr>
                <w:color w:val="000000"/>
                <w:sz w:val="24"/>
              </w:rPr>
            </w:pPr>
            <w:r w:rsidRPr="004B40EC">
              <w:rPr>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103.84</w:t>
            </w:r>
          </w:p>
        </w:tc>
        <w:tc>
          <w:tcPr>
            <w:tcW w:w="2431" w:type="dxa"/>
            <w:tcBorders>
              <w:top w:val="single" w:sz="8" w:space="0" w:color="000000"/>
              <w:left w:val="single" w:sz="8" w:space="0" w:color="000000"/>
              <w:bottom w:val="single" w:sz="8" w:space="0" w:color="000000"/>
              <w:right w:val="single" w:sz="8" w:space="0" w:color="000000"/>
            </w:tcBorders>
            <w:vAlign w:val="center"/>
          </w:tcPr>
          <w:p w:rsidR="004B40EC" w:rsidRPr="004B40EC" w:rsidRDefault="004B40EC" w:rsidP="007C1713">
            <w:pPr>
              <w:autoSpaceDE w:val="0"/>
              <w:autoSpaceDN w:val="0"/>
              <w:adjustRightInd w:val="0"/>
              <w:spacing w:before="29" w:line="360" w:lineRule="auto"/>
              <w:ind w:left="15"/>
              <w:jc w:val="right"/>
              <w:rPr>
                <w:rFonts w:eastAsiaTheme="minorEastAsia"/>
                <w:color w:val="000000" w:themeColor="text1"/>
                <w:kern w:val="0"/>
                <w:sz w:val="24"/>
              </w:rPr>
            </w:pPr>
            <w:r w:rsidRPr="004B40EC">
              <w:rPr>
                <w:rFonts w:eastAsiaTheme="minorEastAsia"/>
                <w:color w:val="000000" w:themeColor="text1"/>
                <w:sz w:val="24"/>
              </w:rPr>
              <w:t>4.38</w:t>
            </w:r>
          </w:p>
        </w:tc>
      </w:tr>
    </w:tbl>
    <w:p w:rsidR="004B40EC" w:rsidRPr="003025FA" w:rsidRDefault="004B40EC" w:rsidP="004B40EC">
      <w:pPr>
        <w:spacing w:line="360" w:lineRule="auto"/>
        <w:rPr>
          <w:rFonts w:asciiTheme="minorEastAsia" w:eastAsiaTheme="minorEastAsia" w:hAnsiTheme="minorEastAsia" w:cs="Arial"/>
          <w:b/>
          <w:color w:val="000000" w:themeColor="text1"/>
          <w:kern w:val="0"/>
          <w:sz w:val="24"/>
        </w:rPr>
      </w:pPr>
      <w:r>
        <w:rPr>
          <w:rFonts w:asciiTheme="minorEastAsia" w:eastAsiaTheme="minorEastAsia" w:hAnsiTheme="minorEastAsia" w:cs="Arial" w:hint="eastAsia"/>
          <w:b/>
          <w:color w:val="000000" w:themeColor="text1"/>
          <w:kern w:val="0"/>
          <w:sz w:val="24"/>
        </w:rPr>
        <w:t>5.4</w:t>
      </w:r>
      <w:r>
        <w:rPr>
          <w:rFonts w:ascii="宋体" w:hAnsi="宋体" w:hint="eastAsia"/>
          <w:b/>
          <w:color w:val="000000"/>
          <w:sz w:val="24"/>
        </w:rPr>
        <w:t>报告期内投资组合平均剩余存续期超过240天情况说明</w:t>
      </w:r>
    </w:p>
    <w:p w:rsidR="004B40EC" w:rsidRPr="004B40EC" w:rsidRDefault="004B40EC" w:rsidP="00A15461">
      <w:pPr>
        <w:adjustRightInd w:val="0"/>
        <w:spacing w:line="360" w:lineRule="auto"/>
        <w:ind w:firstLineChars="200" w:firstLine="480"/>
        <w:rPr>
          <w:color w:val="000000"/>
          <w:sz w:val="24"/>
        </w:rPr>
      </w:pPr>
      <w:r w:rsidRPr="004B40EC">
        <w:rPr>
          <w:rFonts w:eastAsiaTheme="minorEastAsia"/>
          <w:color w:val="000000" w:themeColor="text1"/>
          <w:sz w:val="24"/>
        </w:rPr>
        <w:lastRenderedPageBreak/>
        <w:t>本报告期内本货币市场基金投资组合平均剩余存续期未超过</w:t>
      </w:r>
      <w:r w:rsidRPr="004B40EC">
        <w:rPr>
          <w:rFonts w:eastAsiaTheme="minorEastAsia"/>
          <w:color w:val="000000" w:themeColor="text1"/>
          <w:sz w:val="24"/>
        </w:rPr>
        <w:t>240</w:t>
      </w:r>
      <w:r w:rsidRPr="004B40EC">
        <w:rPr>
          <w:rFonts w:eastAsiaTheme="minorEastAsia"/>
          <w:color w:val="000000" w:themeColor="text1"/>
          <w:sz w:val="24"/>
        </w:rPr>
        <w:t>天。</w:t>
      </w:r>
    </w:p>
    <w:p w:rsidR="006B01A5" w:rsidRPr="00A370A1" w:rsidRDefault="00941F6C" w:rsidP="006B01A5">
      <w:pPr>
        <w:spacing w:line="360" w:lineRule="auto"/>
        <w:rPr>
          <w:rFonts w:eastAsiaTheme="minorEastAsia"/>
          <w:b/>
          <w:color w:val="000000" w:themeColor="text1"/>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5</w:t>
      </w:r>
      <w:r w:rsidRPr="0097021E">
        <w:rPr>
          <w:rFonts w:ascii="宋体" w:hAnsi="宋体" w:cs="Arial"/>
          <w:b/>
          <w:color w:val="000000"/>
          <w:kern w:val="0"/>
          <w:sz w:val="24"/>
        </w:rPr>
        <w:t xml:space="preserve"> </w:t>
      </w:r>
      <w:r w:rsidRPr="0097021E">
        <w:rPr>
          <w:rFonts w:ascii="宋体" w:hAnsi="宋体" w:cs="Arial" w:hint="eastAsia"/>
          <w:b/>
          <w:color w:val="000000"/>
          <w:kern w:val="0"/>
          <w:sz w:val="24"/>
        </w:rPr>
        <w:t>报告期末按债券品种分类的债券投资组合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3261"/>
        <w:gridCol w:w="1984"/>
      </w:tblGrid>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序号</w:t>
            </w:r>
          </w:p>
        </w:tc>
        <w:tc>
          <w:tcPr>
            <w:tcW w:w="3260"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债券品种</w:t>
            </w:r>
          </w:p>
        </w:tc>
        <w:tc>
          <w:tcPr>
            <w:tcW w:w="3261"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摊余成本（元）</w:t>
            </w:r>
          </w:p>
        </w:tc>
        <w:tc>
          <w:tcPr>
            <w:tcW w:w="1984"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占基金资产净值比例</w:t>
            </w:r>
            <w:r w:rsidRPr="00A370A1">
              <w:rPr>
                <w:rFonts w:eastAsiaTheme="minorEastAsia"/>
                <w:color w:val="000000" w:themeColor="text1"/>
                <w:sz w:val="24"/>
              </w:rPr>
              <w:t>(</w:t>
            </w:r>
            <w:r w:rsidRPr="00A370A1">
              <w:rPr>
                <w:rFonts w:eastAsiaTheme="minorEastAsia"/>
                <w:color w:val="000000" w:themeColor="text1"/>
                <w:sz w:val="24"/>
              </w:rPr>
              <w:t>％</w:t>
            </w: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国家债券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89,997,988.56</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3.93</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2</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央行票据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3</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金融债券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29,990,629.60</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1.31</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其中：政策性金融债</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29,990,629.60</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1.31</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4</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10,033,153.11</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0.44</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5</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企业短期融资券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50,024,656.41</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2.19</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6</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中期票据</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204,566,873.67</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8.94</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7</w:t>
            </w:r>
          </w:p>
        </w:tc>
        <w:tc>
          <w:tcPr>
            <w:tcW w:w="3260" w:type="dxa"/>
            <w:vAlign w:val="center"/>
          </w:tcPr>
          <w:p w:rsidR="006B01A5" w:rsidRPr="00A370A1" w:rsidRDefault="006B01A5" w:rsidP="00735A6C">
            <w:pPr>
              <w:spacing w:before="29" w:line="360" w:lineRule="auto"/>
              <w:ind w:left="17"/>
              <w:jc w:val="left"/>
              <w:rPr>
                <w:rFonts w:eastAsiaTheme="minorEastAsia"/>
                <w:color w:val="000000" w:themeColor="text1"/>
                <w:sz w:val="24"/>
              </w:rPr>
            </w:pPr>
            <w:r w:rsidRPr="00A370A1">
              <w:rPr>
                <w:rFonts w:eastAsiaTheme="minorEastAsia"/>
                <w:color w:val="000000" w:themeColor="text1"/>
                <w:sz w:val="24"/>
              </w:rPr>
              <w:t>同业存单</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819,130,043.51</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35.79</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8</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其他</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9</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合计</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1,203,743,344.86</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52.59</w:t>
            </w:r>
          </w:p>
        </w:tc>
      </w:tr>
      <w:tr w:rsidR="006B01A5" w:rsidRPr="00A370A1" w:rsidTr="00735A6C">
        <w:tc>
          <w:tcPr>
            <w:tcW w:w="817" w:type="dxa"/>
            <w:vAlign w:val="center"/>
          </w:tcPr>
          <w:p w:rsidR="006B01A5" w:rsidRPr="00A370A1" w:rsidRDefault="006B01A5" w:rsidP="00735A6C">
            <w:pPr>
              <w:spacing w:before="29" w:line="360" w:lineRule="auto"/>
              <w:ind w:left="17"/>
              <w:jc w:val="center"/>
              <w:rPr>
                <w:rFonts w:eastAsiaTheme="minorEastAsia"/>
                <w:color w:val="000000" w:themeColor="text1"/>
                <w:sz w:val="24"/>
              </w:rPr>
            </w:pPr>
            <w:r w:rsidRPr="00A370A1">
              <w:rPr>
                <w:rFonts w:eastAsiaTheme="minorEastAsia"/>
                <w:color w:val="000000" w:themeColor="text1"/>
                <w:sz w:val="24"/>
              </w:rPr>
              <w:t>10</w:t>
            </w:r>
          </w:p>
        </w:tc>
        <w:tc>
          <w:tcPr>
            <w:tcW w:w="3260" w:type="dxa"/>
            <w:vAlign w:val="center"/>
          </w:tcPr>
          <w:p w:rsidR="006B01A5" w:rsidRPr="00A370A1" w:rsidRDefault="006B01A5" w:rsidP="00735A6C">
            <w:pPr>
              <w:spacing w:before="29" w:line="360" w:lineRule="auto"/>
              <w:ind w:left="17"/>
              <w:rPr>
                <w:rFonts w:eastAsiaTheme="minorEastAsia"/>
                <w:color w:val="000000" w:themeColor="text1"/>
                <w:sz w:val="24"/>
              </w:rPr>
            </w:pPr>
            <w:r w:rsidRPr="00A370A1">
              <w:rPr>
                <w:rFonts w:eastAsiaTheme="minorEastAsia"/>
                <w:color w:val="000000" w:themeColor="text1"/>
                <w:sz w:val="24"/>
              </w:rPr>
              <w:t>剩余存续期超过</w:t>
            </w:r>
            <w:r w:rsidRPr="00A370A1">
              <w:rPr>
                <w:rFonts w:eastAsiaTheme="minorEastAsia"/>
                <w:color w:val="000000" w:themeColor="text1"/>
                <w:sz w:val="24"/>
              </w:rPr>
              <w:t>397</w:t>
            </w:r>
            <w:r w:rsidRPr="00A370A1">
              <w:rPr>
                <w:rFonts w:eastAsiaTheme="minorEastAsia"/>
                <w:color w:val="000000" w:themeColor="text1"/>
                <w:sz w:val="24"/>
              </w:rPr>
              <w:t>天的浮动利率债券</w:t>
            </w:r>
          </w:p>
        </w:tc>
        <w:tc>
          <w:tcPr>
            <w:tcW w:w="3261"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c>
          <w:tcPr>
            <w:tcW w:w="1984" w:type="dxa"/>
            <w:vAlign w:val="center"/>
          </w:tcPr>
          <w:p w:rsidR="006B01A5" w:rsidRPr="00A370A1" w:rsidRDefault="006B01A5" w:rsidP="00735A6C">
            <w:pPr>
              <w:spacing w:before="29" w:line="360" w:lineRule="auto"/>
              <w:ind w:left="17"/>
              <w:jc w:val="right"/>
              <w:rPr>
                <w:rFonts w:eastAsiaTheme="minorEastAsia"/>
                <w:color w:val="000000" w:themeColor="text1"/>
                <w:sz w:val="24"/>
              </w:rPr>
            </w:pPr>
            <w:r w:rsidRPr="00A370A1">
              <w:rPr>
                <w:rFonts w:eastAsiaTheme="minorEastAsia"/>
                <w:color w:val="000000" w:themeColor="text1"/>
                <w:sz w:val="24"/>
              </w:rPr>
              <w:t>-</w:t>
            </w:r>
          </w:p>
        </w:tc>
      </w:tr>
    </w:tbl>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6</w:t>
      </w:r>
      <w:r w:rsidRPr="0097021E">
        <w:rPr>
          <w:rFonts w:ascii="宋体" w:hAnsi="宋体" w:cs="Arial"/>
          <w:b/>
          <w:color w:val="000000"/>
          <w:kern w:val="0"/>
          <w:sz w:val="24"/>
        </w:rPr>
        <w:t xml:space="preserve"> </w:t>
      </w:r>
      <w:r w:rsidR="00DA133F">
        <w:rPr>
          <w:rFonts w:ascii="宋体" w:hAnsi="宋体" w:cs="Arial" w:hint="eastAsia"/>
          <w:b/>
          <w:color w:val="000000"/>
          <w:kern w:val="0"/>
          <w:sz w:val="24"/>
        </w:rPr>
        <w:t>报告期末按摊余成本占基金资产净值比例大小排名</w:t>
      </w:r>
      <w:r w:rsidRPr="0097021E">
        <w:rPr>
          <w:rFonts w:ascii="宋体" w:hAnsi="宋体" w:cs="Arial" w:hint="eastAsia"/>
          <w:b/>
          <w:color w:val="000000"/>
          <w:kern w:val="0"/>
          <w:sz w:val="24"/>
        </w:rPr>
        <w:t>的前十名债券投资明细</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7"/>
        <w:gridCol w:w="1494"/>
        <w:gridCol w:w="1991"/>
        <w:gridCol w:w="1469"/>
        <w:gridCol w:w="1596"/>
        <w:gridCol w:w="1420"/>
      </w:tblGrid>
      <w:tr w:rsidR="00941F6C" w:rsidRPr="0097021E" w:rsidTr="00CA7D55">
        <w:tc>
          <w:tcPr>
            <w:tcW w:w="1547"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序号</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债券代码</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债券名称</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债券数量</w:t>
            </w:r>
          </w:p>
          <w:p w:rsidR="00941F6C" w:rsidRPr="00A15461" w:rsidRDefault="00DC22A1"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（张）</w:t>
            </w:r>
          </w:p>
        </w:tc>
        <w:tc>
          <w:tcPr>
            <w:tcW w:w="1548" w:type="dxa"/>
            <w:vAlign w:val="center"/>
          </w:tcPr>
          <w:p w:rsidR="00941F6C" w:rsidRPr="00A15461" w:rsidRDefault="00941F6C" w:rsidP="00DC22A1">
            <w:pPr>
              <w:autoSpaceDE w:val="0"/>
              <w:autoSpaceDN w:val="0"/>
              <w:adjustRightInd w:val="0"/>
              <w:spacing w:before="29" w:line="360" w:lineRule="auto"/>
              <w:ind w:left="15"/>
              <w:jc w:val="center"/>
              <w:rPr>
                <w:color w:val="000000"/>
                <w:kern w:val="0"/>
                <w:sz w:val="24"/>
              </w:rPr>
            </w:pPr>
            <w:r w:rsidRPr="00A15461">
              <w:rPr>
                <w:color w:val="000000"/>
                <w:kern w:val="0"/>
                <w:sz w:val="24"/>
              </w:rPr>
              <w:t>摊余成本</w:t>
            </w:r>
            <w:r w:rsidR="00DC22A1" w:rsidRPr="00A15461">
              <w:rPr>
                <w:color w:val="000000"/>
                <w:kern w:val="0"/>
                <w:sz w:val="24"/>
              </w:rPr>
              <w:t>（元）</w:t>
            </w:r>
          </w:p>
        </w:tc>
        <w:tc>
          <w:tcPr>
            <w:tcW w:w="1548" w:type="dxa"/>
            <w:vAlign w:val="center"/>
          </w:tcPr>
          <w:p w:rsidR="00941F6C" w:rsidRPr="00A15461" w:rsidRDefault="00941F6C" w:rsidP="00CA7D55">
            <w:pPr>
              <w:autoSpaceDE w:val="0"/>
              <w:autoSpaceDN w:val="0"/>
              <w:adjustRightInd w:val="0"/>
              <w:spacing w:before="29" w:line="360" w:lineRule="auto"/>
              <w:ind w:left="15"/>
              <w:jc w:val="center"/>
              <w:rPr>
                <w:color w:val="000000"/>
                <w:kern w:val="0"/>
                <w:sz w:val="24"/>
              </w:rPr>
            </w:pPr>
            <w:r w:rsidRPr="00A15461">
              <w:rPr>
                <w:color w:val="000000"/>
                <w:kern w:val="0"/>
                <w:sz w:val="24"/>
              </w:rPr>
              <w:t>占基金资产净值比例（％）</w:t>
            </w:r>
          </w:p>
        </w:tc>
      </w:tr>
      <w:tr w:rsidR="00B520CF">
        <w:tc>
          <w:tcPr>
            <w:tcW w:w="0" w:type="auto"/>
            <w:vAlign w:val="center"/>
          </w:tcPr>
          <w:p w:rsidR="00B520CF" w:rsidRDefault="00560D0C">
            <w:pPr>
              <w:jc w:val="center"/>
            </w:pPr>
            <w:r>
              <w:rPr>
                <w:color w:val="000000"/>
                <w:sz w:val="24"/>
              </w:rPr>
              <w:t>1</w:t>
            </w:r>
          </w:p>
        </w:tc>
        <w:tc>
          <w:tcPr>
            <w:tcW w:w="0" w:type="auto"/>
            <w:vAlign w:val="center"/>
          </w:tcPr>
          <w:p w:rsidR="00B520CF" w:rsidRDefault="00560D0C">
            <w:pPr>
              <w:jc w:val="center"/>
            </w:pPr>
            <w:r>
              <w:rPr>
                <w:color w:val="000000"/>
                <w:sz w:val="24"/>
              </w:rPr>
              <w:t>111907011</w:t>
            </w:r>
          </w:p>
        </w:tc>
        <w:tc>
          <w:tcPr>
            <w:tcW w:w="0" w:type="auto"/>
            <w:vAlign w:val="center"/>
          </w:tcPr>
          <w:p w:rsidR="00B520CF" w:rsidRDefault="00560D0C">
            <w:pPr>
              <w:jc w:val="center"/>
            </w:pPr>
            <w:r>
              <w:rPr>
                <w:color w:val="000000"/>
                <w:sz w:val="24"/>
              </w:rPr>
              <w:t>19</w:t>
            </w:r>
            <w:r>
              <w:rPr>
                <w:color w:val="000000"/>
                <w:sz w:val="24"/>
              </w:rPr>
              <w:t>招商银行</w:t>
            </w:r>
            <w:r>
              <w:rPr>
                <w:color w:val="000000"/>
                <w:sz w:val="24"/>
              </w:rPr>
              <w:t>CD011</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98,834,441.08</w:t>
            </w:r>
          </w:p>
        </w:tc>
        <w:tc>
          <w:tcPr>
            <w:tcW w:w="0" w:type="auto"/>
            <w:vAlign w:val="center"/>
          </w:tcPr>
          <w:p w:rsidR="00B520CF" w:rsidRDefault="00560D0C">
            <w:pPr>
              <w:jc w:val="right"/>
            </w:pPr>
            <w:r>
              <w:rPr>
                <w:color w:val="000000"/>
                <w:sz w:val="24"/>
              </w:rPr>
              <w:t>4.32</w:t>
            </w:r>
          </w:p>
        </w:tc>
      </w:tr>
      <w:tr w:rsidR="00B520CF">
        <w:tc>
          <w:tcPr>
            <w:tcW w:w="0" w:type="auto"/>
            <w:vAlign w:val="center"/>
          </w:tcPr>
          <w:p w:rsidR="00B520CF" w:rsidRDefault="00560D0C">
            <w:pPr>
              <w:jc w:val="center"/>
            </w:pPr>
            <w:r>
              <w:rPr>
                <w:color w:val="000000"/>
                <w:sz w:val="24"/>
              </w:rPr>
              <w:t>2</w:t>
            </w:r>
          </w:p>
        </w:tc>
        <w:tc>
          <w:tcPr>
            <w:tcW w:w="0" w:type="auto"/>
            <w:vAlign w:val="center"/>
          </w:tcPr>
          <w:p w:rsidR="00B520CF" w:rsidRDefault="00560D0C">
            <w:pPr>
              <w:jc w:val="center"/>
            </w:pPr>
            <w:r>
              <w:rPr>
                <w:color w:val="000000"/>
                <w:sz w:val="24"/>
              </w:rPr>
              <w:t>111903147</w:t>
            </w:r>
          </w:p>
        </w:tc>
        <w:tc>
          <w:tcPr>
            <w:tcW w:w="0" w:type="auto"/>
            <w:vAlign w:val="center"/>
          </w:tcPr>
          <w:p w:rsidR="00B520CF" w:rsidRDefault="00560D0C">
            <w:pPr>
              <w:jc w:val="center"/>
            </w:pPr>
            <w:r>
              <w:rPr>
                <w:color w:val="000000"/>
                <w:sz w:val="24"/>
              </w:rPr>
              <w:t>19</w:t>
            </w:r>
            <w:r>
              <w:rPr>
                <w:color w:val="000000"/>
                <w:sz w:val="24"/>
              </w:rPr>
              <w:t>农业银行</w:t>
            </w:r>
            <w:r>
              <w:rPr>
                <w:color w:val="000000"/>
                <w:sz w:val="24"/>
              </w:rPr>
              <w:t>CD147</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98,640,718.47</w:t>
            </w:r>
          </w:p>
        </w:tc>
        <w:tc>
          <w:tcPr>
            <w:tcW w:w="0" w:type="auto"/>
            <w:vAlign w:val="center"/>
          </w:tcPr>
          <w:p w:rsidR="00B520CF" w:rsidRDefault="00560D0C">
            <w:pPr>
              <w:jc w:val="right"/>
            </w:pPr>
            <w:r>
              <w:rPr>
                <w:color w:val="000000"/>
                <w:sz w:val="24"/>
              </w:rPr>
              <w:t>4.31</w:t>
            </w:r>
          </w:p>
        </w:tc>
      </w:tr>
      <w:tr w:rsidR="00B520CF">
        <w:tc>
          <w:tcPr>
            <w:tcW w:w="0" w:type="auto"/>
            <w:vAlign w:val="center"/>
          </w:tcPr>
          <w:p w:rsidR="00B520CF" w:rsidRDefault="00560D0C">
            <w:pPr>
              <w:jc w:val="center"/>
            </w:pPr>
            <w:r>
              <w:rPr>
                <w:color w:val="000000"/>
                <w:sz w:val="24"/>
              </w:rPr>
              <w:t>3</w:t>
            </w:r>
          </w:p>
        </w:tc>
        <w:tc>
          <w:tcPr>
            <w:tcW w:w="0" w:type="auto"/>
            <w:vAlign w:val="center"/>
          </w:tcPr>
          <w:p w:rsidR="00B520CF" w:rsidRDefault="00560D0C">
            <w:pPr>
              <w:jc w:val="center"/>
            </w:pPr>
            <w:r>
              <w:rPr>
                <w:color w:val="000000"/>
                <w:sz w:val="24"/>
              </w:rPr>
              <w:t>111906013</w:t>
            </w:r>
          </w:p>
        </w:tc>
        <w:tc>
          <w:tcPr>
            <w:tcW w:w="0" w:type="auto"/>
            <w:vAlign w:val="center"/>
          </w:tcPr>
          <w:p w:rsidR="00B520CF" w:rsidRDefault="00560D0C">
            <w:pPr>
              <w:jc w:val="center"/>
            </w:pPr>
            <w:r>
              <w:rPr>
                <w:color w:val="000000"/>
                <w:sz w:val="24"/>
              </w:rPr>
              <w:t>19</w:t>
            </w:r>
            <w:r>
              <w:rPr>
                <w:color w:val="000000"/>
                <w:sz w:val="24"/>
              </w:rPr>
              <w:t>交通银行</w:t>
            </w:r>
            <w:r>
              <w:rPr>
                <w:color w:val="000000"/>
                <w:sz w:val="24"/>
              </w:rPr>
              <w:t>CD013</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98,632,654.03</w:t>
            </w:r>
          </w:p>
        </w:tc>
        <w:tc>
          <w:tcPr>
            <w:tcW w:w="0" w:type="auto"/>
            <w:vAlign w:val="center"/>
          </w:tcPr>
          <w:p w:rsidR="00B520CF" w:rsidRDefault="00560D0C">
            <w:pPr>
              <w:jc w:val="right"/>
            </w:pPr>
            <w:r>
              <w:rPr>
                <w:color w:val="000000"/>
                <w:sz w:val="24"/>
              </w:rPr>
              <w:t>4.31</w:t>
            </w:r>
          </w:p>
        </w:tc>
      </w:tr>
      <w:tr w:rsidR="00B520CF">
        <w:tc>
          <w:tcPr>
            <w:tcW w:w="0" w:type="auto"/>
            <w:vAlign w:val="center"/>
          </w:tcPr>
          <w:p w:rsidR="00B520CF" w:rsidRDefault="00560D0C">
            <w:pPr>
              <w:jc w:val="center"/>
            </w:pPr>
            <w:r>
              <w:rPr>
                <w:color w:val="000000"/>
                <w:sz w:val="24"/>
              </w:rPr>
              <w:t>4</w:t>
            </w:r>
          </w:p>
        </w:tc>
        <w:tc>
          <w:tcPr>
            <w:tcW w:w="0" w:type="auto"/>
            <w:vAlign w:val="center"/>
          </w:tcPr>
          <w:p w:rsidR="00B520CF" w:rsidRDefault="00560D0C">
            <w:pPr>
              <w:jc w:val="center"/>
            </w:pPr>
            <w:r>
              <w:rPr>
                <w:color w:val="000000"/>
                <w:sz w:val="24"/>
              </w:rPr>
              <w:t>111908046</w:t>
            </w:r>
          </w:p>
        </w:tc>
        <w:tc>
          <w:tcPr>
            <w:tcW w:w="0" w:type="auto"/>
            <w:vAlign w:val="center"/>
          </w:tcPr>
          <w:p w:rsidR="00B520CF" w:rsidRDefault="00560D0C">
            <w:pPr>
              <w:jc w:val="center"/>
            </w:pPr>
            <w:r>
              <w:rPr>
                <w:color w:val="000000"/>
                <w:sz w:val="24"/>
              </w:rPr>
              <w:t>19</w:t>
            </w:r>
            <w:r>
              <w:rPr>
                <w:color w:val="000000"/>
                <w:sz w:val="24"/>
              </w:rPr>
              <w:t>中信银行</w:t>
            </w:r>
            <w:r>
              <w:rPr>
                <w:color w:val="000000"/>
                <w:sz w:val="24"/>
              </w:rPr>
              <w:t>CD046</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98,615,923.94</w:t>
            </w:r>
          </w:p>
        </w:tc>
        <w:tc>
          <w:tcPr>
            <w:tcW w:w="0" w:type="auto"/>
            <w:vAlign w:val="center"/>
          </w:tcPr>
          <w:p w:rsidR="00B520CF" w:rsidRDefault="00560D0C">
            <w:pPr>
              <w:jc w:val="right"/>
            </w:pPr>
            <w:r>
              <w:rPr>
                <w:color w:val="000000"/>
                <w:sz w:val="24"/>
              </w:rPr>
              <w:t>4.31</w:t>
            </w:r>
          </w:p>
        </w:tc>
      </w:tr>
      <w:tr w:rsidR="00B520CF">
        <w:tc>
          <w:tcPr>
            <w:tcW w:w="0" w:type="auto"/>
            <w:vAlign w:val="center"/>
          </w:tcPr>
          <w:p w:rsidR="00B520CF" w:rsidRDefault="00560D0C">
            <w:pPr>
              <w:jc w:val="center"/>
            </w:pPr>
            <w:r>
              <w:rPr>
                <w:color w:val="000000"/>
                <w:sz w:val="24"/>
              </w:rPr>
              <w:t>5</w:t>
            </w:r>
          </w:p>
        </w:tc>
        <w:tc>
          <w:tcPr>
            <w:tcW w:w="0" w:type="auto"/>
            <w:vAlign w:val="center"/>
          </w:tcPr>
          <w:p w:rsidR="00B520CF" w:rsidRDefault="00560D0C">
            <w:pPr>
              <w:jc w:val="center"/>
            </w:pPr>
            <w:r>
              <w:rPr>
                <w:color w:val="000000"/>
                <w:sz w:val="24"/>
              </w:rPr>
              <w:t>111904009</w:t>
            </w:r>
          </w:p>
        </w:tc>
        <w:tc>
          <w:tcPr>
            <w:tcW w:w="0" w:type="auto"/>
            <w:vAlign w:val="center"/>
          </w:tcPr>
          <w:p w:rsidR="00B520CF" w:rsidRDefault="00560D0C">
            <w:pPr>
              <w:jc w:val="center"/>
            </w:pPr>
            <w:r>
              <w:rPr>
                <w:color w:val="000000"/>
                <w:sz w:val="24"/>
              </w:rPr>
              <w:t>19</w:t>
            </w:r>
            <w:r>
              <w:rPr>
                <w:color w:val="000000"/>
                <w:sz w:val="24"/>
              </w:rPr>
              <w:t>中国银行</w:t>
            </w:r>
            <w:r>
              <w:rPr>
                <w:color w:val="000000"/>
                <w:sz w:val="24"/>
              </w:rPr>
              <w:t>CD009</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98,604,615.96</w:t>
            </w:r>
          </w:p>
        </w:tc>
        <w:tc>
          <w:tcPr>
            <w:tcW w:w="0" w:type="auto"/>
            <w:vAlign w:val="center"/>
          </w:tcPr>
          <w:p w:rsidR="00B520CF" w:rsidRDefault="00560D0C">
            <w:pPr>
              <w:jc w:val="right"/>
            </w:pPr>
            <w:r>
              <w:rPr>
                <w:color w:val="000000"/>
                <w:sz w:val="24"/>
              </w:rPr>
              <w:t>4.31</w:t>
            </w:r>
          </w:p>
        </w:tc>
      </w:tr>
      <w:tr w:rsidR="00B520CF">
        <w:tc>
          <w:tcPr>
            <w:tcW w:w="0" w:type="auto"/>
            <w:vAlign w:val="center"/>
          </w:tcPr>
          <w:p w:rsidR="00B520CF" w:rsidRDefault="00560D0C">
            <w:pPr>
              <w:jc w:val="center"/>
            </w:pPr>
            <w:r>
              <w:rPr>
                <w:color w:val="000000"/>
                <w:sz w:val="24"/>
              </w:rPr>
              <w:lastRenderedPageBreak/>
              <w:t>6</w:t>
            </w:r>
          </w:p>
        </w:tc>
        <w:tc>
          <w:tcPr>
            <w:tcW w:w="0" w:type="auto"/>
            <w:vAlign w:val="center"/>
          </w:tcPr>
          <w:p w:rsidR="00B520CF" w:rsidRDefault="00560D0C">
            <w:pPr>
              <w:jc w:val="center"/>
            </w:pPr>
            <w:r>
              <w:rPr>
                <w:color w:val="000000"/>
                <w:sz w:val="24"/>
              </w:rPr>
              <w:t>111912029</w:t>
            </w:r>
          </w:p>
        </w:tc>
        <w:tc>
          <w:tcPr>
            <w:tcW w:w="0" w:type="auto"/>
            <w:vAlign w:val="center"/>
          </w:tcPr>
          <w:p w:rsidR="00B520CF" w:rsidRDefault="00560D0C">
            <w:pPr>
              <w:jc w:val="center"/>
            </w:pPr>
            <w:r>
              <w:rPr>
                <w:color w:val="000000"/>
                <w:sz w:val="24"/>
              </w:rPr>
              <w:t>19</w:t>
            </w:r>
            <w:r>
              <w:rPr>
                <w:color w:val="000000"/>
                <w:sz w:val="24"/>
              </w:rPr>
              <w:t>北京银行</w:t>
            </w:r>
            <w:r>
              <w:rPr>
                <w:color w:val="000000"/>
                <w:sz w:val="24"/>
              </w:rPr>
              <w:t>CD029</w:t>
            </w:r>
          </w:p>
        </w:tc>
        <w:tc>
          <w:tcPr>
            <w:tcW w:w="0" w:type="auto"/>
            <w:vAlign w:val="center"/>
          </w:tcPr>
          <w:p w:rsidR="00B520CF" w:rsidRDefault="00560D0C">
            <w:pPr>
              <w:jc w:val="right"/>
            </w:pPr>
            <w:r>
              <w:rPr>
                <w:color w:val="000000"/>
                <w:sz w:val="24"/>
              </w:rPr>
              <w:t>1,000,000</w:t>
            </w:r>
          </w:p>
        </w:tc>
        <w:tc>
          <w:tcPr>
            <w:tcW w:w="0" w:type="auto"/>
            <w:vAlign w:val="center"/>
          </w:tcPr>
          <w:p w:rsidR="00B520CF" w:rsidRDefault="00560D0C">
            <w:pPr>
              <w:jc w:val="right"/>
            </w:pPr>
            <w:r>
              <w:rPr>
                <w:color w:val="000000"/>
                <w:sz w:val="24"/>
              </w:rPr>
              <w:t>98,518,573.60</w:t>
            </w:r>
          </w:p>
        </w:tc>
        <w:tc>
          <w:tcPr>
            <w:tcW w:w="0" w:type="auto"/>
            <w:vAlign w:val="center"/>
          </w:tcPr>
          <w:p w:rsidR="00B520CF" w:rsidRDefault="00560D0C">
            <w:pPr>
              <w:jc w:val="right"/>
            </w:pPr>
            <w:r>
              <w:rPr>
                <w:color w:val="000000"/>
                <w:sz w:val="24"/>
              </w:rPr>
              <w:t>4.30</w:t>
            </w:r>
          </w:p>
        </w:tc>
      </w:tr>
      <w:tr w:rsidR="00B520CF">
        <w:tc>
          <w:tcPr>
            <w:tcW w:w="0" w:type="auto"/>
            <w:vAlign w:val="center"/>
          </w:tcPr>
          <w:p w:rsidR="00B520CF" w:rsidRDefault="00560D0C">
            <w:pPr>
              <w:jc w:val="center"/>
            </w:pPr>
            <w:r>
              <w:rPr>
                <w:color w:val="000000"/>
                <w:sz w:val="24"/>
              </w:rPr>
              <w:t>7</w:t>
            </w:r>
          </w:p>
        </w:tc>
        <w:tc>
          <w:tcPr>
            <w:tcW w:w="0" w:type="auto"/>
            <w:vAlign w:val="center"/>
          </w:tcPr>
          <w:p w:rsidR="00B520CF" w:rsidRDefault="00560D0C">
            <w:pPr>
              <w:jc w:val="center"/>
            </w:pPr>
            <w:r>
              <w:rPr>
                <w:color w:val="000000"/>
                <w:sz w:val="24"/>
              </w:rPr>
              <w:t>180026</w:t>
            </w:r>
          </w:p>
        </w:tc>
        <w:tc>
          <w:tcPr>
            <w:tcW w:w="0" w:type="auto"/>
            <w:vAlign w:val="center"/>
          </w:tcPr>
          <w:p w:rsidR="00B520CF" w:rsidRDefault="00560D0C">
            <w:pPr>
              <w:jc w:val="center"/>
            </w:pPr>
            <w:r>
              <w:rPr>
                <w:color w:val="000000"/>
                <w:sz w:val="24"/>
              </w:rPr>
              <w:t>18</w:t>
            </w:r>
            <w:r>
              <w:rPr>
                <w:color w:val="000000"/>
                <w:sz w:val="24"/>
              </w:rPr>
              <w:t>附息国债</w:t>
            </w:r>
            <w:r>
              <w:rPr>
                <w:color w:val="000000"/>
                <w:sz w:val="24"/>
              </w:rPr>
              <w:t>26</w:t>
            </w:r>
          </w:p>
        </w:tc>
        <w:tc>
          <w:tcPr>
            <w:tcW w:w="0" w:type="auto"/>
            <w:vAlign w:val="center"/>
          </w:tcPr>
          <w:p w:rsidR="00B520CF" w:rsidRDefault="00560D0C">
            <w:pPr>
              <w:jc w:val="right"/>
            </w:pPr>
            <w:r>
              <w:rPr>
                <w:color w:val="000000"/>
                <w:sz w:val="24"/>
              </w:rPr>
              <w:t>900,000</w:t>
            </w:r>
          </w:p>
        </w:tc>
        <w:tc>
          <w:tcPr>
            <w:tcW w:w="0" w:type="auto"/>
            <w:vAlign w:val="center"/>
          </w:tcPr>
          <w:p w:rsidR="00B520CF" w:rsidRDefault="00560D0C">
            <w:pPr>
              <w:jc w:val="right"/>
            </w:pPr>
            <w:r>
              <w:rPr>
                <w:color w:val="000000"/>
                <w:sz w:val="24"/>
              </w:rPr>
              <w:t>89,997,988.56</w:t>
            </w:r>
          </w:p>
        </w:tc>
        <w:tc>
          <w:tcPr>
            <w:tcW w:w="0" w:type="auto"/>
            <w:vAlign w:val="center"/>
          </w:tcPr>
          <w:p w:rsidR="00B520CF" w:rsidRDefault="00560D0C">
            <w:pPr>
              <w:jc w:val="right"/>
            </w:pPr>
            <w:r>
              <w:rPr>
                <w:color w:val="000000"/>
                <w:sz w:val="24"/>
              </w:rPr>
              <w:t>3.93</w:t>
            </w:r>
          </w:p>
        </w:tc>
      </w:tr>
      <w:tr w:rsidR="00B520CF">
        <w:tc>
          <w:tcPr>
            <w:tcW w:w="0" w:type="auto"/>
            <w:vAlign w:val="center"/>
          </w:tcPr>
          <w:p w:rsidR="00B520CF" w:rsidRDefault="00560D0C">
            <w:pPr>
              <w:jc w:val="center"/>
            </w:pPr>
            <w:r>
              <w:rPr>
                <w:color w:val="000000"/>
                <w:sz w:val="24"/>
              </w:rPr>
              <w:t>8</w:t>
            </w:r>
          </w:p>
        </w:tc>
        <w:tc>
          <w:tcPr>
            <w:tcW w:w="0" w:type="auto"/>
            <w:vAlign w:val="center"/>
          </w:tcPr>
          <w:p w:rsidR="00B520CF" w:rsidRDefault="00560D0C">
            <w:pPr>
              <w:jc w:val="center"/>
            </w:pPr>
            <w:r>
              <w:rPr>
                <w:color w:val="000000"/>
                <w:sz w:val="24"/>
              </w:rPr>
              <w:t>101558004</w:t>
            </w:r>
          </w:p>
        </w:tc>
        <w:tc>
          <w:tcPr>
            <w:tcW w:w="0" w:type="auto"/>
            <w:vAlign w:val="center"/>
          </w:tcPr>
          <w:p w:rsidR="00B520CF" w:rsidRDefault="00560D0C">
            <w:pPr>
              <w:jc w:val="center"/>
            </w:pPr>
            <w:r>
              <w:rPr>
                <w:color w:val="000000"/>
                <w:sz w:val="24"/>
              </w:rPr>
              <w:t>15</w:t>
            </w:r>
            <w:r>
              <w:rPr>
                <w:color w:val="000000"/>
                <w:sz w:val="24"/>
              </w:rPr>
              <w:t>陕延油</w:t>
            </w:r>
            <w:r>
              <w:rPr>
                <w:color w:val="000000"/>
                <w:sz w:val="24"/>
              </w:rPr>
              <w:t>MTN001</w:t>
            </w:r>
          </w:p>
        </w:tc>
        <w:tc>
          <w:tcPr>
            <w:tcW w:w="0" w:type="auto"/>
            <w:vAlign w:val="center"/>
          </w:tcPr>
          <w:p w:rsidR="00B520CF" w:rsidRDefault="00560D0C">
            <w:pPr>
              <w:jc w:val="right"/>
            </w:pPr>
            <w:r>
              <w:rPr>
                <w:color w:val="000000"/>
                <w:sz w:val="24"/>
              </w:rPr>
              <w:t>500,000</w:t>
            </w:r>
          </w:p>
        </w:tc>
        <w:tc>
          <w:tcPr>
            <w:tcW w:w="0" w:type="auto"/>
            <w:vAlign w:val="center"/>
          </w:tcPr>
          <w:p w:rsidR="00B520CF" w:rsidRDefault="00560D0C">
            <w:pPr>
              <w:jc w:val="right"/>
            </w:pPr>
            <w:r>
              <w:rPr>
                <w:color w:val="000000"/>
                <w:sz w:val="24"/>
              </w:rPr>
              <w:t>50,525,861.12</w:t>
            </w:r>
          </w:p>
        </w:tc>
        <w:tc>
          <w:tcPr>
            <w:tcW w:w="0" w:type="auto"/>
            <w:vAlign w:val="center"/>
          </w:tcPr>
          <w:p w:rsidR="00B520CF" w:rsidRDefault="00560D0C">
            <w:pPr>
              <w:jc w:val="right"/>
            </w:pPr>
            <w:r>
              <w:rPr>
                <w:color w:val="000000"/>
                <w:sz w:val="24"/>
              </w:rPr>
              <w:t>2.21</w:t>
            </w:r>
          </w:p>
        </w:tc>
      </w:tr>
      <w:tr w:rsidR="00B520CF">
        <w:tc>
          <w:tcPr>
            <w:tcW w:w="0" w:type="auto"/>
            <w:vAlign w:val="center"/>
          </w:tcPr>
          <w:p w:rsidR="00B520CF" w:rsidRDefault="00560D0C">
            <w:pPr>
              <w:jc w:val="center"/>
            </w:pPr>
            <w:r>
              <w:rPr>
                <w:color w:val="000000"/>
                <w:sz w:val="24"/>
              </w:rPr>
              <w:t>9</w:t>
            </w:r>
          </w:p>
        </w:tc>
        <w:tc>
          <w:tcPr>
            <w:tcW w:w="0" w:type="auto"/>
            <w:vAlign w:val="center"/>
          </w:tcPr>
          <w:p w:rsidR="00B520CF" w:rsidRDefault="00560D0C">
            <w:pPr>
              <w:jc w:val="center"/>
            </w:pPr>
            <w:r>
              <w:rPr>
                <w:color w:val="000000"/>
                <w:sz w:val="24"/>
              </w:rPr>
              <w:t>111907099</w:t>
            </w:r>
          </w:p>
        </w:tc>
        <w:tc>
          <w:tcPr>
            <w:tcW w:w="0" w:type="auto"/>
            <w:vAlign w:val="center"/>
          </w:tcPr>
          <w:p w:rsidR="00B520CF" w:rsidRDefault="00560D0C">
            <w:pPr>
              <w:jc w:val="center"/>
            </w:pPr>
            <w:r>
              <w:rPr>
                <w:color w:val="000000"/>
                <w:sz w:val="24"/>
              </w:rPr>
              <w:t>19</w:t>
            </w:r>
            <w:r>
              <w:rPr>
                <w:color w:val="000000"/>
                <w:sz w:val="24"/>
              </w:rPr>
              <w:t>招商银行</w:t>
            </w:r>
            <w:r>
              <w:rPr>
                <w:color w:val="000000"/>
                <w:sz w:val="24"/>
              </w:rPr>
              <w:t>CD099</w:t>
            </w:r>
          </w:p>
        </w:tc>
        <w:tc>
          <w:tcPr>
            <w:tcW w:w="0" w:type="auto"/>
            <w:vAlign w:val="center"/>
          </w:tcPr>
          <w:p w:rsidR="00B520CF" w:rsidRDefault="00560D0C">
            <w:pPr>
              <w:jc w:val="right"/>
            </w:pPr>
            <w:r>
              <w:rPr>
                <w:color w:val="000000"/>
                <w:sz w:val="24"/>
              </w:rPr>
              <w:t>500,000</w:t>
            </w:r>
          </w:p>
        </w:tc>
        <w:tc>
          <w:tcPr>
            <w:tcW w:w="0" w:type="auto"/>
            <w:vAlign w:val="center"/>
          </w:tcPr>
          <w:p w:rsidR="00B520CF" w:rsidRDefault="00560D0C">
            <w:pPr>
              <w:jc w:val="right"/>
            </w:pPr>
            <w:r>
              <w:rPr>
                <w:color w:val="000000"/>
                <w:sz w:val="24"/>
              </w:rPr>
              <w:t>49,701,975.87</w:t>
            </w:r>
          </w:p>
        </w:tc>
        <w:tc>
          <w:tcPr>
            <w:tcW w:w="0" w:type="auto"/>
            <w:vAlign w:val="center"/>
          </w:tcPr>
          <w:p w:rsidR="00B520CF" w:rsidRDefault="00560D0C">
            <w:pPr>
              <w:jc w:val="right"/>
            </w:pPr>
            <w:r>
              <w:rPr>
                <w:color w:val="000000"/>
                <w:sz w:val="24"/>
              </w:rPr>
              <w:t>2.17</w:t>
            </w:r>
          </w:p>
        </w:tc>
      </w:tr>
      <w:tr w:rsidR="00B520CF">
        <w:tc>
          <w:tcPr>
            <w:tcW w:w="0" w:type="auto"/>
            <w:vAlign w:val="center"/>
          </w:tcPr>
          <w:p w:rsidR="00B520CF" w:rsidRDefault="00560D0C">
            <w:pPr>
              <w:jc w:val="center"/>
            </w:pPr>
            <w:r>
              <w:rPr>
                <w:color w:val="000000"/>
                <w:sz w:val="24"/>
              </w:rPr>
              <w:t>10</w:t>
            </w:r>
          </w:p>
        </w:tc>
        <w:tc>
          <w:tcPr>
            <w:tcW w:w="0" w:type="auto"/>
            <w:vAlign w:val="center"/>
          </w:tcPr>
          <w:p w:rsidR="00B520CF" w:rsidRDefault="00560D0C">
            <w:pPr>
              <w:jc w:val="center"/>
            </w:pPr>
            <w:r>
              <w:rPr>
                <w:color w:val="000000"/>
                <w:sz w:val="24"/>
              </w:rPr>
              <w:t>111915011</w:t>
            </w:r>
          </w:p>
        </w:tc>
        <w:tc>
          <w:tcPr>
            <w:tcW w:w="0" w:type="auto"/>
            <w:vAlign w:val="center"/>
          </w:tcPr>
          <w:p w:rsidR="00B520CF" w:rsidRDefault="00560D0C">
            <w:pPr>
              <w:jc w:val="center"/>
            </w:pPr>
            <w:r>
              <w:rPr>
                <w:color w:val="000000"/>
                <w:sz w:val="24"/>
              </w:rPr>
              <w:t>19</w:t>
            </w:r>
            <w:r>
              <w:rPr>
                <w:color w:val="000000"/>
                <w:sz w:val="24"/>
              </w:rPr>
              <w:t>民生银行</w:t>
            </w:r>
            <w:r>
              <w:rPr>
                <w:color w:val="000000"/>
                <w:sz w:val="24"/>
              </w:rPr>
              <w:t>CD011</w:t>
            </w:r>
          </w:p>
        </w:tc>
        <w:tc>
          <w:tcPr>
            <w:tcW w:w="0" w:type="auto"/>
            <w:vAlign w:val="center"/>
          </w:tcPr>
          <w:p w:rsidR="00B520CF" w:rsidRDefault="00560D0C">
            <w:pPr>
              <w:jc w:val="right"/>
            </w:pPr>
            <w:r>
              <w:rPr>
                <w:color w:val="000000"/>
                <w:sz w:val="24"/>
              </w:rPr>
              <w:t>500,000</w:t>
            </w:r>
          </w:p>
        </w:tc>
        <w:tc>
          <w:tcPr>
            <w:tcW w:w="0" w:type="auto"/>
            <w:vAlign w:val="center"/>
          </w:tcPr>
          <w:p w:rsidR="00B520CF" w:rsidRDefault="00560D0C">
            <w:pPr>
              <w:jc w:val="right"/>
            </w:pPr>
            <w:r>
              <w:rPr>
                <w:color w:val="000000"/>
                <w:sz w:val="24"/>
              </w:rPr>
              <w:t>49,590,079.27</w:t>
            </w:r>
          </w:p>
        </w:tc>
        <w:tc>
          <w:tcPr>
            <w:tcW w:w="0" w:type="auto"/>
            <w:vAlign w:val="center"/>
          </w:tcPr>
          <w:p w:rsidR="00B520CF" w:rsidRDefault="00560D0C">
            <w:pPr>
              <w:jc w:val="right"/>
            </w:pPr>
            <w:r>
              <w:rPr>
                <w:color w:val="000000"/>
                <w:sz w:val="24"/>
              </w:rPr>
              <w:t>2.17</w:t>
            </w:r>
          </w:p>
        </w:tc>
      </w:tr>
    </w:tbl>
    <w:p w:rsidR="00941F6C" w:rsidRPr="0097021E" w:rsidRDefault="00941F6C" w:rsidP="003A0EC1">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7</w:t>
      </w:r>
      <w:r w:rsidRPr="0097021E">
        <w:rPr>
          <w:rFonts w:ascii="宋体" w:hAnsi="宋体" w:cs="Arial" w:hint="eastAsia"/>
          <w:b/>
          <w:color w:val="000000"/>
          <w:kern w:val="0"/>
          <w:sz w:val="24"/>
        </w:rPr>
        <w:t>“影子定价”与“摊余成本法”确定的基金资产净值的偏离</w:t>
      </w:r>
    </w:p>
    <w:tbl>
      <w:tblPr>
        <w:tblW w:w="0" w:type="auto"/>
        <w:tblInd w:w="108" w:type="dxa"/>
        <w:tblLayout w:type="fixed"/>
        <w:tblLook w:val="0000" w:firstRow="0" w:lastRow="0" w:firstColumn="0" w:lastColumn="0" w:noHBand="0" w:noVBand="0"/>
      </w:tblPr>
      <w:tblGrid>
        <w:gridCol w:w="5812"/>
        <w:gridCol w:w="3382"/>
      </w:tblGrid>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center"/>
              <w:rPr>
                <w:color w:val="000000"/>
                <w:kern w:val="0"/>
                <w:sz w:val="24"/>
              </w:rPr>
            </w:pPr>
            <w:r w:rsidRPr="00A15461">
              <w:rPr>
                <w:color w:val="000000"/>
                <w:kern w:val="0"/>
                <w:sz w:val="24"/>
              </w:rPr>
              <w:t>偏离情况</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报告期内偏离度的绝对值在</w:t>
            </w:r>
            <w:r w:rsidRPr="00A15461">
              <w:rPr>
                <w:color w:val="000000"/>
                <w:kern w:val="0"/>
                <w:sz w:val="24"/>
              </w:rPr>
              <w:t>0.25(</w:t>
            </w:r>
            <w:r w:rsidRPr="00A15461">
              <w:rPr>
                <w:color w:val="000000"/>
                <w:kern w:val="0"/>
                <w:sz w:val="24"/>
              </w:rPr>
              <w:t>含</w:t>
            </w:r>
            <w:r w:rsidRPr="00A15461">
              <w:rPr>
                <w:color w:val="000000"/>
                <w:kern w:val="0"/>
                <w:sz w:val="24"/>
              </w:rPr>
              <w:t>)-0.5%</w:t>
            </w:r>
            <w:r w:rsidRPr="00A15461">
              <w:rPr>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w:t>
            </w:r>
            <w:r w:rsidRPr="00A15461">
              <w:rPr>
                <w:color w:val="000000"/>
                <w:sz w:val="24"/>
              </w:rPr>
              <w:t>次</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0.0976%</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196812">
            <w:pPr>
              <w:autoSpaceDE w:val="0"/>
              <w:autoSpaceDN w:val="0"/>
              <w:adjustRightInd w:val="0"/>
              <w:spacing w:before="29" w:line="360" w:lineRule="auto"/>
              <w:ind w:left="15"/>
              <w:jc w:val="left"/>
              <w:rPr>
                <w:color w:val="000000"/>
                <w:kern w:val="0"/>
                <w:sz w:val="24"/>
              </w:rPr>
            </w:pPr>
            <w:r w:rsidRPr="00A15461">
              <w:rPr>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0.0379%</w:t>
            </w:r>
          </w:p>
        </w:tc>
      </w:tr>
      <w:tr w:rsidR="00941F6C" w:rsidRPr="0097021E" w:rsidTr="00533490">
        <w:tc>
          <w:tcPr>
            <w:tcW w:w="5812" w:type="dxa"/>
            <w:tcBorders>
              <w:top w:val="single" w:sz="8" w:space="0" w:color="000000"/>
              <w:left w:val="single" w:sz="8" w:space="0" w:color="000000"/>
              <w:bottom w:val="single" w:sz="8" w:space="0" w:color="000000"/>
              <w:right w:val="single" w:sz="8" w:space="0" w:color="000000"/>
            </w:tcBorders>
            <w:vAlign w:val="center"/>
          </w:tcPr>
          <w:p w:rsidR="00941F6C" w:rsidRPr="00A15461" w:rsidRDefault="00941F6C" w:rsidP="00404A00">
            <w:pPr>
              <w:autoSpaceDE w:val="0"/>
              <w:autoSpaceDN w:val="0"/>
              <w:adjustRightInd w:val="0"/>
              <w:spacing w:before="29" w:line="360" w:lineRule="auto"/>
              <w:ind w:left="15"/>
              <w:jc w:val="left"/>
              <w:rPr>
                <w:color w:val="000000"/>
                <w:kern w:val="0"/>
                <w:sz w:val="24"/>
              </w:rPr>
            </w:pPr>
            <w:r w:rsidRPr="00A15461">
              <w:rPr>
                <w:color w:val="000000"/>
                <w:kern w:val="0"/>
                <w:sz w:val="24"/>
              </w:rPr>
              <w:t>报告期内每个工作日偏离度的绝对值的简单平均值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bottom"/>
          </w:tcPr>
          <w:p w:rsidR="00941F6C" w:rsidRPr="00A15461" w:rsidRDefault="00941F6C" w:rsidP="00196812">
            <w:pPr>
              <w:spacing w:line="360" w:lineRule="auto"/>
              <w:jc w:val="right"/>
              <w:rPr>
                <w:sz w:val="24"/>
              </w:rPr>
            </w:pPr>
            <w:r w:rsidRPr="00A15461">
              <w:rPr>
                <w:color w:val="000000"/>
                <w:sz w:val="24"/>
              </w:rPr>
              <w:t>0.0763%</w:t>
            </w:r>
          </w:p>
        </w:tc>
      </w:tr>
    </w:tbl>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报告期内负偏离度的绝对值达到</w:t>
      </w:r>
      <w:r w:rsidRPr="004B40EC">
        <w:rPr>
          <w:b/>
          <w:color w:val="000000"/>
          <w:sz w:val="24"/>
        </w:rPr>
        <w:t>0.25%</w:t>
      </w:r>
      <w:r w:rsidRPr="004B40EC">
        <w:rPr>
          <w:b/>
          <w:color w:val="000000"/>
          <w:sz w:val="24"/>
        </w:rPr>
        <w:t>情况说明</w:t>
      </w:r>
    </w:p>
    <w:p w:rsidR="004B40EC" w:rsidRPr="004B40EC" w:rsidRDefault="004B40EC" w:rsidP="004B40EC">
      <w:pPr>
        <w:adjustRightInd w:val="0"/>
        <w:spacing w:line="360" w:lineRule="auto"/>
        <w:ind w:firstLineChars="200" w:firstLine="480"/>
        <w:rPr>
          <w:color w:val="000000"/>
          <w:sz w:val="24"/>
        </w:rPr>
      </w:pPr>
      <w:r w:rsidRPr="004B40EC">
        <w:rPr>
          <w:color w:val="000000"/>
          <w:sz w:val="24"/>
        </w:rPr>
        <w:t>本基金本报告期内不存在负偏离度的绝对值达到</w:t>
      </w:r>
      <w:r w:rsidRPr="004B40EC">
        <w:rPr>
          <w:color w:val="000000"/>
          <w:sz w:val="24"/>
        </w:rPr>
        <w:t>0.25%</w:t>
      </w:r>
      <w:r w:rsidRPr="004B40EC">
        <w:rPr>
          <w:color w:val="000000"/>
          <w:sz w:val="24"/>
        </w:rPr>
        <w:t>的情况。</w:t>
      </w:r>
    </w:p>
    <w:p w:rsidR="004B40EC" w:rsidRPr="004B40EC" w:rsidRDefault="004B40EC" w:rsidP="004B40EC">
      <w:pPr>
        <w:spacing w:line="360" w:lineRule="auto"/>
        <w:rPr>
          <w:rFonts w:eastAsiaTheme="minorEastAsia"/>
          <w:b/>
          <w:color w:val="000000" w:themeColor="text1"/>
          <w:kern w:val="0"/>
          <w:sz w:val="24"/>
        </w:rPr>
      </w:pPr>
      <w:r w:rsidRPr="004B40EC">
        <w:rPr>
          <w:b/>
          <w:color w:val="000000"/>
          <w:sz w:val="24"/>
        </w:rPr>
        <w:t>报告期内正偏离度的绝对值达到</w:t>
      </w:r>
      <w:r w:rsidRPr="004B40EC">
        <w:rPr>
          <w:b/>
          <w:color w:val="000000"/>
          <w:sz w:val="24"/>
        </w:rPr>
        <w:t>0.5%</w:t>
      </w:r>
      <w:r w:rsidRPr="004B40EC">
        <w:rPr>
          <w:b/>
          <w:color w:val="000000"/>
          <w:sz w:val="24"/>
        </w:rPr>
        <w:t>情况说明</w:t>
      </w:r>
    </w:p>
    <w:p w:rsidR="004B40EC" w:rsidRPr="004B40EC" w:rsidRDefault="004B40EC" w:rsidP="00A15461">
      <w:pPr>
        <w:adjustRightInd w:val="0"/>
        <w:spacing w:line="360" w:lineRule="auto"/>
        <w:ind w:firstLineChars="200" w:firstLine="480"/>
        <w:rPr>
          <w:color w:val="000000"/>
          <w:sz w:val="24"/>
        </w:rPr>
      </w:pPr>
      <w:r w:rsidRPr="004B40EC">
        <w:rPr>
          <w:color w:val="000000"/>
          <w:sz w:val="24"/>
        </w:rPr>
        <w:t>本基金本报告期内不存在正偏离度的绝对值达到</w:t>
      </w:r>
      <w:r w:rsidRPr="004B40EC">
        <w:rPr>
          <w:color w:val="000000"/>
          <w:sz w:val="24"/>
        </w:rPr>
        <w:t>0.5%</w:t>
      </w:r>
      <w:r w:rsidRPr="004B40EC">
        <w:rPr>
          <w:color w:val="000000"/>
          <w:sz w:val="24"/>
        </w:rPr>
        <w:t>的情况。</w:t>
      </w:r>
    </w:p>
    <w:p w:rsidR="00941F6C" w:rsidRPr="0097021E" w:rsidRDefault="00941F6C" w:rsidP="00196812">
      <w:pPr>
        <w:spacing w:line="360" w:lineRule="auto"/>
        <w:rPr>
          <w:rFonts w:ascii="宋体" w:cs="Arial"/>
          <w:b/>
          <w:color w:val="000000"/>
          <w:kern w:val="0"/>
          <w:sz w:val="24"/>
        </w:rPr>
      </w:pPr>
      <w:r w:rsidRPr="0097021E">
        <w:rPr>
          <w:rFonts w:ascii="宋体" w:hAnsi="宋体" w:cs="Arial"/>
          <w:b/>
          <w:color w:val="000000"/>
          <w:kern w:val="0"/>
          <w:sz w:val="24"/>
        </w:rPr>
        <w:t>5.</w:t>
      </w:r>
      <w:r w:rsidR="004B40EC">
        <w:rPr>
          <w:rFonts w:ascii="宋体" w:hAnsi="宋体" w:cs="Arial" w:hint="eastAsia"/>
          <w:b/>
          <w:color w:val="000000"/>
          <w:kern w:val="0"/>
          <w:sz w:val="24"/>
        </w:rPr>
        <w:t>8</w:t>
      </w:r>
      <w:r w:rsidR="009A5367">
        <w:rPr>
          <w:rFonts w:ascii="宋体" w:hAnsi="宋体" w:cs="Arial" w:hint="eastAsia"/>
          <w:b/>
          <w:color w:val="000000"/>
          <w:kern w:val="0"/>
          <w:sz w:val="24"/>
        </w:rPr>
        <w:t>报告期末按公允价值占基金资产净值比例大小排名</w:t>
      </w:r>
      <w:r w:rsidRPr="0097021E">
        <w:rPr>
          <w:rFonts w:ascii="宋体" w:hAnsi="宋体" w:cs="Arial" w:hint="eastAsia"/>
          <w:b/>
          <w:color w:val="000000"/>
          <w:kern w:val="0"/>
          <w:sz w:val="24"/>
        </w:rPr>
        <w:t>的前十名资产支持证券投资明细</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本基金本报告期末未持有资产支持证券。</w:t>
      </w:r>
    </w:p>
    <w:p w:rsidR="00941F6C" w:rsidRPr="006662B2" w:rsidRDefault="00941F6C" w:rsidP="00815CDE">
      <w:pPr>
        <w:spacing w:line="360" w:lineRule="auto"/>
        <w:rPr>
          <w:rFonts w:ascii="宋体" w:cs="Arial"/>
          <w:b/>
          <w:color w:val="000000"/>
          <w:kern w:val="0"/>
          <w:sz w:val="24"/>
        </w:rPr>
      </w:pPr>
      <w:r>
        <w:rPr>
          <w:rFonts w:ascii="宋体" w:hAnsi="宋体" w:cs="Arial"/>
          <w:b/>
          <w:color w:val="000000"/>
          <w:kern w:val="0"/>
          <w:sz w:val="24"/>
        </w:rPr>
        <w:t>5</w:t>
      </w:r>
      <w:r w:rsidRPr="006662B2">
        <w:rPr>
          <w:rFonts w:ascii="宋体" w:hAnsi="宋体" w:cs="Arial"/>
          <w:b/>
          <w:color w:val="000000"/>
          <w:kern w:val="0"/>
          <w:sz w:val="24"/>
        </w:rPr>
        <w:t>.</w:t>
      </w:r>
      <w:r>
        <w:rPr>
          <w:rFonts w:ascii="宋体" w:hAnsi="宋体" w:cs="Arial"/>
          <w:b/>
          <w:color w:val="000000"/>
          <w:kern w:val="0"/>
          <w:sz w:val="24"/>
        </w:rPr>
        <w:t>9</w:t>
      </w:r>
      <w:r w:rsidRPr="006662B2">
        <w:rPr>
          <w:rFonts w:ascii="宋体" w:hAnsi="宋体" w:cs="Arial" w:hint="eastAsia"/>
          <w:b/>
          <w:color w:val="000000"/>
          <w:kern w:val="0"/>
          <w:sz w:val="24"/>
        </w:rPr>
        <w:t>投资组合报告附注</w:t>
      </w:r>
    </w:p>
    <w:p w:rsidR="004B40EC" w:rsidRPr="004B40EC" w:rsidRDefault="004B40EC" w:rsidP="004B40EC">
      <w:pPr>
        <w:spacing w:line="360" w:lineRule="auto"/>
        <w:rPr>
          <w:rFonts w:eastAsiaTheme="minorEastAsia"/>
          <w:color w:val="000000" w:themeColor="text1"/>
          <w:sz w:val="24"/>
        </w:rPr>
      </w:pPr>
      <w:r w:rsidRPr="004B40EC">
        <w:rPr>
          <w:rFonts w:eastAsiaTheme="minorEastAsia"/>
          <w:color w:val="000000" w:themeColor="text1"/>
          <w:sz w:val="24"/>
        </w:rPr>
        <w:t>5.9.1</w:t>
      </w:r>
      <w:r w:rsidRPr="004B40EC">
        <w:rPr>
          <w:rFonts w:eastAsiaTheme="minorEastAsia"/>
          <w:color w:val="000000" w:themeColor="text1"/>
          <w:sz w:val="24"/>
        </w:rPr>
        <w:t>基金计价方法说明</w:t>
      </w:r>
    </w:p>
    <w:p w:rsidR="00B520CF" w:rsidRDefault="00560D0C">
      <w:pPr>
        <w:spacing w:line="360" w:lineRule="auto"/>
        <w:ind w:firstLineChars="200" w:firstLine="480"/>
        <w:rPr>
          <w:rFonts w:eastAsiaTheme="minorEastAsia"/>
          <w:color w:val="000000" w:themeColor="text1"/>
          <w:sz w:val="24"/>
        </w:rPr>
      </w:pPr>
      <w:r>
        <w:rPr>
          <w:rFonts w:eastAsiaTheme="minorEastAsia"/>
          <w:color w:val="000000" w:themeColor="text1"/>
          <w:sz w:val="24"/>
        </w:rPr>
        <w:t>本基金目前投资工具的估值方法如下：</w:t>
      </w:r>
    </w:p>
    <w:p w:rsidR="00B520CF" w:rsidRDefault="00560D0C">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）基金持有的债券（包括票据）购买时采用实际支付价款（包含交易费用）确定初始成本，按实际利率计算其摊余成本及各期利息收入，每日计提收益；</w:t>
      </w:r>
    </w:p>
    <w:p w:rsidR="00B520CF" w:rsidRDefault="00560D0C">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）基金持有的回购以成本列示，按实际利率在实际持有期间内逐日计提利息；合同利率与实际利率差异较小的，也可采用合同利率计算确定利息收入；</w:t>
      </w:r>
    </w:p>
    <w:p w:rsidR="00B520CF" w:rsidRDefault="00560D0C">
      <w:pPr>
        <w:spacing w:line="360" w:lineRule="auto"/>
        <w:ind w:firstLineChars="200" w:firstLine="480"/>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）基金持有的银行存款以本金列示，按实际协议利率逐日计提利息。</w:t>
      </w:r>
    </w:p>
    <w:p w:rsidR="00B520CF" w:rsidRDefault="00560D0C">
      <w:pPr>
        <w:spacing w:line="360" w:lineRule="auto"/>
        <w:ind w:firstLineChars="200" w:firstLine="480"/>
        <w:rPr>
          <w:rFonts w:eastAsiaTheme="minorEastAsia"/>
          <w:color w:val="000000" w:themeColor="text1"/>
          <w:sz w:val="24"/>
        </w:rPr>
      </w:pPr>
      <w:r>
        <w:rPr>
          <w:rFonts w:eastAsiaTheme="minorEastAsia"/>
          <w:color w:val="000000" w:themeColor="text1"/>
          <w:sz w:val="24"/>
        </w:rPr>
        <w:t>如有确凿证据表明按上述方法进行估值不能客观反映其公允价值的，基金管理人可</w:t>
      </w:r>
      <w:r>
        <w:rPr>
          <w:rFonts w:eastAsiaTheme="minorEastAsia"/>
          <w:color w:val="000000" w:themeColor="text1"/>
          <w:sz w:val="24"/>
        </w:rPr>
        <w:lastRenderedPageBreak/>
        <w:t>根据具体情况与基金托管人商定后，按最能反映公允价值的方法估值。</w:t>
      </w:r>
    </w:p>
    <w:p w:rsidR="004B40EC" w:rsidRPr="004B40EC" w:rsidRDefault="004B40EC" w:rsidP="004B40EC">
      <w:pPr>
        <w:spacing w:line="360" w:lineRule="auto"/>
        <w:ind w:firstLineChars="200" w:firstLine="480"/>
        <w:rPr>
          <w:rFonts w:eastAsiaTheme="minorEastAsia"/>
          <w:color w:val="000000" w:themeColor="text1"/>
          <w:sz w:val="24"/>
        </w:rPr>
      </w:pPr>
      <w:r w:rsidRPr="004B40EC">
        <w:rPr>
          <w:rFonts w:eastAsiaTheme="minorEastAsia"/>
          <w:color w:val="000000" w:themeColor="text1"/>
          <w:sz w:val="24"/>
        </w:rPr>
        <w:t>如有新增事项，按国家最新规定估值。</w:t>
      </w:r>
    </w:p>
    <w:p w:rsidR="00941F6C" w:rsidRPr="004B40EC" w:rsidRDefault="004B40EC" w:rsidP="004B40EC">
      <w:pPr>
        <w:widowControl/>
        <w:spacing w:line="360" w:lineRule="auto"/>
        <w:rPr>
          <w:color w:val="000000"/>
          <w:sz w:val="24"/>
        </w:rPr>
      </w:pPr>
      <w:r w:rsidRPr="004B40EC">
        <w:rPr>
          <w:rFonts w:eastAsiaTheme="minorEastAsia"/>
          <w:color w:val="000000" w:themeColor="text1"/>
          <w:sz w:val="24"/>
        </w:rPr>
        <w:t>5.9.219</w:t>
      </w:r>
      <w:r w:rsidRPr="004B40EC">
        <w:rPr>
          <w:rFonts w:eastAsiaTheme="minorEastAsia"/>
          <w:color w:val="000000" w:themeColor="text1"/>
          <w:sz w:val="24"/>
        </w:rPr>
        <w:t>招商银行</w:t>
      </w:r>
      <w:r w:rsidRPr="004B40EC">
        <w:rPr>
          <w:rFonts w:eastAsiaTheme="minorEastAsia"/>
          <w:color w:val="000000" w:themeColor="text1"/>
          <w:sz w:val="24"/>
        </w:rPr>
        <w:t>CD011</w:t>
      </w:r>
      <w:r w:rsidRPr="004B40EC">
        <w:rPr>
          <w:rFonts w:eastAsiaTheme="minorEastAsia"/>
          <w:color w:val="000000" w:themeColor="text1"/>
          <w:sz w:val="24"/>
        </w:rPr>
        <w:t>（代码：</w:t>
      </w:r>
      <w:r w:rsidRPr="004B40EC">
        <w:rPr>
          <w:rFonts w:eastAsiaTheme="minorEastAsia"/>
          <w:color w:val="000000" w:themeColor="text1"/>
          <w:sz w:val="24"/>
        </w:rPr>
        <w:t>111907011</w:t>
      </w:r>
      <w:r w:rsidRPr="004B40EC">
        <w:rPr>
          <w:rFonts w:eastAsiaTheme="minorEastAsia"/>
          <w:color w:val="000000" w:themeColor="text1"/>
          <w:sz w:val="24"/>
        </w:rPr>
        <w:t>）、</w:t>
      </w:r>
      <w:r w:rsidRPr="004B40EC">
        <w:rPr>
          <w:rFonts w:eastAsiaTheme="minorEastAsia"/>
          <w:color w:val="000000" w:themeColor="text1"/>
          <w:sz w:val="24"/>
        </w:rPr>
        <w:t>19</w:t>
      </w:r>
      <w:r w:rsidRPr="004B40EC">
        <w:rPr>
          <w:rFonts w:eastAsiaTheme="minorEastAsia"/>
          <w:color w:val="000000" w:themeColor="text1"/>
          <w:sz w:val="24"/>
        </w:rPr>
        <w:t>招商银行</w:t>
      </w:r>
      <w:r w:rsidRPr="004B40EC">
        <w:rPr>
          <w:rFonts w:eastAsiaTheme="minorEastAsia"/>
          <w:color w:val="000000" w:themeColor="text1"/>
          <w:sz w:val="24"/>
        </w:rPr>
        <w:t>CD099</w:t>
      </w:r>
      <w:r w:rsidRPr="004B40EC">
        <w:rPr>
          <w:rFonts w:eastAsiaTheme="minorEastAsia"/>
          <w:color w:val="000000" w:themeColor="text1"/>
          <w:sz w:val="24"/>
        </w:rPr>
        <w:t>（代码：</w:t>
      </w:r>
      <w:r w:rsidRPr="004B40EC">
        <w:rPr>
          <w:rFonts w:eastAsiaTheme="minorEastAsia"/>
          <w:color w:val="000000" w:themeColor="text1"/>
          <w:sz w:val="24"/>
        </w:rPr>
        <w:t>111907099</w:t>
      </w:r>
      <w:r w:rsidRPr="004B40EC">
        <w:rPr>
          <w:rFonts w:eastAsiaTheme="minorEastAsia"/>
          <w:color w:val="000000" w:themeColor="text1"/>
          <w:sz w:val="24"/>
        </w:rPr>
        <w:t>）是易方达天天增利货币市场基金的前十大持仓证券。</w:t>
      </w:r>
      <w:r w:rsidRPr="004B40EC">
        <w:rPr>
          <w:rFonts w:eastAsiaTheme="minorEastAsia"/>
          <w:color w:val="000000" w:themeColor="text1"/>
          <w:sz w:val="24"/>
        </w:rPr>
        <w:t>2019</w:t>
      </w:r>
      <w:r w:rsidRPr="004B40EC">
        <w:rPr>
          <w:rFonts w:eastAsiaTheme="minorEastAsia"/>
          <w:color w:val="000000" w:themeColor="text1"/>
          <w:sz w:val="24"/>
        </w:rPr>
        <w:t>年</w:t>
      </w:r>
      <w:r w:rsidRPr="004B40EC">
        <w:rPr>
          <w:rFonts w:eastAsiaTheme="minorEastAsia"/>
          <w:color w:val="000000" w:themeColor="text1"/>
          <w:sz w:val="24"/>
        </w:rPr>
        <w:t>7</w:t>
      </w:r>
      <w:r w:rsidRPr="004B40EC">
        <w:rPr>
          <w:rFonts w:eastAsiaTheme="minorEastAsia"/>
          <w:color w:val="000000" w:themeColor="text1"/>
          <w:sz w:val="24"/>
        </w:rPr>
        <w:t>月</w:t>
      </w:r>
      <w:r w:rsidRPr="004B40EC">
        <w:rPr>
          <w:rFonts w:eastAsiaTheme="minorEastAsia"/>
          <w:color w:val="000000" w:themeColor="text1"/>
          <w:sz w:val="24"/>
        </w:rPr>
        <w:t>8</w:t>
      </w:r>
      <w:r w:rsidRPr="004B40EC">
        <w:rPr>
          <w:rFonts w:eastAsiaTheme="minorEastAsia"/>
          <w:color w:val="000000" w:themeColor="text1"/>
          <w:sz w:val="24"/>
        </w:rPr>
        <w:t>日，中国银行保险监督管理委员会上海监管局针对招商银行股份有限公司信用卡中心在为部分客户办理信用卡业务时未遵守总授信额度管理制度的行为，对招商银行股份有限公司处以责令改正，并处罚款</w:t>
      </w:r>
      <w:r w:rsidRPr="004B40EC">
        <w:rPr>
          <w:rFonts w:eastAsiaTheme="minorEastAsia"/>
          <w:color w:val="000000" w:themeColor="text1"/>
          <w:sz w:val="24"/>
        </w:rPr>
        <w:t>20</w:t>
      </w:r>
      <w:r w:rsidRPr="004B40EC">
        <w:rPr>
          <w:rFonts w:eastAsiaTheme="minorEastAsia"/>
          <w:color w:val="000000" w:themeColor="text1"/>
          <w:sz w:val="24"/>
        </w:rPr>
        <w:t>万元。</w:t>
      </w:r>
    </w:p>
    <w:p w:rsidR="00B520CF" w:rsidRDefault="00560D0C">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CD147</w:t>
      </w:r>
      <w:r>
        <w:rPr>
          <w:rFonts w:eastAsiaTheme="minorEastAsia"/>
          <w:color w:val="000000" w:themeColor="text1"/>
          <w:sz w:val="24"/>
        </w:rPr>
        <w:t>（代码：</w:t>
      </w:r>
      <w:r>
        <w:rPr>
          <w:rFonts w:eastAsiaTheme="minorEastAsia"/>
          <w:color w:val="000000" w:themeColor="text1"/>
          <w:sz w:val="24"/>
        </w:rPr>
        <w:t>111903147</w:t>
      </w:r>
      <w:r>
        <w:rPr>
          <w:rFonts w:eastAsiaTheme="minorEastAsia"/>
          <w:color w:val="000000" w:themeColor="text1"/>
          <w:sz w:val="24"/>
        </w:rPr>
        <w:t>）是易方达天天增利货币市场基金的前十大持仓证券。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w:t>
      </w:r>
      <w:r>
        <w:rPr>
          <w:rFonts w:eastAsiaTheme="minorEastAsia"/>
          <w:color w:val="000000" w:themeColor="text1"/>
          <w:sz w:val="24"/>
        </w:rPr>
        <w:t>7</w:t>
      </w:r>
      <w:r>
        <w:rPr>
          <w:rFonts w:eastAsiaTheme="minorEastAsia"/>
          <w:color w:val="000000" w:themeColor="text1"/>
          <w:sz w:val="24"/>
        </w:rPr>
        <w:t>日，中国银保监会上海监管局针对中国农业银行股份有限公司中心部分信用卡资金违规用于非消费领域的违法违规行为，作出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50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日，中国银行保险监督管理委员会上海监管局针对中国农业银行股份有限公司信用卡中心的如下违法违规行为作出</w:t>
      </w:r>
      <w:r>
        <w:rPr>
          <w:rFonts w:eastAsiaTheme="minorEastAsia"/>
          <w:color w:val="000000" w:themeColor="text1"/>
          <w:sz w:val="24"/>
        </w:rPr>
        <w:t>“</w:t>
      </w:r>
      <w:r>
        <w:rPr>
          <w:rFonts w:eastAsiaTheme="minorEastAsia"/>
          <w:color w:val="000000" w:themeColor="text1"/>
          <w:sz w:val="24"/>
        </w:rPr>
        <w:t>责令改正，并处罚款</w:t>
      </w:r>
      <w:r>
        <w:rPr>
          <w:rFonts w:eastAsiaTheme="minorEastAsia"/>
          <w:color w:val="000000" w:themeColor="text1"/>
          <w:sz w:val="24"/>
        </w:rPr>
        <w:t>20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5</w:t>
      </w:r>
      <w:r>
        <w:rPr>
          <w:rFonts w:eastAsiaTheme="minorEastAsia"/>
          <w:color w:val="000000" w:themeColor="text1"/>
          <w:sz w:val="24"/>
        </w:rPr>
        <w:t>月至</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月在办理部分客户信用卡业务时</w:t>
      </w:r>
      <w:r>
        <w:rPr>
          <w:rFonts w:eastAsiaTheme="minorEastAsia"/>
          <w:color w:val="000000" w:themeColor="text1"/>
          <w:sz w:val="24"/>
        </w:rPr>
        <w:t>未遵守总授信额度管理制度的违法违规事实。</w:t>
      </w:r>
    </w:p>
    <w:p w:rsidR="00B520CF" w:rsidRDefault="00560D0C">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CD013</w:t>
      </w:r>
      <w:r>
        <w:rPr>
          <w:rFonts w:eastAsiaTheme="minorEastAsia"/>
          <w:color w:val="000000" w:themeColor="text1"/>
          <w:sz w:val="24"/>
        </w:rPr>
        <w:t>（代码：</w:t>
      </w:r>
      <w:r>
        <w:rPr>
          <w:rFonts w:eastAsiaTheme="minorEastAsia"/>
          <w:color w:val="000000" w:themeColor="text1"/>
          <w:sz w:val="24"/>
        </w:rPr>
        <w:t>111906013</w:t>
      </w:r>
      <w:r>
        <w:rPr>
          <w:rFonts w:eastAsiaTheme="minorEastAsia"/>
          <w:color w:val="000000" w:themeColor="text1"/>
          <w:sz w:val="24"/>
        </w:rPr>
        <w:t>）是易方达天天增利货币市场基金的前十大持仓证券。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18</w:t>
      </w:r>
      <w:r>
        <w:rPr>
          <w:rFonts w:eastAsiaTheme="minorEastAsia"/>
          <w:color w:val="000000" w:themeColor="text1"/>
          <w:sz w:val="24"/>
        </w:rPr>
        <w:t>日，中国保监会上海保监局针对交通银行股份有限公司的有关违法违规行为作出</w:t>
      </w:r>
      <w:r>
        <w:rPr>
          <w:rFonts w:eastAsiaTheme="minorEastAsia"/>
          <w:color w:val="000000" w:themeColor="text1"/>
          <w:sz w:val="24"/>
        </w:rPr>
        <w:t>“</w:t>
      </w:r>
      <w:r>
        <w:rPr>
          <w:rFonts w:eastAsiaTheme="minorEastAsia"/>
          <w:color w:val="000000" w:themeColor="text1"/>
          <w:sz w:val="24"/>
        </w:rPr>
        <w:t>责令改正，并处</w:t>
      </w:r>
      <w:r>
        <w:rPr>
          <w:rFonts w:eastAsiaTheme="minorEastAsia"/>
          <w:color w:val="000000" w:themeColor="text1"/>
          <w:sz w:val="24"/>
        </w:rPr>
        <w:t>34</w:t>
      </w:r>
      <w:r>
        <w:rPr>
          <w:rFonts w:eastAsiaTheme="minorEastAsia"/>
          <w:color w:val="000000" w:themeColor="text1"/>
          <w:sz w:val="24"/>
        </w:rPr>
        <w:t>万元罚款</w:t>
      </w:r>
      <w:r>
        <w:rPr>
          <w:rFonts w:eastAsiaTheme="minorEastAsia"/>
          <w:color w:val="000000" w:themeColor="text1"/>
          <w:sz w:val="24"/>
        </w:rPr>
        <w:t>”</w:t>
      </w:r>
      <w:r>
        <w:rPr>
          <w:rFonts w:eastAsiaTheme="minorEastAsia"/>
          <w:color w:val="000000" w:themeColor="text1"/>
          <w:sz w:val="24"/>
        </w:rPr>
        <w:t>的行政处罚决定：（一）欺骗投保人；（二）向投保人隐瞒与合同有关的重要情况。</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日，中国银行保险监督管理委员会对交通银行股份有限公司的有关违法违规行为罚款</w:t>
      </w:r>
      <w:r>
        <w:rPr>
          <w:rFonts w:eastAsiaTheme="minorEastAsia"/>
          <w:color w:val="000000" w:themeColor="text1"/>
          <w:sz w:val="24"/>
        </w:rPr>
        <w:t>50</w:t>
      </w:r>
      <w:r>
        <w:rPr>
          <w:rFonts w:eastAsiaTheme="minorEastAsia"/>
          <w:color w:val="000000" w:themeColor="text1"/>
          <w:sz w:val="24"/>
        </w:rPr>
        <w:t>万元：并购贷款占并购交易价款比例不合规、并购贷款尽职调查和风险评估不到位。</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日，中国银行保险监督管理委员会对交通银行股份有限公司的有关违法违规行为罚款</w:t>
      </w:r>
      <w:r>
        <w:rPr>
          <w:rFonts w:eastAsiaTheme="minorEastAsia"/>
          <w:color w:val="000000" w:themeColor="text1"/>
          <w:sz w:val="24"/>
        </w:rPr>
        <w:t>690</w:t>
      </w:r>
      <w:r>
        <w:rPr>
          <w:rFonts w:eastAsiaTheme="minorEastAsia"/>
          <w:color w:val="000000" w:themeColor="text1"/>
          <w:sz w:val="24"/>
        </w:rPr>
        <w:t>万元：（一）不良信贷资产未洁净转让、理财资金投资本行不良信贷资产收益权；（二）未尽职调查并使用自有资金垫付承接风险资产；（三）档案管理不到位、内控管理存在严重漏洞；（四）理财资金借助保险资管渠道虚增本行存款规模；（五）违规向土地储备机构提供融资；（六）信贷资金违规承接本行表外理财资产；（七）理财资金违规投资项目资本金；（八）部分理财产品信息披露不合规；（九）现场检查配合不力。</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日，中国银行保险监督管理委员</w:t>
      </w:r>
      <w:r>
        <w:rPr>
          <w:rFonts w:eastAsiaTheme="minorEastAsia"/>
          <w:color w:val="000000" w:themeColor="text1"/>
          <w:sz w:val="24"/>
        </w:rPr>
        <w:t>会上海监管局对交通银行股份有限公司太平洋信用卡中心的如下违</w:t>
      </w:r>
      <w:r>
        <w:rPr>
          <w:rFonts w:eastAsiaTheme="minorEastAsia"/>
          <w:color w:val="000000" w:themeColor="text1"/>
          <w:sz w:val="24"/>
        </w:rPr>
        <w:lastRenderedPageBreak/>
        <w:t>法违规行为作出</w:t>
      </w:r>
      <w:r>
        <w:rPr>
          <w:rFonts w:eastAsiaTheme="minorEastAsia"/>
          <w:color w:val="000000" w:themeColor="text1"/>
          <w:sz w:val="24"/>
        </w:rPr>
        <w:t>“</w:t>
      </w:r>
      <w:r>
        <w:rPr>
          <w:rFonts w:eastAsiaTheme="minorEastAsia"/>
          <w:color w:val="000000" w:themeColor="text1"/>
          <w:sz w:val="24"/>
        </w:rPr>
        <w:t>处以责令改正，并处罚款</w:t>
      </w:r>
      <w:r>
        <w:rPr>
          <w:rFonts w:eastAsiaTheme="minorEastAsia"/>
          <w:color w:val="000000" w:themeColor="text1"/>
          <w:sz w:val="24"/>
        </w:rPr>
        <w:t>40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月至</w:t>
      </w:r>
      <w:r>
        <w:rPr>
          <w:rFonts w:eastAsiaTheme="minorEastAsia"/>
          <w:color w:val="000000" w:themeColor="text1"/>
          <w:sz w:val="24"/>
        </w:rPr>
        <w:t>10</w:t>
      </w:r>
      <w:r>
        <w:rPr>
          <w:rFonts w:eastAsiaTheme="minorEastAsia"/>
          <w:color w:val="000000" w:themeColor="text1"/>
          <w:sz w:val="24"/>
        </w:rPr>
        <w:t>月期间在办理部分客户信用卡业务时未遵守总授信额度管理制度。</w:t>
      </w:r>
    </w:p>
    <w:p w:rsidR="00B520CF" w:rsidRDefault="00560D0C">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CD046</w:t>
      </w:r>
      <w:r>
        <w:rPr>
          <w:rFonts w:eastAsiaTheme="minorEastAsia"/>
          <w:color w:val="000000" w:themeColor="text1"/>
          <w:sz w:val="24"/>
        </w:rPr>
        <w:t>（代码：</w:t>
      </w:r>
      <w:r>
        <w:rPr>
          <w:rFonts w:eastAsiaTheme="minorEastAsia"/>
          <w:color w:val="000000" w:themeColor="text1"/>
          <w:sz w:val="24"/>
        </w:rPr>
        <w:t>111908046</w:t>
      </w:r>
      <w:r>
        <w:rPr>
          <w:rFonts w:eastAsiaTheme="minorEastAsia"/>
          <w:color w:val="000000" w:themeColor="text1"/>
          <w:sz w:val="24"/>
        </w:rPr>
        <w:t>）是易方达天天增利货币市场基金的前十大持仓证券。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日，中国银行保险监督管理委员会针对中信银行股份有限公司的如下违法违规行为作出罚款</w:t>
      </w:r>
      <w:r>
        <w:rPr>
          <w:rFonts w:eastAsiaTheme="minorEastAsia"/>
          <w:color w:val="000000" w:themeColor="text1"/>
          <w:sz w:val="24"/>
        </w:rPr>
        <w:t>2280</w:t>
      </w:r>
      <w:r>
        <w:rPr>
          <w:rFonts w:eastAsiaTheme="minorEastAsia"/>
          <w:color w:val="000000" w:themeColor="text1"/>
          <w:sz w:val="24"/>
        </w:rPr>
        <w:t>万元的行政处罚决定：（一）理财资金违规缴纳土地款；（二）自有资金融资违规缴纳土地款；（三）为非保本理财产品</w:t>
      </w:r>
      <w:r>
        <w:rPr>
          <w:rFonts w:eastAsiaTheme="minorEastAsia"/>
          <w:color w:val="000000" w:themeColor="text1"/>
          <w:sz w:val="24"/>
        </w:rPr>
        <w:t>提供保本承诺；（四）本行信贷资金为理财产品提供融资；（五）收益权转让业务违规提供信用担保；（六）项目投资审核严重缺位。</w:t>
      </w:r>
      <w:r>
        <w:rPr>
          <w:rFonts w:eastAsiaTheme="minorEastAsia"/>
          <w:color w:val="000000" w:themeColor="text1"/>
          <w:sz w:val="24"/>
        </w:rPr>
        <w:t xml:space="preserve"> 2019</w:t>
      </w:r>
      <w:r>
        <w:rPr>
          <w:rFonts w:eastAsiaTheme="minorEastAsia"/>
          <w:color w:val="000000" w:themeColor="text1"/>
          <w:sz w:val="24"/>
        </w:rPr>
        <w:t>年</w:t>
      </w:r>
      <w:r>
        <w:rPr>
          <w:rFonts w:eastAsiaTheme="minorEastAsia"/>
          <w:color w:val="000000" w:themeColor="text1"/>
          <w:sz w:val="24"/>
        </w:rPr>
        <w:t>7</w:t>
      </w:r>
      <w:r>
        <w:rPr>
          <w:rFonts w:eastAsiaTheme="minorEastAsia"/>
          <w:color w:val="000000" w:themeColor="text1"/>
          <w:sz w:val="24"/>
        </w:rPr>
        <w:t>月</w:t>
      </w:r>
      <w:r>
        <w:rPr>
          <w:rFonts w:eastAsiaTheme="minorEastAsia"/>
          <w:color w:val="000000" w:themeColor="text1"/>
          <w:sz w:val="24"/>
        </w:rPr>
        <w:t>3</w:t>
      </w:r>
      <w:r>
        <w:rPr>
          <w:rFonts w:eastAsiaTheme="minorEastAsia"/>
          <w:color w:val="000000" w:themeColor="text1"/>
          <w:sz w:val="24"/>
        </w:rPr>
        <w:t>日，中国银行保险监督管理委员会针对中信银行股份有限公司的如下违法违规行为，作出</w:t>
      </w:r>
      <w:r>
        <w:rPr>
          <w:rFonts w:eastAsiaTheme="minorEastAsia"/>
          <w:color w:val="000000" w:themeColor="text1"/>
          <w:sz w:val="24"/>
        </w:rPr>
        <w:t>“</w:t>
      </w:r>
      <w:r>
        <w:rPr>
          <w:rFonts w:eastAsiaTheme="minorEastAsia"/>
          <w:color w:val="000000" w:themeColor="text1"/>
          <w:sz w:val="24"/>
        </w:rPr>
        <w:t>没收违法所得</w:t>
      </w:r>
      <w:r>
        <w:rPr>
          <w:rFonts w:eastAsiaTheme="minorEastAsia"/>
          <w:color w:val="000000" w:themeColor="text1"/>
          <w:sz w:val="24"/>
        </w:rPr>
        <w:t>33.6677</w:t>
      </w:r>
      <w:r>
        <w:rPr>
          <w:rFonts w:eastAsiaTheme="minorEastAsia"/>
          <w:color w:val="000000" w:themeColor="text1"/>
          <w:sz w:val="24"/>
        </w:rPr>
        <w:t>万元，罚款</w:t>
      </w:r>
      <w:r>
        <w:rPr>
          <w:rFonts w:eastAsiaTheme="minorEastAsia"/>
          <w:color w:val="000000" w:themeColor="text1"/>
          <w:sz w:val="24"/>
        </w:rPr>
        <w:t>2190</w:t>
      </w:r>
      <w:r>
        <w:rPr>
          <w:rFonts w:eastAsiaTheme="minorEastAsia"/>
          <w:color w:val="000000" w:themeColor="text1"/>
          <w:sz w:val="24"/>
        </w:rPr>
        <w:t>万元，合计</w:t>
      </w:r>
      <w:r>
        <w:rPr>
          <w:rFonts w:eastAsiaTheme="minorEastAsia"/>
          <w:color w:val="000000" w:themeColor="text1"/>
          <w:sz w:val="24"/>
        </w:rPr>
        <w:t>2223.6677</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的行政处罚决定：（一）未按规定提供报表且逾期未改正</w:t>
      </w:r>
      <w:r>
        <w:rPr>
          <w:rFonts w:eastAsiaTheme="minorEastAsia"/>
          <w:color w:val="000000" w:themeColor="text1"/>
          <w:sz w:val="24"/>
        </w:rPr>
        <w:t>;</w:t>
      </w:r>
      <w:r>
        <w:rPr>
          <w:rFonts w:eastAsiaTheme="minorEastAsia"/>
          <w:color w:val="000000" w:themeColor="text1"/>
          <w:sz w:val="24"/>
        </w:rPr>
        <w:t>（二）错报、漏报银行业监管统计资料；（三）未向监管部门报告重要信息系统运营中断事件</w:t>
      </w:r>
      <w:r>
        <w:rPr>
          <w:rFonts w:eastAsiaTheme="minorEastAsia"/>
          <w:color w:val="000000" w:themeColor="text1"/>
          <w:sz w:val="24"/>
        </w:rPr>
        <w:t>;</w:t>
      </w:r>
      <w:r>
        <w:rPr>
          <w:rFonts w:eastAsiaTheme="minorEastAsia"/>
          <w:color w:val="000000" w:themeColor="text1"/>
          <w:sz w:val="24"/>
        </w:rPr>
        <w:t>（四）信息系统控制存在较大安全漏洞，未做到有效的安全控制</w:t>
      </w:r>
      <w:r>
        <w:rPr>
          <w:rFonts w:eastAsiaTheme="minorEastAsia"/>
          <w:color w:val="000000" w:themeColor="text1"/>
          <w:sz w:val="24"/>
        </w:rPr>
        <w:t>;</w:t>
      </w:r>
      <w:r>
        <w:rPr>
          <w:rFonts w:eastAsiaTheme="minorEastAsia"/>
          <w:color w:val="000000" w:themeColor="text1"/>
          <w:sz w:val="24"/>
        </w:rPr>
        <w:t>（五）未按企业划型标准将</w:t>
      </w:r>
      <w:r>
        <w:rPr>
          <w:rFonts w:eastAsiaTheme="minorEastAsia"/>
          <w:color w:val="000000" w:themeColor="text1"/>
          <w:sz w:val="24"/>
        </w:rPr>
        <w:t>多家企业划分为小微型企业，报送监管数据不真实</w:t>
      </w:r>
      <w:r>
        <w:rPr>
          <w:rFonts w:eastAsiaTheme="minorEastAsia"/>
          <w:color w:val="000000" w:themeColor="text1"/>
          <w:sz w:val="24"/>
        </w:rPr>
        <w:t>;</w:t>
      </w:r>
      <w:r>
        <w:rPr>
          <w:rFonts w:eastAsiaTheme="minorEastAsia"/>
          <w:color w:val="000000" w:themeColor="text1"/>
          <w:sz w:val="24"/>
        </w:rPr>
        <w:t>（六）向关系人发放信用贷款、向关系人发放担保贷款的条件优于其他借款人同类贷款条件</w:t>
      </w:r>
      <w:r>
        <w:rPr>
          <w:rFonts w:eastAsiaTheme="minorEastAsia"/>
          <w:color w:val="000000" w:themeColor="text1"/>
          <w:sz w:val="24"/>
        </w:rPr>
        <w:t>;</w:t>
      </w:r>
      <w:r>
        <w:rPr>
          <w:rFonts w:eastAsiaTheme="minorEastAsia"/>
          <w:color w:val="000000" w:themeColor="text1"/>
          <w:sz w:val="24"/>
        </w:rPr>
        <w:t>（七）重大关联交易未按规定审查审批且未向监管部门报告</w:t>
      </w:r>
      <w:r>
        <w:rPr>
          <w:rFonts w:eastAsiaTheme="minorEastAsia"/>
          <w:color w:val="000000" w:themeColor="text1"/>
          <w:sz w:val="24"/>
        </w:rPr>
        <w:t>;</w:t>
      </w:r>
      <w:r>
        <w:rPr>
          <w:rFonts w:eastAsiaTheme="minorEastAsia"/>
          <w:color w:val="000000" w:themeColor="text1"/>
          <w:sz w:val="24"/>
        </w:rPr>
        <w:t>（八）贷后管理不到位导致贷款资金被挪用</w:t>
      </w:r>
      <w:r>
        <w:rPr>
          <w:rFonts w:eastAsiaTheme="minorEastAsia"/>
          <w:color w:val="000000" w:themeColor="text1"/>
          <w:sz w:val="24"/>
        </w:rPr>
        <w:t>;</w:t>
      </w:r>
      <w:r>
        <w:rPr>
          <w:rFonts w:eastAsiaTheme="minorEastAsia"/>
          <w:color w:val="000000" w:themeColor="text1"/>
          <w:sz w:val="24"/>
        </w:rPr>
        <w:t>（九）以流动资金贷款名义发放房地产开发贷款</w:t>
      </w:r>
      <w:r>
        <w:rPr>
          <w:rFonts w:eastAsiaTheme="minorEastAsia"/>
          <w:color w:val="000000" w:themeColor="text1"/>
          <w:sz w:val="24"/>
        </w:rPr>
        <w:t>;</w:t>
      </w:r>
      <w:r>
        <w:rPr>
          <w:rFonts w:eastAsiaTheme="minorEastAsia"/>
          <w:color w:val="000000" w:themeColor="text1"/>
          <w:sz w:val="24"/>
        </w:rPr>
        <w:t>（十）未将房地产企业贷款计入房地产开发贷款科目</w:t>
      </w:r>
      <w:r>
        <w:rPr>
          <w:rFonts w:eastAsiaTheme="minorEastAsia"/>
          <w:color w:val="000000" w:themeColor="text1"/>
          <w:sz w:val="24"/>
        </w:rPr>
        <w:t>;</w:t>
      </w:r>
      <w:r>
        <w:rPr>
          <w:rFonts w:eastAsiaTheme="minorEastAsia"/>
          <w:color w:val="000000" w:themeColor="text1"/>
          <w:sz w:val="24"/>
        </w:rPr>
        <w:t>（十一）投资同一家银行机构同期非保本理财产品采用风险权重不一致</w:t>
      </w:r>
      <w:r>
        <w:rPr>
          <w:rFonts w:eastAsiaTheme="minorEastAsia"/>
          <w:color w:val="000000" w:themeColor="text1"/>
          <w:sz w:val="24"/>
        </w:rPr>
        <w:t>;</w:t>
      </w:r>
      <w:r>
        <w:rPr>
          <w:rFonts w:eastAsiaTheme="minorEastAsia"/>
          <w:color w:val="000000" w:themeColor="text1"/>
          <w:sz w:val="24"/>
        </w:rPr>
        <w:t>（十二）购买非保本理财产品签订可提前赎回协议，未准确计量风险加权资产</w:t>
      </w:r>
      <w:r>
        <w:rPr>
          <w:rFonts w:eastAsiaTheme="minorEastAsia"/>
          <w:color w:val="000000" w:themeColor="text1"/>
          <w:sz w:val="24"/>
        </w:rPr>
        <w:t>;</w:t>
      </w:r>
      <w:r>
        <w:rPr>
          <w:rFonts w:eastAsiaTheme="minorEastAsia"/>
          <w:color w:val="000000" w:themeColor="text1"/>
          <w:sz w:val="24"/>
        </w:rPr>
        <w:t>（十三）未按规定计提资产支持证券业务的风险加权资产。</w:t>
      </w:r>
    </w:p>
    <w:p w:rsidR="00B520CF" w:rsidRDefault="00560D0C">
      <w:pPr>
        <w:widowControl/>
        <w:spacing w:line="360" w:lineRule="auto"/>
        <w:rPr>
          <w:color w:val="000000"/>
          <w:sz w:val="24"/>
        </w:rPr>
      </w:pPr>
      <w:r>
        <w:rPr>
          <w:rFonts w:eastAsiaTheme="minorEastAsia"/>
          <w:color w:val="000000" w:themeColor="text1"/>
          <w:sz w:val="24"/>
        </w:rPr>
        <w:t>19</w:t>
      </w:r>
      <w:r>
        <w:rPr>
          <w:rFonts w:eastAsiaTheme="minorEastAsia"/>
          <w:color w:val="000000" w:themeColor="text1"/>
          <w:sz w:val="24"/>
        </w:rPr>
        <w:t>北京银</w:t>
      </w:r>
      <w:r>
        <w:rPr>
          <w:rFonts w:eastAsiaTheme="minorEastAsia"/>
          <w:color w:val="000000" w:themeColor="text1"/>
          <w:sz w:val="24"/>
        </w:rPr>
        <w:t>行</w:t>
      </w:r>
      <w:r>
        <w:rPr>
          <w:rFonts w:eastAsiaTheme="minorEastAsia"/>
          <w:color w:val="000000" w:themeColor="text1"/>
          <w:sz w:val="24"/>
        </w:rPr>
        <w:t>CD029</w:t>
      </w:r>
      <w:r>
        <w:rPr>
          <w:rFonts w:eastAsiaTheme="minorEastAsia"/>
          <w:color w:val="000000" w:themeColor="text1"/>
          <w:sz w:val="24"/>
        </w:rPr>
        <w:t>（代码：</w:t>
      </w:r>
      <w:r>
        <w:rPr>
          <w:rFonts w:eastAsiaTheme="minorEastAsia"/>
          <w:color w:val="000000" w:themeColor="text1"/>
          <w:sz w:val="24"/>
        </w:rPr>
        <w:t>111912029</w:t>
      </w:r>
      <w:r>
        <w:rPr>
          <w:rFonts w:eastAsiaTheme="minorEastAsia"/>
          <w:color w:val="000000" w:themeColor="text1"/>
          <w:sz w:val="24"/>
        </w:rPr>
        <w:t>）是易方达天天增利货币市场基金的前十大持仓证券。</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3</w:t>
      </w:r>
      <w:r>
        <w:rPr>
          <w:rFonts w:eastAsiaTheme="minorEastAsia"/>
          <w:color w:val="000000" w:themeColor="text1"/>
          <w:sz w:val="24"/>
        </w:rPr>
        <w:t>日，北京银保监局对北京银行作出</w:t>
      </w:r>
      <w:r>
        <w:rPr>
          <w:rFonts w:eastAsiaTheme="minorEastAsia"/>
          <w:color w:val="000000" w:themeColor="text1"/>
          <w:sz w:val="24"/>
        </w:rPr>
        <w:t>“</w:t>
      </w:r>
      <w:r>
        <w:rPr>
          <w:rFonts w:eastAsiaTheme="minorEastAsia"/>
          <w:color w:val="000000" w:themeColor="text1"/>
          <w:sz w:val="24"/>
        </w:rPr>
        <w:t>责令改正，并给予合计</w:t>
      </w:r>
      <w:r>
        <w:rPr>
          <w:rFonts w:eastAsiaTheme="minorEastAsia"/>
          <w:color w:val="000000" w:themeColor="text1"/>
          <w:sz w:val="24"/>
        </w:rPr>
        <w:t>110</w:t>
      </w:r>
      <w:r>
        <w:rPr>
          <w:rFonts w:eastAsiaTheme="minorEastAsia"/>
          <w:color w:val="000000" w:themeColor="text1"/>
          <w:sz w:val="24"/>
        </w:rPr>
        <w:t>万元罚款的行政处罚</w:t>
      </w:r>
      <w:r>
        <w:rPr>
          <w:rFonts w:eastAsiaTheme="minorEastAsia"/>
          <w:color w:val="000000" w:themeColor="text1"/>
          <w:sz w:val="24"/>
        </w:rPr>
        <w:t>”</w:t>
      </w:r>
      <w:r>
        <w:rPr>
          <w:rFonts w:eastAsiaTheme="minorEastAsia"/>
          <w:color w:val="000000" w:themeColor="text1"/>
          <w:sz w:val="24"/>
        </w:rPr>
        <w:t>的行政处罚。违法违规事由：个人消费贷款被挪用于支付购房首付款或投资股权、个别个人商办用房贷款违反房地产调控政策、同业投资通过信托通道违规发放土地储备贷款。</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w:t>
      </w:r>
      <w:r>
        <w:rPr>
          <w:rFonts w:eastAsiaTheme="minorEastAsia"/>
          <w:color w:val="000000" w:themeColor="text1"/>
          <w:sz w:val="24"/>
        </w:rPr>
        <w:t>25</w:t>
      </w:r>
      <w:r>
        <w:rPr>
          <w:rFonts w:eastAsiaTheme="minorEastAsia"/>
          <w:color w:val="000000" w:themeColor="text1"/>
          <w:sz w:val="24"/>
        </w:rPr>
        <w:t>日，北京银保监局对北京银行作出</w:t>
      </w:r>
      <w:r>
        <w:rPr>
          <w:rFonts w:eastAsiaTheme="minorEastAsia"/>
          <w:color w:val="000000" w:themeColor="text1"/>
          <w:sz w:val="24"/>
        </w:rPr>
        <w:t>“</w:t>
      </w:r>
      <w:r>
        <w:rPr>
          <w:rFonts w:eastAsiaTheme="minorEastAsia"/>
          <w:color w:val="000000" w:themeColor="text1"/>
          <w:sz w:val="24"/>
        </w:rPr>
        <w:t>责令改正，并给予合计</w:t>
      </w:r>
      <w:r>
        <w:rPr>
          <w:rFonts w:eastAsiaTheme="minorEastAsia"/>
          <w:color w:val="000000" w:themeColor="text1"/>
          <w:sz w:val="24"/>
        </w:rPr>
        <w:t>100</w:t>
      </w:r>
      <w:r>
        <w:rPr>
          <w:rFonts w:eastAsiaTheme="minorEastAsia"/>
          <w:color w:val="000000" w:themeColor="text1"/>
          <w:sz w:val="24"/>
        </w:rPr>
        <w:t>万元罚款的行政处罚</w:t>
      </w:r>
      <w:r>
        <w:rPr>
          <w:rFonts w:eastAsiaTheme="minorEastAsia"/>
          <w:color w:val="000000" w:themeColor="text1"/>
          <w:sz w:val="24"/>
        </w:rPr>
        <w:t>”</w:t>
      </w:r>
      <w:r>
        <w:rPr>
          <w:rFonts w:eastAsiaTheme="minorEastAsia"/>
          <w:color w:val="000000" w:themeColor="text1"/>
          <w:sz w:val="24"/>
        </w:rPr>
        <w:t>的行政处罚，违法违规事由：员工大额消费贷款违规行为长期未有效整改、同业业务专营部门</w:t>
      </w:r>
      <w:r>
        <w:rPr>
          <w:rFonts w:eastAsiaTheme="minorEastAsia"/>
          <w:color w:val="000000" w:themeColor="text1"/>
          <w:sz w:val="24"/>
        </w:rPr>
        <w:t>制改革不到位、同业投资违规接受第三方金融机构信用担保。</w:t>
      </w:r>
    </w:p>
    <w:p w:rsidR="00B520CF" w:rsidRDefault="00560D0C">
      <w:pPr>
        <w:widowControl/>
        <w:spacing w:line="360" w:lineRule="auto"/>
        <w:rPr>
          <w:color w:val="000000"/>
          <w:sz w:val="24"/>
        </w:rPr>
      </w:pPr>
      <w:r>
        <w:rPr>
          <w:rFonts w:eastAsiaTheme="minorEastAsia"/>
          <w:color w:val="000000" w:themeColor="text1"/>
          <w:sz w:val="24"/>
        </w:rPr>
        <w:lastRenderedPageBreak/>
        <w:t>19</w:t>
      </w:r>
      <w:r>
        <w:rPr>
          <w:rFonts w:eastAsiaTheme="minorEastAsia"/>
          <w:color w:val="000000" w:themeColor="text1"/>
          <w:sz w:val="24"/>
        </w:rPr>
        <w:t>民生银行</w:t>
      </w:r>
      <w:r>
        <w:rPr>
          <w:rFonts w:eastAsiaTheme="minorEastAsia"/>
          <w:color w:val="000000" w:themeColor="text1"/>
          <w:sz w:val="24"/>
        </w:rPr>
        <w:t>CD011</w:t>
      </w:r>
      <w:r>
        <w:rPr>
          <w:rFonts w:eastAsiaTheme="minorEastAsia"/>
          <w:color w:val="000000" w:themeColor="text1"/>
          <w:sz w:val="24"/>
        </w:rPr>
        <w:t>（代码：</w:t>
      </w:r>
      <w:r>
        <w:rPr>
          <w:rFonts w:eastAsiaTheme="minorEastAsia"/>
          <w:color w:val="000000" w:themeColor="text1"/>
          <w:sz w:val="24"/>
        </w:rPr>
        <w:t>111915011</w:t>
      </w:r>
      <w:r>
        <w:rPr>
          <w:rFonts w:eastAsiaTheme="minorEastAsia"/>
          <w:color w:val="000000" w:themeColor="text1"/>
          <w:sz w:val="24"/>
        </w:rPr>
        <w:t>）是易方达天天增利货币市场基金的前十大持仓证券。</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19</w:t>
      </w:r>
      <w:r>
        <w:rPr>
          <w:rFonts w:eastAsiaTheme="minorEastAsia"/>
          <w:color w:val="000000" w:themeColor="text1"/>
          <w:sz w:val="24"/>
        </w:rPr>
        <w:t>日，中国保险监督管理委员会北京监管局对民生银行作出罚款</w:t>
      </w:r>
      <w:r>
        <w:rPr>
          <w:rFonts w:eastAsiaTheme="minorEastAsia"/>
          <w:color w:val="000000" w:themeColor="text1"/>
          <w:sz w:val="24"/>
        </w:rPr>
        <w:t>30</w:t>
      </w:r>
      <w:r>
        <w:rPr>
          <w:rFonts w:eastAsiaTheme="minorEastAsia"/>
          <w:color w:val="000000" w:themeColor="text1"/>
          <w:sz w:val="24"/>
        </w:rPr>
        <w:t>万元的行政处罚。违法违规事由：民生银行信用卡中心存在电话销售保险过程中欺骗投保人的行为。</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日，中国银行保险监督管理委员会对民生银行作出</w:t>
      </w:r>
      <w:r>
        <w:rPr>
          <w:rFonts w:eastAsiaTheme="minorEastAsia"/>
          <w:color w:val="000000" w:themeColor="text1"/>
          <w:sz w:val="24"/>
        </w:rPr>
        <w:t>“</w:t>
      </w:r>
      <w:r>
        <w:rPr>
          <w:rFonts w:eastAsiaTheme="minorEastAsia"/>
          <w:color w:val="000000" w:themeColor="text1"/>
          <w:sz w:val="24"/>
        </w:rPr>
        <w:t>罚款</w:t>
      </w:r>
      <w:r>
        <w:rPr>
          <w:rFonts w:eastAsiaTheme="minorEastAsia"/>
          <w:color w:val="000000" w:themeColor="text1"/>
          <w:sz w:val="24"/>
        </w:rPr>
        <w:t>3160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的行政处罚。违法违规事由：（一）内控管理严重违反审慎经营规则；（二）同业投资违规接受担保；（三）同业投资、理财资</w:t>
      </w:r>
      <w:r>
        <w:rPr>
          <w:rFonts w:eastAsiaTheme="minorEastAsia"/>
          <w:color w:val="000000" w:themeColor="text1"/>
          <w:sz w:val="24"/>
        </w:rPr>
        <w:t>金违规投资房地产，用于缴交或置换土地出让金及土地储备融资；（四）本行理财产品之间风险隔离不到位；（五）个人理财资金违规投资；（六）票据代理未明示，增信未簿记和计提资本占用；（七）为非保本理财产品提供保本承诺。</w:t>
      </w:r>
      <w:r>
        <w:rPr>
          <w:rFonts w:eastAsiaTheme="minorEastAsia"/>
          <w:color w:val="000000" w:themeColor="text1"/>
          <w:sz w:val="24"/>
        </w:rPr>
        <w:t>2018</w:t>
      </w:r>
      <w:r>
        <w:rPr>
          <w:rFonts w:eastAsiaTheme="minorEastAsia"/>
          <w:color w:val="000000" w:themeColor="text1"/>
          <w:sz w:val="24"/>
        </w:rPr>
        <w:t>年</w:t>
      </w:r>
      <w:r>
        <w:rPr>
          <w:rFonts w:eastAsiaTheme="minorEastAsia"/>
          <w:color w:val="000000" w:themeColor="text1"/>
          <w:sz w:val="24"/>
        </w:rPr>
        <w:t>11</w:t>
      </w:r>
      <w:r>
        <w:rPr>
          <w:rFonts w:eastAsiaTheme="minorEastAsia"/>
          <w:color w:val="000000" w:themeColor="text1"/>
          <w:sz w:val="24"/>
        </w:rPr>
        <w:t>月</w:t>
      </w:r>
      <w:r>
        <w:rPr>
          <w:rFonts w:eastAsiaTheme="minorEastAsia"/>
          <w:color w:val="000000" w:themeColor="text1"/>
          <w:sz w:val="24"/>
        </w:rPr>
        <w:t>9</w:t>
      </w:r>
      <w:r>
        <w:rPr>
          <w:rFonts w:eastAsiaTheme="minorEastAsia"/>
          <w:color w:val="000000" w:themeColor="text1"/>
          <w:sz w:val="24"/>
        </w:rPr>
        <w:t>日，中国银行保险监督管理委员会对民生银行贷款业务严重违反审慎经营规则的行为，作出</w:t>
      </w:r>
      <w:r>
        <w:rPr>
          <w:rFonts w:eastAsiaTheme="minorEastAsia"/>
          <w:color w:val="000000" w:themeColor="text1"/>
          <w:sz w:val="24"/>
        </w:rPr>
        <w:t>“</w:t>
      </w:r>
      <w:r>
        <w:rPr>
          <w:rFonts w:eastAsiaTheme="minorEastAsia"/>
          <w:color w:val="000000" w:themeColor="text1"/>
          <w:sz w:val="24"/>
        </w:rPr>
        <w:t>罚款</w:t>
      </w:r>
      <w:r>
        <w:rPr>
          <w:rFonts w:eastAsiaTheme="minorEastAsia"/>
          <w:color w:val="000000" w:themeColor="text1"/>
          <w:sz w:val="24"/>
        </w:rPr>
        <w:t>200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日，银保监局大连监管局对民生银行作出</w:t>
      </w:r>
      <w:r>
        <w:rPr>
          <w:rFonts w:eastAsiaTheme="minorEastAsia"/>
          <w:color w:val="000000" w:themeColor="text1"/>
          <w:sz w:val="24"/>
        </w:rPr>
        <w:t>“</w:t>
      </w:r>
      <w:r>
        <w:rPr>
          <w:rFonts w:eastAsiaTheme="minorEastAsia"/>
          <w:color w:val="000000" w:themeColor="text1"/>
          <w:sz w:val="24"/>
        </w:rPr>
        <w:t>罚款</w:t>
      </w:r>
      <w:r>
        <w:rPr>
          <w:rFonts w:eastAsiaTheme="minorEastAsia"/>
          <w:color w:val="000000" w:themeColor="text1"/>
          <w:sz w:val="24"/>
        </w:rPr>
        <w:t>100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的行政处罚。违法违规事由：贷后管理不到位，以贷收贷，掩盖资产真实质量；贴现资金回流作银行承兑汇票保证金，滚</w:t>
      </w:r>
      <w:r>
        <w:rPr>
          <w:rFonts w:eastAsiaTheme="minorEastAsia"/>
          <w:color w:val="000000" w:themeColor="text1"/>
          <w:sz w:val="24"/>
        </w:rPr>
        <w:t>动循环签发银行承兑汇票。</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日，银保监局大连监管局对民生银行作出</w:t>
      </w:r>
      <w:r>
        <w:rPr>
          <w:rFonts w:eastAsiaTheme="minorEastAsia"/>
          <w:color w:val="000000" w:themeColor="text1"/>
          <w:sz w:val="24"/>
        </w:rPr>
        <w:t>“</w:t>
      </w:r>
      <w:r>
        <w:rPr>
          <w:rFonts w:eastAsiaTheme="minorEastAsia"/>
          <w:color w:val="000000" w:themeColor="text1"/>
          <w:sz w:val="24"/>
        </w:rPr>
        <w:t>罚款</w:t>
      </w:r>
      <w:r>
        <w:rPr>
          <w:rFonts w:eastAsiaTheme="minorEastAsia"/>
          <w:color w:val="000000" w:themeColor="text1"/>
          <w:sz w:val="24"/>
        </w:rPr>
        <w:t>100</w:t>
      </w:r>
      <w:r>
        <w:rPr>
          <w:rFonts w:eastAsiaTheme="minorEastAsia"/>
          <w:color w:val="000000" w:themeColor="text1"/>
          <w:sz w:val="24"/>
        </w:rPr>
        <w:t>万元</w:t>
      </w:r>
      <w:r>
        <w:rPr>
          <w:rFonts w:eastAsiaTheme="minorEastAsia"/>
          <w:color w:val="000000" w:themeColor="text1"/>
          <w:sz w:val="24"/>
        </w:rPr>
        <w:t>”</w:t>
      </w:r>
      <w:r>
        <w:rPr>
          <w:rFonts w:eastAsiaTheme="minorEastAsia"/>
          <w:color w:val="000000" w:themeColor="text1"/>
          <w:sz w:val="24"/>
        </w:rPr>
        <w:t>的行政处罚。违法违规事由：以贷收贷，掩盖资产真实质量；以贷转存，虚增存贷款规模</w:t>
      </w:r>
      <w:r>
        <w:rPr>
          <w:rFonts w:eastAsiaTheme="minorEastAsia"/>
          <w:color w:val="000000" w:themeColor="text1"/>
          <w:sz w:val="24"/>
        </w:rPr>
        <w:t>”</w:t>
      </w:r>
      <w:r>
        <w:rPr>
          <w:rFonts w:eastAsiaTheme="minorEastAsia"/>
          <w:color w:val="000000" w:themeColor="text1"/>
          <w:sz w:val="24"/>
        </w:rPr>
        <w:t>。</w:t>
      </w:r>
      <w:r>
        <w:rPr>
          <w:rFonts w:eastAsiaTheme="minorEastAsia"/>
          <w:color w:val="000000" w:themeColor="text1"/>
          <w:sz w:val="24"/>
        </w:rPr>
        <w:t xml:space="preserve"> 2019</w:t>
      </w:r>
      <w:r>
        <w:rPr>
          <w:rFonts w:eastAsiaTheme="minorEastAsia"/>
          <w:color w:val="000000" w:themeColor="text1"/>
          <w:sz w:val="24"/>
        </w:rPr>
        <w:t>年</w:t>
      </w:r>
      <w:r>
        <w:rPr>
          <w:rFonts w:eastAsiaTheme="minorEastAsia"/>
          <w:color w:val="000000" w:themeColor="text1"/>
          <w:sz w:val="24"/>
        </w:rPr>
        <w:t>4</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日，中国银行保险监督管理委员会大连监管局针对中国民生银行股份有限公司贷后管理不到位，银行承兑汇票保证金来源审查不严格，贷款回流作银行承兑汇票保证金的违法违规事实，处以罚款</w:t>
      </w:r>
      <w:r>
        <w:rPr>
          <w:rFonts w:eastAsiaTheme="minorEastAsia"/>
          <w:color w:val="000000" w:themeColor="text1"/>
          <w:sz w:val="24"/>
        </w:rPr>
        <w:t>50</w:t>
      </w:r>
      <w:r>
        <w:rPr>
          <w:rFonts w:eastAsiaTheme="minorEastAsia"/>
          <w:color w:val="000000" w:themeColor="text1"/>
          <w:sz w:val="24"/>
        </w:rPr>
        <w:t>万元的行政处罚。</w:t>
      </w:r>
    </w:p>
    <w:p w:rsidR="00B520CF" w:rsidRDefault="00560D0C">
      <w:pPr>
        <w:widowControl/>
        <w:spacing w:line="360" w:lineRule="auto"/>
        <w:rPr>
          <w:color w:val="000000"/>
          <w:sz w:val="24"/>
        </w:rPr>
      </w:pPr>
      <w:r>
        <w:rPr>
          <w:rFonts w:eastAsiaTheme="minorEastAsia"/>
          <w:color w:val="000000" w:themeColor="text1"/>
          <w:sz w:val="24"/>
        </w:rPr>
        <w:t>本基金投资</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CD011</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CD099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CD147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CD013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w:t>
      </w:r>
      <w:r>
        <w:rPr>
          <w:rFonts w:eastAsiaTheme="minorEastAsia"/>
          <w:color w:val="000000" w:themeColor="text1"/>
          <w:sz w:val="24"/>
        </w:rPr>
        <w:t>6</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北京银行</w:t>
      </w:r>
      <w:r>
        <w:rPr>
          <w:rFonts w:eastAsiaTheme="minorEastAsia"/>
          <w:color w:val="000000" w:themeColor="text1"/>
          <w:sz w:val="24"/>
        </w:rPr>
        <w:t>CD029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民生银行</w:t>
      </w:r>
      <w:r>
        <w:rPr>
          <w:rFonts w:eastAsiaTheme="minorEastAsia"/>
          <w:color w:val="000000" w:themeColor="text1"/>
          <w:sz w:val="24"/>
        </w:rPr>
        <w:t>CD011</w:t>
      </w:r>
      <w:r>
        <w:rPr>
          <w:rFonts w:eastAsiaTheme="minorEastAsia"/>
          <w:color w:val="000000" w:themeColor="text1"/>
          <w:sz w:val="24"/>
        </w:rPr>
        <w:t>的投资决策程序符合公司投资制度的规定。</w:t>
      </w:r>
    </w:p>
    <w:p w:rsidR="00B520CF" w:rsidRDefault="00560D0C">
      <w:pPr>
        <w:widowControl/>
        <w:spacing w:line="360" w:lineRule="auto"/>
        <w:rPr>
          <w:color w:val="000000"/>
          <w:sz w:val="24"/>
        </w:rPr>
      </w:pPr>
      <w:r>
        <w:rPr>
          <w:rFonts w:eastAsiaTheme="minorEastAsia"/>
          <w:color w:val="000000" w:themeColor="text1"/>
          <w:sz w:val="24"/>
        </w:rPr>
        <w:t>除</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CD011</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招商银行</w:t>
      </w:r>
      <w:r>
        <w:rPr>
          <w:rFonts w:eastAsiaTheme="minorEastAsia"/>
          <w:color w:val="000000" w:themeColor="text1"/>
          <w:sz w:val="24"/>
        </w:rPr>
        <w:t>CD099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农业银行</w:t>
      </w:r>
      <w:r>
        <w:rPr>
          <w:rFonts w:eastAsiaTheme="minorEastAsia"/>
          <w:color w:val="000000" w:themeColor="text1"/>
          <w:sz w:val="24"/>
        </w:rPr>
        <w:t>CD147</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交通银行</w:t>
      </w:r>
      <w:r>
        <w:rPr>
          <w:rFonts w:eastAsiaTheme="minorEastAsia"/>
          <w:color w:val="000000" w:themeColor="text1"/>
          <w:sz w:val="24"/>
        </w:rPr>
        <w:t>CD013</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中信银行</w:t>
      </w:r>
      <w:r>
        <w:rPr>
          <w:rFonts w:eastAsiaTheme="minorEastAsia"/>
          <w:color w:val="000000" w:themeColor="text1"/>
          <w:sz w:val="24"/>
        </w:rPr>
        <w:t>CD046</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北京银行</w:t>
      </w:r>
      <w:r>
        <w:rPr>
          <w:rFonts w:eastAsiaTheme="minorEastAsia"/>
          <w:color w:val="000000" w:themeColor="text1"/>
          <w:sz w:val="24"/>
        </w:rPr>
        <w:t>CD029</w:t>
      </w:r>
      <w:r>
        <w:rPr>
          <w:rFonts w:eastAsiaTheme="minorEastAsia"/>
          <w:color w:val="000000" w:themeColor="text1"/>
          <w:sz w:val="24"/>
        </w:rPr>
        <w:t>、</w:t>
      </w:r>
      <w:r>
        <w:rPr>
          <w:rFonts w:eastAsiaTheme="minorEastAsia"/>
          <w:color w:val="000000" w:themeColor="text1"/>
          <w:sz w:val="24"/>
        </w:rPr>
        <w:t>19</w:t>
      </w:r>
      <w:r>
        <w:rPr>
          <w:rFonts w:eastAsiaTheme="minorEastAsia"/>
          <w:color w:val="000000" w:themeColor="text1"/>
          <w:sz w:val="24"/>
        </w:rPr>
        <w:t>民生银行</w:t>
      </w:r>
      <w:r>
        <w:rPr>
          <w:rFonts w:eastAsiaTheme="minorEastAsia"/>
          <w:color w:val="000000" w:themeColor="text1"/>
          <w:sz w:val="24"/>
        </w:rPr>
        <w:t>CD011</w:t>
      </w:r>
      <w:r>
        <w:rPr>
          <w:rFonts w:eastAsiaTheme="minorEastAsia"/>
          <w:color w:val="000000" w:themeColor="text1"/>
          <w:sz w:val="24"/>
        </w:rPr>
        <w:t>外，本基金投资的前十名证券的发行主体本期没有出现被监管部门立案调查，或在报告编制日前一年内受到公开谴责、处罚的情形。</w:t>
      </w:r>
    </w:p>
    <w:p w:rsidR="00941F6C" w:rsidRPr="004B40EC" w:rsidRDefault="00941F6C" w:rsidP="00815CDE">
      <w:pPr>
        <w:spacing w:line="360" w:lineRule="auto"/>
        <w:rPr>
          <w:bCs/>
          <w:sz w:val="24"/>
        </w:rPr>
      </w:pPr>
      <w:r w:rsidRPr="004B40EC">
        <w:rPr>
          <w:sz w:val="24"/>
        </w:rPr>
        <w:t>5.9.3</w:t>
      </w:r>
      <w:r w:rsidRPr="004B40EC">
        <w:rPr>
          <w:sz w:val="24"/>
        </w:rPr>
        <w:t>其他各项资产构成</w:t>
      </w: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42"/>
        <w:gridCol w:w="3535"/>
        <w:gridCol w:w="4808"/>
      </w:tblGrid>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序号</w:t>
            </w:r>
          </w:p>
        </w:tc>
        <w:tc>
          <w:tcPr>
            <w:tcW w:w="3535" w:type="dxa"/>
            <w:vAlign w:val="center"/>
          </w:tcPr>
          <w:p w:rsidR="00941F6C" w:rsidRPr="004B40EC" w:rsidRDefault="00941F6C" w:rsidP="00CA7D55">
            <w:pPr>
              <w:autoSpaceDE w:val="0"/>
              <w:autoSpaceDN w:val="0"/>
              <w:adjustRightInd w:val="0"/>
              <w:spacing w:before="29" w:line="360" w:lineRule="auto"/>
              <w:ind w:left="17"/>
              <w:jc w:val="center"/>
              <w:rPr>
                <w:color w:val="000000"/>
                <w:kern w:val="0"/>
                <w:sz w:val="24"/>
              </w:rPr>
            </w:pPr>
            <w:r w:rsidRPr="004B40EC">
              <w:rPr>
                <w:color w:val="000000"/>
                <w:kern w:val="0"/>
                <w:sz w:val="24"/>
              </w:rPr>
              <w:t>名称</w:t>
            </w:r>
          </w:p>
        </w:tc>
        <w:tc>
          <w:tcPr>
            <w:tcW w:w="4808" w:type="dxa"/>
            <w:vAlign w:val="center"/>
          </w:tcPr>
          <w:p w:rsidR="00941F6C" w:rsidRPr="004B40EC" w:rsidRDefault="00941F6C" w:rsidP="00DC22A1">
            <w:pPr>
              <w:autoSpaceDE w:val="0"/>
              <w:autoSpaceDN w:val="0"/>
              <w:adjustRightInd w:val="0"/>
              <w:spacing w:before="29" w:line="360" w:lineRule="auto"/>
              <w:ind w:left="17"/>
              <w:jc w:val="center"/>
              <w:rPr>
                <w:color w:val="000000"/>
                <w:kern w:val="0"/>
                <w:sz w:val="24"/>
              </w:rPr>
            </w:pPr>
            <w:r w:rsidRPr="004B40EC">
              <w:rPr>
                <w:color w:val="000000"/>
                <w:kern w:val="0"/>
                <w:sz w:val="24"/>
              </w:rPr>
              <w:t>金额</w:t>
            </w:r>
            <w:r w:rsidR="00DC22A1" w:rsidRPr="004B40EC">
              <w:rPr>
                <w:color w:val="000000"/>
                <w:kern w:val="0"/>
                <w:sz w:val="24"/>
              </w:rPr>
              <w:t>（元）</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kern w:val="0"/>
                <w:sz w:val="24"/>
              </w:rPr>
            </w:pPr>
            <w:r w:rsidRPr="004B40EC">
              <w:rPr>
                <w:color w:val="000000"/>
                <w:sz w:val="24"/>
              </w:rPr>
              <w:t>1</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存出保证金</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648.67</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lastRenderedPageBreak/>
              <w:t>2</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应收证券清算款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3</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应收利息</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10,207,561.81</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4</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应收申购款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4,113,308.70</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5</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其他应收款</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6</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待摊费用</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7</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其他</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w:t>
            </w:r>
          </w:p>
        </w:tc>
      </w:tr>
      <w:tr w:rsidR="00941F6C" w:rsidRPr="004B40EC" w:rsidTr="00CA7D55">
        <w:tc>
          <w:tcPr>
            <w:tcW w:w="942" w:type="dxa"/>
            <w:vAlign w:val="center"/>
          </w:tcPr>
          <w:p w:rsidR="00941F6C" w:rsidRPr="004B40EC" w:rsidRDefault="00941F6C" w:rsidP="00CA7D55">
            <w:pPr>
              <w:autoSpaceDE w:val="0"/>
              <w:autoSpaceDN w:val="0"/>
              <w:adjustRightInd w:val="0"/>
              <w:spacing w:before="29" w:line="360" w:lineRule="auto"/>
              <w:ind w:left="15"/>
              <w:jc w:val="center"/>
              <w:rPr>
                <w:color w:val="000000"/>
                <w:sz w:val="24"/>
              </w:rPr>
            </w:pPr>
            <w:r w:rsidRPr="004B40EC">
              <w:rPr>
                <w:color w:val="000000"/>
                <w:sz w:val="24"/>
              </w:rPr>
              <w:t>8</w:t>
            </w:r>
          </w:p>
        </w:tc>
        <w:tc>
          <w:tcPr>
            <w:tcW w:w="3535" w:type="dxa"/>
            <w:vAlign w:val="center"/>
          </w:tcPr>
          <w:p w:rsidR="00941F6C" w:rsidRPr="004B40EC" w:rsidRDefault="00941F6C" w:rsidP="00CA7D55">
            <w:pPr>
              <w:autoSpaceDE w:val="0"/>
              <w:autoSpaceDN w:val="0"/>
              <w:adjustRightInd w:val="0"/>
              <w:spacing w:before="29" w:line="360" w:lineRule="auto"/>
              <w:ind w:left="15"/>
              <w:jc w:val="left"/>
              <w:rPr>
                <w:color w:val="000000"/>
                <w:kern w:val="0"/>
                <w:sz w:val="24"/>
              </w:rPr>
            </w:pPr>
            <w:r w:rsidRPr="004B40EC">
              <w:rPr>
                <w:color w:val="000000"/>
                <w:kern w:val="0"/>
                <w:sz w:val="24"/>
              </w:rPr>
              <w:t>合计</w:t>
            </w:r>
          </w:p>
        </w:tc>
        <w:tc>
          <w:tcPr>
            <w:tcW w:w="4808" w:type="dxa"/>
            <w:vAlign w:val="center"/>
          </w:tcPr>
          <w:p w:rsidR="00941F6C" w:rsidRPr="004B40EC" w:rsidRDefault="00941F6C" w:rsidP="00CA7D55">
            <w:pPr>
              <w:autoSpaceDE w:val="0"/>
              <w:autoSpaceDN w:val="0"/>
              <w:adjustRightInd w:val="0"/>
              <w:spacing w:before="29" w:line="360" w:lineRule="auto"/>
              <w:ind w:left="15"/>
              <w:jc w:val="right"/>
              <w:rPr>
                <w:color w:val="000000"/>
                <w:kern w:val="0"/>
                <w:sz w:val="24"/>
              </w:rPr>
            </w:pPr>
            <w:r w:rsidRPr="004B40EC">
              <w:rPr>
                <w:color w:val="000000"/>
                <w:kern w:val="0"/>
                <w:sz w:val="24"/>
              </w:rPr>
              <w:t>14,321,519.18</w:t>
            </w:r>
          </w:p>
        </w:tc>
      </w:tr>
    </w:tbl>
    <w:p w:rsidR="00873984" w:rsidRPr="0097021E" w:rsidRDefault="00873984"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6  </w:t>
      </w:r>
      <w:r w:rsidRPr="0097021E">
        <w:rPr>
          <w:rFonts w:ascii="宋体" w:hAnsi="宋体" w:cs="Arial" w:hint="eastAsia"/>
          <w:color w:val="000000"/>
          <w:kern w:val="0"/>
          <w:sz w:val="24"/>
          <w:szCs w:val="24"/>
        </w:rPr>
        <w:t>开放式基金份额变动</w:t>
      </w:r>
    </w:p>
    <w:p w:rsidR="00873984" w:rsidRPr="00361E73" w:rsidRDefault="00873984" w:rsidP="00873984">
      <w:pPr>
        <w:autoSpaceDE w:val="0"/>
        <w:autoSpaceDN w:val="0"/>
        <w:adjustRightInd w:val="0"/>
        <w:spacing w:before="29" w:line="360" w:lineRule="auto"/>
        <w:ind w:left="15"/>
        <w:jc w:val="right"/>
        <w:rPr>
          <w:rFonts w:ascii="宋体" w:hAnsi="宋体" w:cs="Arial"/>
          <w:color w:val="000000"/>
          <w:kern w:val="0"/>
          <w:sz w:val="24"/>
        </w:rPr>
      </w:pPr>
      <w:r w:rsidRPr="00361E73">
        <w:rPr>
          <w:rFonts w:ascii="宋体" w:hAnsi="宋体" w:cs="Arial" w:hint="eastAsia"/>
          <w:color w:val="000000"/>
          <w:kern w:val="0"/>
          <w:sz w:val="24"/>
        </w:rPr>
        <w:t>单位：份</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4"/>
        <w:gridCol w:w="2920"/>
        <w:gridCol w:w="2920"/>
      </w:tblGrid>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color w:val="000000"/>
                <w:kern w:val="0"/>
                <w:sz w:val="24"/>
              </w:rPr>
              <w:t>项目</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易方达天天增利货币</w:t>
            </w:r>
            <w:r w:rsidRPr="00361E73">
              <w:rPr>
                <w:sz w:val="24"/>
              </w:rPr>
              <w:t>A</w:t>
            </w:r>
          </w:p>
        </w:tc>
        <w:tc>
          <w:tcPr>
            <w:tcW w:w="2920" w:type="dxa"/>
            <w:vAlign w:val="center"/>
          </w:tcPr>
          <w:p w:rsidR="00873984" w:rsidRPr="00361E73" w:rsidRDefault="00873984" w:rsidP="00547B14">
            <w:pPr>
              <w:autoSpaceDE w:val="0"/>
              <w:autoSpaceDN w:val="0"/>
              <w:adjustRightInd w:val="0"/>
              <w:spacing w:before="29" w:line="360" w:lineRule="auto"/>
              <w:ind w:left="15"/>
              <w:jc w:val="center"/>
              <w:rPr>
                <w:color w:val="000000"/>
                <w:kern w:val="0"/>
                <w:sz w:val="24"/>
              </w:rPr>
            </w:pPr>
            <w:r w:rsidRPr="00361E73">
              <w:rPr>
                <w:sz w:val="24"/>
              </w:rPr>
              <w:t>易方达天天增利货币</w:t>
            </w:r>
            <w:r w:rsidRPr="00361E73">
              <w:rPr>
                <w:sz w:val="24"/>
              </w:rPr>
              <w:t>B</w:t>
            </w:r>
          </w:p>
        </w:tc>
      </w:tr>
      <w:tr w:rsidR="00873984" w:rsidRPr="00E179CD" w:rsidTr="00547B14">
        <w:tc>
          <w:tcPr>
            <w:tcW w:w="4134" w:type="dxa"/>
            <w:vAlign w:val="center"/>
          </w:tcPr>
          <w:p w:rsidR="00873984" w:rsidRPr="00361E73" w:rsidRDefault="00873984" w:rsidP="00547B14">
            <w:pPr>
              <w:autoSpaceDE w:val="0"/>
              <w:autoSpaceDN w:val="0"/>
              <w:adjustRightInd w:val="0"/>
              <w:spacing w:before="29" w:line="360" w:lineRule="auto"/>
              <w:ind w:left="17"/>
              <w:rPr>
                <w:color w:val="000000"/>
                <w:kern w:val="0"/>
                <w:sz w:val="24"/>
              </w:rPr>
            </w:pPr>
            <w:r w:rsidRPr="00A15461">
              <w:rPr>
                <w:color w:val="000000"/>
                <w:kern w:val="0"/>
                <w:sz w:val="24"/>
              </w:rPr>
              <w:t>报告期期初基金份额总额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2,074,907,080.50</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177,643,844.75</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t>本报告期</w:t>
            </w:r>
            <w:r w:rsidRPr="009742E2">
              <w:rPr>
                <w:color w:val="000000"/>
                <w:sz w:val="24"/>
              </w:rPr>
              <w:t>基金总申购份额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3,779,609,292.89</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32,778,221.53</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361E73">
              <w:rPr>
                <w:color w:val="000000"/>
                <w:kern w:val="0"/>
                <w:sz w:val="24"/>
              </w:rPr>
              <w:t>本报告期</w:t>
            </w:r>
            <w:r w:rsidRPr="009742E2">
              <w:rPr>
                <w:color w:val="000000"/>
                <w:sz w:val="24"/>
              </w:rPr>
              <w:t>基金总赎回份额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3,676,352,108.83</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99,641,175.07</w:t>
            </w:r>
          </w:p>
        </w:tc>
      </w:tr>
      <w:tr w:rsidR="00873984" w:rsidRPr="00E179CD" w:rsidTr="00547B14">
        <w:tc>
          <w:tcPr>
            <w:tcW w:w="4134" w:type="dxa"/>
            <w:vAlign w:val="center"/>
          </w:tcPr>
          <w:p w:rsidR="00873984" w:rsidRPr="009742E2" w:rsidRDefault="00873984" w:rsidP="00547B14">
            <w:pPr>
              <w:adjustRightInd w:val="0"/>
              <w:snapToGrid w:val="0"/>
              <w:spacing w:line="340" w:lineRule="exact"/>
              <w:rPr>
                <w:color w:val="000000"/>
                <w:sz w:val="24"/>
              </w:rPr>
            </w:pPr>
            <w:r w:rsidRPr="009742E2">
              <w:rPr>
                <w:color w:val="000000"/>
                <w:sz w:val="24"/>
              </w:rPr>
              <w:t>报告期期末基金份额总额</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2,178,164,264.56</w:t>
            </w:r>
          </w:p>
        </w:tc>
        <w:tc>
          <w:tcPr>
            <w:tcW w:w="2920" w:type="dxa"/>
            <w:vAlign w:val="center"/>
          </w:tcPr>
          <w:p w:rsidR="00873984" w:rsidRPr="00361E73" w:rsidRDefault="00873984" w:rsidP="00547B14">
            <w:pPr>
              <w:autoSpaceDE w:val="0"/>
              <w:autoSpaceDN w:val="0"/>
              <w:adjustRightInd w:val="0"/>
              <w:spacing w:before="29" w:line="360" w:lineRule="auto"/>
              <w:ind w:left="17"/>
              <w:jc w:val="right"/>
              <w:rPr>
                <w:color w:val="000000"/>
                <w:sz w:val="24"/>
              </w:rPr>
            </w:pPr>
            <w:r w:rsidRPr="00361E73">
              <w:rPr>
                <w:color w:val="000000"/>
                <w:sz w:val="24"/>
              </w:rPr>
              <w:t>110,780,891.21</w:t>
            </w:r>
          </w:p>
        </w:tc>
      </w:tr>
    </w:tbl>
    <w:p w:rsidR="00941F6C" w:rsidRPr="00264E55" w:rsidRDefault="00941F6C" w:rsidP="00CE0B87">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color w:val="000000"/>
          <w:kern w:val="0"/>
          <w:sz w:val="24"/>
          <w:szCs w:val="24"/>
        </w:rPr>
        <w:t>7</w:t>
      </w:r>
      <w:r w:rsidR="00B963A4" w:rsidRPr="0097021E">
        <w:rPr>
          <w:rFonts w:ascii="宋体" w:hAnsi="宋体" w:cs="Arial"/>
          <w:color w:val="000000"/>
          <w:kern w:val="0"/>
          <w:sz w:val="24"/>
          <w:szCs w:val="24"/>
        </w:rPr>
        <w:t xml:space="preserve">  </w:t>
      </w:r>
      <w:r w:rsidRPr="005C2541">
        <w:rPr>
          <w:rFonts w:ascii="宋体" w:hAnsi="宋体" w:hint="eastAsia"/>
          <w:color w:val="000000"/>
          <w:kern w:val="0"/>
          <w:sz w:val="24"/>
          <w:szCs w:val="24"/>
        </w:rPr>
        <w:t>基金管理人运用固有资金投资本基金交易明细</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本报告期内基金管理人未运用固有资金申购、赎回、买卖本基金份额。</w:t>
      </w:r>
    </w:p>
    <w:p w:rsidR="00941F6C" w:rsidRPr="0097021E" w:rsidRDefault="00941F6C" w:rsidP="00CE0B87">
      <w:pPr>
        <w:pStyle w:val="1"/>
        <w:spacing w:beforeLines="100" w:before="312" w:afterLines="100" w:after="312" w:line="360" w:lineRule="auto"/>
        <w:jc w:val="center"/>
        <w:rPr>
          <w:rFonts w:ascii="宋体" w:cs="Arial"/>
          <w:color w:val="000000"/>
          <w:kern w:val="0"/>
          <w:sz w:val="24"/>
          <w:szCs w:val="24"/>
        </w:rPr>
      </w:pPr>
      <w:r w:rsidRPr="0097021E">
        <w:rPr>
          <w:rFonts w:ascii="宋体" w:hAnsi="宋体" w:cs="Arial" w:hint="eastAsia"/>
          <w:color w:val="000000"/>
          <w:kern w:val="0"/>
          <w:sz w:val="24"/>
          <w:szCs w:val="24"/>
        </w:rPr>
        <w:t>§</w:t>
      </w:r>
      <w:r w:rsidRPr="0097021E">
        <w:rPr>
          <w:rFonts w:ascii="宋体" w:hAnsi="宋体" w:cs="Arial"/>
          <w:color w:val="000000"/>
          <w:kern w:val="0"/>
          <w:sz w:val="24"/>
          <w:szCs w:val="24"/>
        </w:rPr>
        <w:t xml:space="preserve">8  </w:t>
      </w:r>
      <w:r w:rsidRPr="0097021E">
        <w:rPr>
          <w:rFonts w:ascii="宋体" w:hAnsi="宋体" w:cs="Arial" w:hint="eastAsia"/>
          <w:color w:val="000000"/>
          <w:kern w:val="0"/>
          <w:sz w:val="24"/>
          <w:szCs w:val="24"/>
        </w:rPr>
        <w:t>备查文件目录</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.1 </w:t>
      </w:r>
      <w:r w:rsidRPr="0097021E">
        <w:rPr>
          <w:rFonts w:ascii="宋体" w:hAnsi="宋体" w:hint="eastAsia"/>
          <w:b/>
          <w:bCs/>
          <w:color w:val="000000"/>
          <w:kern w:val="0"/>
          <w:sz w:val="24"/>
        </w:rPr>
        <w:t>备查文件目录</w:t>
      </w:r>
    </w:p>
    <w:p w:rsidR="00B520CF" w:rsidRDefault="00560D0C">
      <w:pPr>
        <w:adjustRightInd w:val="0"/>
        <w:spacing w:line="360" w:lineRule="auto"/>
        <w:ind w:firstLineChars="200" w:firstLine="480"/>
        <w:rPr>
          <w:color w:val="000000"/>
          <w:sz w:val="24"/>
        </w:rPr>
      </w:pPr>
      <w:r>
        <w:rPr>
          <w:color w:val="000000"/>
          <w:sz w:val="24"/>
        </w:rPr>
        <w:t>1.</w:t>
      </w:r>
      <w:r>
        <w:rPr>
          <w:color w:val="000000"/>
          <w:sz w:val="24"/>
        </w:rPr>
        <w:t>中国证监会核准易方达天天增利货币市场基金募集的文件；</w:t>
      </w:r>
    </w:p>
    <w:p w:rsidR="00B520CF" w:rsidRDefault="00560D0C">
      <w:pPr>
        <w:adjustRightInd w:val="0"/>
        <w:spacing w:line="360" w:lineRule="auto"/>
        <w:ind w:firstLineChars="200" w:firstLine="480"/>
        <w:rPr>
          <w:color w:val="000000"/>
          <w:sz w:val="24"/>
        </w:rPr>
      </w:pPr>
      <w:r>
        <w:rPr>
          <w:color w:val="000000"/>
          <w:sz w:val="24"/>
        </w:rPr>
        <w:t>2.</w:t>
      </w:r>
      <w:r>
        <w:rPr>
          <w:color w:val="000000"/>
          <w:sz w:val="24"/>
        </w:rPr>
        <w:t>《易方达天天增利货币市场基金基金合同》；</w:t>
      </w:r>
    </w:p>
    <w:p w:rsidR="00B520CF" w:rsidRDefault="00560D0C">
      <w:pPr>
        <w:adjustRightInd w:val="0"/>
        <w:spacing w:line="360" w:lineRule="auto"/>
        <w:ind w:firstLineChars="200" w:firstLine="480"/>
        <w:rPr>
          <w:color w:val="000000"/>
          <w:sz w:val="24"/>
        </w:rPr>
      </w:pPr>
      <w:r>
        <w:rPr>
          <w:color w:val="000000"/>
          <w:sz w:val="24"/>
        </w:rPr>
        <w:t>3.</w:t>
      </w:r>
      <w:r>
        <w:rPr>
          <w:color w:val="000000"/>
          <w:sz w:val="24"/>
        </w:rPr>
        <w:t>《易方达天天增利货币市场基金托管协议》；</w:t>
      </w:r>
    </w:p>
    <w:p w:rsidR="00B520CF" w:rsidRDefault="00560D0C">
      <w:pPr>
        <w:adjustRightInd w:val="0"/>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5.</w:t>
      </w:r>
      <w:r w:rsidRPr="00A15461">
        <w:rPr>
          <w:color w:val="000000"/>
          <w:sz w:val="24"/>
        </w:rPr>
        <w:t>基金管理人业务资格批件、营业执照。</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lastRenderedPageBreak/>
        <w:t>8</w:t>
      </w:r>
      <w:r w:rsidRPr="0097021E">
        <w:rPr>
          <w:rFonts w:ascii="宋体" w:hAnsi="宋体"/>
          <w:b/>
          <w:bCs/>
          <w:color w:val="000000"/>
          <w:kern w:val="0"/>
          <w:sz w:val="24"/>
        </w:rPr>
        <w:t xml:space="preserve">.2 </w:t>
      </w:r>
      <w:r w:rsidRPr="0097021E">
        <w:rPr>
          <w:rFonts w:ascii="宋体" w:hAnsi="宋体" w:hint="eastAsia"/>
          <w:b/>
          <w:bCs/>
          <w:color w:val="000000"/>
          <w:kern w:val="0"/>
          <w:sz w:val="24"/>
        </w:rPr>
        <w:t>存放地点</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广州市天河区珠江新城珠江东路</w:t>
      </w:r>
      <w:r w:rsidRPr="00A15461">
        <w:rPr>
          <w:color w:val="000000"/>
          <w:sz w:val="24"/>
        </w:rPr>
        <w:t>30</w:t>
      </w:r>
      <w:r w:rsidRPr="00A15461">
        <w:rPr>
          <w:color w:val="000000"/>
          <w:sz w:val="24"/>
        </w:rPr>
        <w:t>号广州银行大厦</w:t>
      </w:r>
      <w:r w:rsidRPr="00A15461">
        <w:rPr>
          <w:color w:val="000000"/>
          <w:sz w:val="24"/>
        </w:rPr>
        <w:t>40-43</w:t>
      </w:r>
      <w:r w:rsidRPr="00A15461">
        <w:rPr>
          <w:color w:val="000000"/>
          <w:sz w:val="24"/>
        </w:rPr>
        <w:t>楼。</w:t>
      </w:r>
    </w:p>
    <w:p w:rsidR="00941F6C" w:rsidRPr="0097021E" w:rsidRDefault="00941F6C" w:rsidP="00394BC1">
      <w:pPr>
        <w:autoSpaceDE w:val="0"/>
        <w:autoSpaceDN w:val="0"/>
        <w:adjustRightInd w:val="0"/>
        <w:spacing w:line="360" w:lineRule="auto"/>
        <w:jc w:val="left"/>
        <w:rPr>
          <w:rFonts w:ascii="宋体"/>
          <w:b/>
          <w:bCs/>
          <w:color w:val="000000"/>
          <w:kern w:val="0"/>
          <w:sz w:val="24"/>
        </w:rPr>
      </w:pPr>
      <w:r w:rsidRPr="0097021E">
        <w:rPr>
          <w:rFonts w:ascii="宋体" w:hAnsi="宋体" w:cs="Arial"/>
          <w:b/>
          <w:color w:val="000000"/>
          <w:kern w:val="0"/>
          <w:sz w:val="24"/>
        </w:rPr>
        <w:t>8</w:t>
      </w:r>
      <w:r w:rsidRPr="0097021E">
        <w:rPr>
          <w:rFonts w:ascii="宋体" w:hAnsi="宋体"/>
          <w:b/>
          <w:bCs/>
          <w:color w:val="000000"/>
          <w:kern w:val="0"/>
          <w:sz w:val="24"/>
        </w:rPr>
        <w:t xml:space="preserve">.3 </w:t>
      </w:r>
      <w:r w:rsidRPr="0097021E">
        <w:rPr>
          <w:rFonts w:ascii="宋体" w:hAnsi="宋体" w:hint="eastAsia"/>
          <w:b/>
          <w:bCs/>
          <w:color w:val="000000"/>
          <w:kern w:val="0"/>
          <w:sz w:val="24"/>
        </w:rPr>
        <w:t>查阅方式</w:t>
      </w:r>
    </w:p>
    <w:p w:rsidR="00941F6C" w:rsidRPr="00A15461" w:rsidRDefault="00941F6C" w:rsidP="00A15461">
      <w:pPr>
        <w:adjustRightInd w:val="0"/>
        <w:spacing w:line="360" w:lineRule="auto"/>
        <w:ind w:firstLineChars="200" w:firstLine="480"/>
        <w:rPr>
          <w:color w:val="000000"/>
          <w:sz w:val="24"/>
        </w:rPr>
      </w:pPr>
      <w:r w:rsidRPr="00A15461">
        <w:rPr>
          <w:color w:val="000000"/>
          <w:sz w:val="24"/>
        </w:rPr>
        <w:t>投资者可在营业时间免费查阅，也可按工本费购买复印件。</w:t>
      </w: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Default="00941F6C" w:rsidP="00DC22A1">
      <w:pPr>
        <w:spacing w:line="360" w:lineRule="auto"/>
        <w:ind w:firstLineChars="200" w:firstLine="480"/>
        <w:rPr>
          <w:rFonts w:ascii="宋体"/>
          <w:color w:val="000000"/>
          <w:sz w:val="24"/>
        </w:rPr>
      </w:pPr>
    </w:p>
    <w:p w:rsidR="00941F6C" w:rsidRPr="0097021E" w:rsidRDefault="00941F6C" w:rsidP="00196812">
      <w:pPr>
        <w:spacing w:line="360" w:lineRule="auto"/>
        <w:ind w:left="840"/>
        <w:jc w:val="right"/>
        <w:rPr>
          <w:rFonts w:ascii="宋体"/>
          <w:color w:val="000000"/>
          <w:sz w:val="24"/>
        </w:rPr>
      </w:pP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易方达基金管理有限公司</w:t>
      </w:r>
    </w:p>
    <w:p w:rsidR="00941F6C" w:rsidRPr="0097021E" w:rsidRDefault="00941F6C" w:rsidP="00394BC1">
      <w:pPr>
        <w:spacing w:line="360" w:lineRule="auto"/>
        <w:jc w:val="right"/>
        <w:rPr>
          <w:rFonts w:ascii="宋体" w:hAnsi="宋体"/>
          <w:b/>
          <w:bCs/>
          <w:sz w:val="24"/>
        </w:rPr>
      </w:pPr>
      <w:r w:rsidRPr="0097021E">
        <w:rPr>
          <w:rFonts w:ascii="宋体" w:hAnsi="宋体"/>
          <w:b/>
          <w:bCs/>
          <w:sz w:val="24"/>
        </w:rPr>
        <w:t>二〇一九年十月二十四日</w:t>
      </w:r>
    </w:p>
    <w:sectPr w:rsidR="00941F6C" w:rsidRPr="0097021E"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2A" w:rsidRDefault="00A6672A">
      <w:r>
        <w:separator/>
      </w:r>
    </w:p>
  </w:endnote>
  <w:endnote w:type="continuationSeparator" w:id="0">
    <w:p w:rsidR="00A6672A" w:rsidRDefault="00A6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1D0DB0" w:rsidRDefault="00941F6C" w:rsidP="001D0DB0">
    <w:pPr>
      <w:pStyle w:val="a5"/>
      <w:jc w:val="center"/>
    </w:pPr>
    <w:r>
      <w:rPr>
        <w:rFonts w:hint="eastAsia"/>
        <w:szCs w:val="21"/>
      </w:rPr>
      <w:t>第</w:t>
    </w:r>
    <w:r w:rsidR="000D7F46">
      <w:rPr>
        <w:szCs w:val="21"/>
      </w:rPr>
      <w:fldChar w:fldCharType="begin"/>
    </w:r>
    <w:r>
      <w:rPr>
        <w:szCs w:val="21"/>
      </w:rPr>
      <w:instrText xml:space="preserve"> PAGE </w:instrText>
    </w:r>
    <w:r w:rsidR="000D7F46">
      <w:rPr>
        <w:szCs w:val="21"/>
      </w:rPr>
      <w:fldChar w:fldCharType="separate"/>
    </w:r>
    <w:r w:rsidR="00560D0C">
      <w:rPr>
        <w:noProof/>
        <w:szCs w:val="21"/>
      </w:rPr>
      <w:t>1</w:t>
    </w:r>
    <w:r w:rsidR="000D7F46">
      <w:rPr>
        <w:szCs w:val="21"/>
      </w:rPr>
      <w:fldChar w:fldCharType="end"/>
    </w:r>
    <w:r>
      <w:rPr>
        <w:rFonts w:hint="eastAsia"/>
        <w:szCs w:val="21"/>
      </w:rPr>
      <w:t>页共</w:t>
    </w:r>
    <w:r w:rsidR="000D7F46">
      <w:rPr>
        <w:szCs w:val="21"/>
      </w:rPr>
      <w:fldChar w:fldCharType="begin"/>
    </w:r>
    <w:r>
      <w:rPr>
        <w:szCs w:val="21"/>
      </w:rPr>
      <w:instrText xml:space="preserve"> NUMPAGES </w:instrText>
    </w:r>
    <w:r w:rsidR="000D7F46">
      <w:rPr>
        <w:szCs w:val="21"/>
      </w:rPr>
      <w:fldChar w:fldCharType="separate"/>
    </w:r>
    <w:r w:rsidR="00560D0C">
      <w:rPr>
        <w:noProof/>
        <w:szCs w:val="21"/>
      </w:rPr>
      <w:t>3</w:t>
    </w:r>
    <w:r w:rsidR="000D7F46">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2A" w:rsidRDefault="00A6672A">
      <w:r>
        <w:separator/>
      </w:r>
    </w:p>
  </w:footnote>
  <w:footnote w:type="continuationSeparator" w:id="0">
    <w:p w:rsidR="00A6672A" w:rsidRDefault="00A66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F6C" w:rsidRPr="004F32E4" w:rsidRDefault="00941F6C" w:rsidP="008379E2">
    <w:pPr>
      <w:pStyle w:val="a4"/>
      <w:pBdr>
        <w:bottom w:val="single" w:sz="6" w:space="0" w:color="auto"/>
      </w:pBdr>
      <w:jc w:val="right"/>
      <w:rPr>
        <w:sz w:val="15"/>
      </w:rPr>
    </w:pPr>
    <w:r w:rsidRPr="004F32E4">
      <w:rPr>
        <w:szCs w:val="21"/>
      </w:rPr>
      <w:t>易方达天天增利货币市场基金</w:t>
    </w:r>
    <w:r w:rsidRPr="004F32E4">
      <w:rPr>
        <w:szCs w:val="21"/>
      </w:rPr>
      <w:t>2019</w:t>
    </w:r>
    <w:r w:rsidRPr="004F32E4">
      <w:rPr>
        <w:szCs w:val="21"/>
      </w:rPr>
      <w:t>年第</w:t>
    </w:r>
    <w:r w:rsidRPr="004F32E4">
      <w:rPr>
        <w:szCs w:val="21"/>
      </w:rPr>
      <w:t>3</w:t>
    </w:r>
    <w:r w:rsidRPr="004F32E4">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cs="Times New Roman" w:hint="default"/>
        <w:color w:val="auto"/>
      </w:rPr>
    </w:lvl>
    <w:lvl w:ilvl="1" w:tplc="04090019" w:tentative="1">
      <w:start w:val="1"/>
      <w:numFmt w:val="lowerLetter"/>
      <w:lvlText w:val="%2)"/>
      <w:lvlJc w:val="left"/>
      <w:pPr>
        <w:tabs>
          <w:tab w:val="num" w:pos="1310"/>
        </w:tabs>
        <w:ind w:left="1310" w:hanging="420"/>
      </w:pPr>
      <w:rPr>
        <w:rFonts w:cs="Times New Roman"/>
      </w:rPr>
    </w:lvl>
    <w:lvl w:ilvl="2" w:tplc="0409001B" w:tentative="1">
      <w:start w:val="1"/>
      <w:numFmt w:val="lowerRoman"/>
      <w:lvlText w:val="%3."/>
      <w:lvlJc w:val="right"/>
      <w:pPr>
        <w:tabs>
          <w:tab w:val="num" w:pos="1730"/>
        </w:tabs>
        <w:ind w:left="1730" w:hanging="420"/>
      </w:pPr>
      <w:rPr>
        <w:rFonts w:cs="Times New Roman"/>
      </w:rPr>
    </w:lvl>
    <w:lvl w:ilvl="3" w:tplc="0409000F" w:tentative="1">
      <w:start w:val="1"/>
      <w:numFmt w:val="decimal"/>
      <w:lvlText w:val="%4."/>
      <w:lvlJc w:val="left"/>
      <w:pPr>
        <w:tabs>
          <w:tab w:val="num" w:pos="2150"/>
        </w:tabs>
        <w:ind w:left="2150" w:hanging="420"/>
      </w:pPr>
      <w:rPr>
        <w:rFonts w:cs="Times New Roman"/>
      </w:rPr>
    </w:lvl>
    <w:lvl w:ilvl="4" w:tplc="04090019" w:tentative="1">
      <w:start w:val="1"/>
      <w:numFmt w:val="lowerLetter"/>
      <w:lvlText w:val="%5)"/>
      <w:lvlJc w:val="left"/>
      <w:pPr>
        <w:tabs>
          <w:tab w:val="num" w:pos="2570"/>
        </w:tabs>
        <w:ind w:left="2570" w:hanging="420"/>
      </w:pPr>
      <w:rPr>
        <w:rFonts w:cs="Times New Roman"/>
      </w:rPr>
    </w:lvl>
    <w:lvl w:ilvl="5" w:tplc="0409001B" w:tentative="1">
      <w:start w:val="1"/>
      <w:numFmt w:val="lowerRoman"/>
      <w:lvlText w:val="%6."/>
      <w:lvlJc w:val="right"/>
      <w:pPr>
        <w:tabs>
          <w:tab w:val="num" w:pos="2990"/>
        </w:tabs>
        <w:ind w:left="2990" w:hanging="420"/>
      </w:pPr>
      <w:rPr>
        <w:rFonts w:cs="Times New Roman"/>
      </w:rPr>
    </w:lvl>
    <w:lvl w:ilvl="6" w:tplc="0409000F" w:tentative="1">
      <w:start w:val="1"/>
      <w:numFmt w:val="decimal"/>
      <w:lvlText w:val="%7."/>
      <w:lvlJc w:val="left"/>
      <w:pPr>
        <w:tabs>
          <w:tab w:val="num" w:pos="3410"/>
        </w:tabs>
        <w:ind w:left="3410" w:hanging="420"/>
      </w:pPr>
      <w:rPr>
        <w:rFonts w:cs="Times New Roman"/>
      </w:rPr>
    </w:lvl>
    <w:lvl w:ilvl="7" w:tplc="04090019" w:tentative="1">
      <w:start w:val="1"/>
      <w:numFmt w:val="lowerLetter"/>
      <w:lvlText w:val="%8)"/>
      <w:lvlJc w:val="left"/>
      <w:pPr>
        <w:tabs>
          <w:tab w:val="num" w:pos="3830"/>
        </w:tabs>
        <w:ind w:left="3830" w:hanging="420"/>
      </w:pPr>
      <w:rPr>
        <w:rFonts w:cs="Times New Roman"/>
      </w:rPr>
    </w:lvl>
    <w:lvl w:ilvl="8" w:tplc="0409001B" w:tentative="1">
      <w:start w:val="1"/>
      <w:numFmt w:val="lowerRoman"/>
      <w:lvlText w:val="%9."/>
      <w:lvlJc w:val="right"/>
      <w:pPr>
        <w:tabs>
          <w:tab w:val="num" w:pos="4250"/>
        </w:tabs>
        <w:ind w:left="42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7283"/>
    <w:rsid w:val="000028CE"/>
    <w:rsid w:val="00004DE7"/>
    <w:rsid w:val="00005433"/>
    <w:rsid w:val="0001552D"/>
    <w:rsid w:val="0001566B"/>
    <w:rsid w:val="0002085F"/>
    <w:rsid w:val="00035596"/>
    <w:rsid w:val="000417E0"/>
    <w:rsid w:val="00044724"/>
    <w:rsid w:val="00047661"/>
    <w:rsid w:val="00052CA4"/>
    <w:rsid w:val="0005518A"/>
    <w:rsid w:val="00057D26"/>
    <w:rsid w:val="00063BA4"/>
    <w:rsid w:val="00065BBC"/>
    <w:rsid w:val="0006697D"/>
    <w:rsid w:val="00070092"/>
    <w:rsid w:val="0007109E"/>
    <w:rsid w:val="00075BBB"/>
    <w:rsid w:val="00075CA2"/>
    <w:rsid w:val="0007770D"/>
    <w:rsid w:val="00081C7E"/>
    <w:rsid w:val="000A2104"/>
    <w:rsid w:val="000A7480"/>
    <w:rsid w:val="000B2044"/>
    <w:rsid w:val="000B2266"/>
    <w:rsid w:val="000C469F"/>
    <w:rsid w:val="000C572D"/>
    <w:rsid w:val="000D0F44"/>
    <w:rsid w:val="000D12EA"/>
    <w:rsid w:val="000D6294"/>
    <w:rsid w:val="000D66F0"/>
    <w:rsid w:val="000D7F46"/>
    <w:rsid w:val="000E0F6E"/>
    <w:rsid w:val="000E7D73"/>
    <w:rsid w:val="000F2DA3"/>
    <w:rsid w:val="000F3C21"/>
    <w:rsid w:val="000F4826"/>
    <w:rsid w:val="000F5947"/>
    <w:rsid w:val="001007E9"/>
    <w:rsid w:val="00101278"/>
    <w:rsid w:val="001038EF"/>
    <w:rsid w:val="00103B93"/>
    <w:rsid w:val="001074D6"/>
    <w:rsid w:val="00113777"/>
    <w:rsid w:val="00114C97"/>
    <w:rsid w:val="001302DB"/>
    <w:rsid w:val="00145BCE"/>
    <w:rsid w:val="00157B55"/>
    <w:rsid w:val="001614DC"/>
    <w:rsid w:val="00162222"/>
    <w:rsid w:val="001635C7"/>
    <w:rsid w:val="0018401C"/>
    <w:rsid w:val="00186667"/>
    <w:rsid w:val="00186F56"/>
    <w:rsid w:val="001878B0"/>
    <w:rsid w:val="00191B28"/>
    <w:rsid w:val="00193BCF"/>
    <w:rsid w:val="00195C6F"/>
    <w:rsid w:val="00196812"/>
    <w:rsid w:val="00197ED0"/>
    <w:rsid w:val="001A2524"/>
    <w:rsid w:val="001B2821"/>
    <w:rsid w:val="001B42BE"/>
    <w:rsid w:val="001B72D6"/>
    <w:rsid w:val="001B7CC6"/>
    <w:rsid w:val="001C5D80"/>
    <w:rsid w:val="001D0D4C"/>
    <w:rsid w:val="001D0DB0"/>
    <w:rsid w:val="001D3FAC"/>
    <w:rsid w:val="001D65C8"/>
    <w:rsid w:val="001D6ECD"/>
    <w:rsid w:val="001D75D9"/>
    <w:rsid w:val="001F0286"/>
    <w:rsid w:val="00204CFA"/>
    <w:rsid w:val="0020640F"/>
    <w:rsid w:val="0021251E"/>
    <w:rsid w:val="00232095"/>
    <w:rsid w:val="00233014"/>
    <w:rsid w:val="0024424F"/>
    <w:rsid w:val="002507FE"/>
    <w:rsid w:val="002525C7"/>
    <w:rsid w:val="002611C3"/>
    <w:rsid w:val="002622E8"/>
    <w:rsid w:val="00264E55"/>
    <w:rsid w:val="00267283"/>
    <w:rsid w:val="00267FF0"/>
    <w:rsid w:val="00274FAC"/>
    <w:rsid w:val="0027576B"/>
    <w:rsid w:val="002A4B7F"/>
    <w:rsid w:val="002B45A4"/>
    <w:rsid w:val="002B48D0"/>
    <w:rsid w:val="002C33A0"/>
    <w:rsid w:val="002D1E78"/>
    <w:rsid w:val="002D3ADF"/>
    <w:rsid w:val="002E040C"/>
    <w:rsid w:val="002E0F4A"/>
    <w:rsid w:val="002E303A"/>
    <w:rsid w:val="002F0E9D"/>
    <w:rsid w:val="002F210C"/>
    <w:rsid w:val="002F6539"/>
    <w:rsid w:val="00304E44"/>
    <w:rsid w:val="00307062"/>
    <w:rsid w:val="00307395"/>
    <w:rsid w:val="00311ADA"/>
    <w:rsid w:val="00311AEB"/>
    <w:rsid w:val="00322B07"/>
    <w:rsid w:val="0032323A"/>
    <w:rsid w:val="00323377"/>
    <w:rsid w:val="00327FB0"/>
    <w:rsid w:val="00340292"/>
    <w:rsid w:val="00340C3A"/>
    <w:rsid w:val="00343648"/>
    <w:rsid w:val="00343AF0"/>
    <w:rsid w:val="003446AD"/>
    <w:rsid w:val="00346359"/>
    <w:rsid w:val="00346B82"/>
    <w:rsid w:val="0035022C"/>
    <w:rsid w:val="0035215C"/>
    <w:rsid w:val="0035397F"/>
    <w:rsid w:val="003571ED"/>
    <w:rsid w:val="00361AB7"/>
    <w:rsid w:val="00362E2A"/>
    <w:rsid w:val="00371E26"/>
    <w:rsid w:val="00373AAB"/>
    <w:rsid w:val="00374016"/>
    <w:rsid w:val="0038256A"/>
    <w:rsid w:val="00383631"/>
    <w:rsid w:val="00384942"/>
    <w:rsid w:val="00393DB8"/>
    <w:rsid w:val="00394BC1"/>
    <w:rsid w:val="003A0538"/>
    <w:rsid w:val="003A0EC1"/>
    <w:rsid w:val="003A2D1C"/>
    <w:rsid w:val="003B36B4"/>
    <w:rsid w:val="003B6DC6"/>
    <w:rsid w:val="003C0E8C"/>
    <w:rsid w:val="003C1137"/>
    <w:rsid w:val="003C495A"/>
    <w:rsid w:val="003D1ECF"/>
    <w:rsid w:val="003D21F4"/>
    <w:rsid w:val="003E14FE"/>
    <w:rsid w:val="003E565B"/>
    <w:rsid w:val="003F43EB"/>
    <w:rsid w:val="00402654"/>
    <w:rsid w:val="00403ED2"/>
    <w:rsid w:val="00404A00"/>
    <w:rsid w:val="0041278D"/>
    <w:rsid w:val="004147F3"/>
    <w:rsid w:val="004250C5"/>
    <w:rsid w:val="00425438"/>
    <w:rsid w:val="00433C1E"/>
    <w:rsid w:val="004369B0"/>
    <w:rsid w:val="00440828"/>
    <w:rsid w:val="0044257C"/>
    <w:rsid w:val="00446474"/>
    <w:rsid w:val="004527E3"/>
    <w:rsid w:val="00452968"/>
    <w:rsid w:val="00452D31"/>
    <w:rsid w:val="00460000"/>
    <w:rsid w:val="00461A70"/>
    <w:rsid w:val="004702DF"/>
    <w:rsid w:val="00473E10"/>
    <w:rsid w:val="00473EC9"/>
    <w:rsid w:val="00474896"/>
    <w:rsid w:val="004771B9"/>
    <w:rsid w:val="00483671"/>
    <w:rsid w:val="00496B2E"/>
    <w:rsid w:val="004A1355"/>
    <w:rsid w:val="004A2432"/>
    <w:rsid w:val="004A3251"/>
    <w:rsid w:val="004A357E"/>
    <w:rsid w:val="004A46A0"/>
    <w:rsid w:val="004B1C09"/>
    <w:rsid w:val="004B40EC"/>
    <w:rsid w:val="004C44F3"/>
    <w:rsid w:val="004C5B7C"/>
    <w:rsid w:val="004D18E1"/>
    <w:rsid w:val="004D22E1"/>
    <w:rsid w:val="004D6065"/>
    <w:rsid w:val="004E041A"/>
    <w:rsid w:val="004E3452"/>
    <w:rsid w:val="004E4E63"/>
    <w:rsid w:val="004F32E4"/>
    <w:rsid w:val="00505FFA"/>
    <w:rsid w:val="00506EF6"/>
    <w:rsid w:val="005134E7"/>
    <w:rsid w:val="005141F5"/>
    <w:rsid w:val="00515166"/>
    <w:rsid w:val="0051578D"/>
    <w:rsid w:val="00515B05"/>
    <w:rsid w:val="005212AE"/>
    <w:rsid w:val="00533490"/>
    <w:rsid w:val="0054464B"/>
    <w:rsid w:val="0054785C"/>
    <w:rsid w:val="00555883"/>
    <w:rsid w:val="00560D0C"/>
    <w:rsid w:val="00560F94"/>
    <w:rsid w:val="005633AD"/>
    <w:rsid w:val="00570F8C"/>
    <w:rsid w:val="005717B1"/>
    <w:rsid w:val="00575970"/>
    <w:rsid w:val="00582960"/>
    <w:rsid w:val="00587524"/>
    <w:rsid w:val="00592D0A"/>
    <w:rsid w:val="00594DCA"/>
    <w:rsid w:val="00595285"/>
    <w:rsid w:val="005A60B7"/>
    <w:rsid w:val="005B527B"/>
    <w:rsid w:val="005C2541"/>
    <w:rsid w:val="005C3044"/>
    <w:rsid w:val="005C4337"/>
    <w:rsid w:val="005D596C"/>
    <w:rsid w:val="005D6138"/>
    <w:rsid w:val="005D6807"/>
    <w:rsid w:val="005E05CC"/>
    <w:rsid w:val="005E1CCF"/>
    <w:rsid w:val="005E2087"/>
    <w:rsid w:val="005E6FA5"/>
    <w:rsid w:val="005F17EC"/>
    <w:rsid w:val="005F41D2"/>
    <w:rsid w:val="005F668B"/>
    <w:rsid w:val="005F6B28"/>
    <w:rsid w:val="005F7007"/>
    <w:rsid w:val="00607D19"/>
    <w:rsid w:val="00613327"/>
    <w:rsid w:val="006214E4"/>
    <w:rsid w:val="0063302E"/>
    <w:rsid w:val="00633177"/>
    <w:rsid w:val="006331F2"/>
    <w:rsid w:val="00636261"/>
    <w:rsid w:val="00636B17"/>
    <w:rsid w:val="0064191E"/>
    <w:rsid w:val="00664834"/>
    <w:rsid w:val="0066598A"/>
    <w:rsid w:val="006662B2"/>
    <w:rsid w:val="00672BEF"/>
    <w:rsid w:val="00673BA5"/>
    <w:rsid w:val="00685DE8"/>
    <w:rsid w:val="006911A1"/>
    <w:rsid w:val="00693EE6"/>
    <w:rsid w:val="006A1E40"/>
    <w:rsid w:val="006A2D00"/>
    <w:rsid w:val="006B01A5"/>
    <w:rsid w:val="006B2957"/>
    <w:rsid w:val="006B4C67"/>
    <w:rsid w:val="006D27DD"/>
    <w:rsid w:val="006D3126"/>
    <w:rsid w:val="006D4647"/>
    <w:rsid w:val="006D4C22"/>
    <w:rsid w:val="006E4EB5"/>
    <w:rsid w:val="006F1C55"/>
    <w:rsid w:val="006F3228"/>
    <w:rsid w:val="006F3CEE"/>
    <w:rsid w:val="006F622C"/>
    <w:rsid w:val="006F73DC"/>
    <w:rsid w:val="00707CB2"/>
    <w:rsid w:val="00710487"/>
    <w:rsid w:val="00712226"/>
    <w:rsid w:val="00714B3D"/>
    <w:rsid w:val="007277D1"/>
    <w:rsid w:val="00727EA0"/>
    <w:rsid w:val="0073105A"/>
    <w:rsid w:val="00734B8E"/>
    <w:rsid w:val="00737060"/>
    <w:rsid w:val="00741288"/>
    <w:rsid w:val="0074455F"/>
    <w:rsid w:val="007521F9"/>
    <w:rsid w:val="00756489"/>
    <w:rsid w:val="00756761"/>
    <w:rsid w:val="00756EA2"/>
    <w:rsid w:val="00757F37"/>
    <w:rsid w:val="00762E87"/>
    <w:rsid w:val="00764629"/>
    <w:rsid w:val="00764CF7"/>
    <w:rsid w:val="00764D09"/>
    <w:rsid w:val="00770628"/>
    <w:rsid w:val="007723FD"/>
    <w:rsid w:val="00772687"/>
    <w:rsid w:val="00774E1E"/>
    <w:rsid w:val="00780252"/>
    <w:rsid w:val="0078105B"/>
    <w:rsid w:val="00782061"/>
    <w:rsid w:val="00785C32"/>
    <w:rsid w:val="00795606"/>
    <w:rsid w:val="007B082A"/>
    <w:rsid w:val="007B1C3E"/>
    <w:rsid w:val="007C42E5"/>
    <w:rsid w:val="007C7149"/>
    <w:rsid w:val="007D3CAD"/>
    <w:rsid w:val="007D6B90"/>
    <w:rsid w:val="007E0C02"/>
    <w:rsid w:val="007F1DE3"/>
    <w:rsid w:val="007F5A8D"/>
    <w:rsid w:val="007F7BD7"/>
    <w:rsid w:val="008056FA"/>
    <w:rsid w:val="008115B6"/>
    <w:rsid w:val="00813897"/>
    <w:rsid w:val="00814461"/>
    <w:rsid w:val="00815CDE"/>
    <w:rsid w:val="00824D84"/>
    <w:rsid w:val="00825EA5"/>
    <w:rsid w:val="00833555"/>
    <w:rsid w:val="008347B3"/>
    <w:rsid w:val="00835BDD"/>
    <w:rsid w:val="00837049"/>
    <w:rsid w:val="008379E2"/>
    <w:rsid w:val="00852119"/>
    <w:rsid w:val="0085498E"/>
    <w:rsid w:val="008564C2"/>
    <w:rsid w:val="0086245E"/>
    <w:rsid w:val="00866CC9"/>
    <w:rsid w:val="00873984"/>
    <w:rsid w:val="00880EE6"/>
    <w:rsid w:val="00882323"/>
    <w:rsid w:val="00893021"/>
    <w:rsid w:val="008966EA"/>
    <w:rsid w:val="008A3C06"/>
    <w:rsid w:val="008A6C04"/>
    <w:rsid w:val="008B23BD"/>
    <w:rsid w:val="008C6B6D"/>
    <w:rsid w:val="008D0A39"/>
    <w:rsid w:val="008E4638"/>
    <w:rsid w:val="008E6C59"/>
    <w:rsid w:val="008E71D2"/>
    <w:rsid w:val="008F44F3"/>
    <w:rsid w:val="008F602A"/>
    <w:rsid w:val="008F76DB"/>
    <w:rsid w:val="009004F7"/>
    <w:rsid w:val="00902E3F"/>
    <w:rsid w:val="00903E98"/>
    <w:rsid w:val="00906C9B"/>
    <w:rsid w:val="00910FB5"/>
    <w:rsid w:val="00911C0E"/>
    <w:rsid w:val="009153D7"/>
    <w:rsid w:val="00920D1F"/>
    <w:rsid w:val="00941F6C"/>
    <w:rsid w:val="0094213C"/>
    <w:rsid w:val="00943AFD"/>
    <w:rsid w:val="0097021E"/>
    <w:rsid w:val="00971C19"/>
    <w:rsid w:val="00971D35"/>
    <w:rsid w:val="0097327D"/>
    <w:rsid w:val="0099296A"/>
    <w:rsid w:val="009965A5"/>
    <w:rsid w:val="009A2DB3"/>
    <w:rsid w:val="009A5367"/>
    <w:rsid w:val="009A56D7"/>
    <w:rsid w:val="009A5CE7"/>
    <w:rsid w:val="009A755D"/>
    <w:rsid w:val="009B15FD"/>
    <w:rsid w:val="009B2693"/>
    <w:rsid w:val="009B3C3F"/>
    <w:rsid w:val="009B4EB9"/>
    <w:rsid w:val="009B73A7"/>
    <w:rsid w:val="009C1A42"/>
    <w:rsid w:val="009D3827"/>
    <w:rsid w:val="009D4685"/>
    <w:rsid w:val="009D60EB"/>
    <w:rsid w:val="009D74FC"/>
    <w:rsid w:val="009E07F4"/>
    <w:rsid w:val="009E26B0"/>
    <w:rsid w:val="009E2BAA"/>
    <w:rsid w:val="009E3E0B"/>
    <w:rsid w:val="009F480F"/>
    <w:rsid w:val="00A01505"/>
    <w:rsid w:val="00A1530B"/>
    <w:rsid w:val="00A15461"/>
    <w:rsid w:val="00A15E5D"/>
    <w:rsid w:val="00A16747"/>
    <w:rsid w:val="00A16D78"/>
    <w:rsid w:val="00A21EC2"/>
    <w:rsid w:val="00A24DC0"/>
    <w:rsid w:val="00A27322"/>
    <w:rsid w:val="00A3193E"/>
    <w:rsid w:val="00A42A96"/>
    <w:rsid w:val="00A455A0"/>
    <w:rsid w:val="00A50D92"/>
    <w:rsid w:val="00A62DD4"/>
    <w:rsid w:val="00A64F4A"/>
    <w:rsid w:val="00A65A66"/>
    <w:rsid w:val="00A6672A"/>
    <w:rsid w:val="00A7219D"/>
    <w:rsid w:val="00A732C4"/>
    <w:rsid w:val="00A805BC"/>
    <w:rsid w:val="00A80F9F"/>
    <w:rsid w:val="00A81075"/>
    <w:rsid w:val="00A87550"/>
    <w:rsid w:val="00A94718"/>
    <w:rsid w:val="00A95FA9"/>
    <w:rsid w:val="00AA5B03"/>
    <w:rsid w:val="00AA68D4"/>
    <w:rsid w:val="00AB373C"/>
    <w:rsid w:val="00AB5159"/>
    <w:rsid w:val="00AB67DE"/>
    <w:rsid w:val="00AC2B47"/>
    <w:rsid w:val="00AC3A1A"/>
    <w:rsid w:val="00AC3D9E"/>
    <w:rsid w:val="00AC446F"/>
    <w:rsid w:val="00AC6C3D"/>
    <w:rsid w:val="00AD1ADB"/>
    <w:rsid w:val="00AE17F1"/>
    <w:rsid w:val="00AE2FB9"/>
    <w:rsid w:val="00AE342F"/>
    <w:rsid w:val="00AE4F96"/>
    <w:rsid w:val="00AE6D9A"/>
    <w:rsid w:val="00AE7435"/>
    <w:rsid w:val="00AF2397"/>
    <w:rsid w:val="00AF27F9"/>
    <w:rsid w:val="00AF3D19"/>
    <w:rsid w:val="00B040BC"/>
    <w:rsid w:val="00B0441A"/>
    <w:rsid w:val="00B044FC"/>
    <w:rsid w:val="00B06458"/>
    <w:rsid w:val="00B25119"/>
    <w:rsid w:val="00B27004"/>
    <w:rsid w:val="00B33F45"/>
    <w:rsid w:val="00B33FA5"/>
    <w:rsid w:val="00B415B8"/>
    <w:rsid w:val="00B420AC"/>
    <w:rsid w:val="00B4354A"/>
    <w:rsid w:val="00B520CF"/>
    <w:rsid w:val="00B54CC5"/>
    <w:rsid w:val="00B60E27"/>
    <w:rsid w:val="00B64D62"/>
    <w:rsid w:val="00B6646C"/>
    <w:rsid w:val="00B76BBB"/>
    <w:rsid w:val="00B83944"/>
    <w:rsid w:val="00B92A84"/>
    <w:rsid w:val="00B94530"/>
    <w:rsid w:val="00B94B49"/>
    <w:rsid w:val="00B963A4"/>
    <w:rsid w:val="00BA7AF1"/>
    <w:rsid w:val="00BB03CC"/>
    <w:rsid w:val="00BB1083"/>
    <w:rsid w:val="00BB252C"/>
    <w:rsid w:val="00BB5126"/>
    <w:rsid w:val="00BB7518"/>
    <w:rsid w:val="00BC0205"/>
    <w:rsid w:val="00BC14F5"/>
    <w:rsid w:val="00BC2146"/>
    <w:rsid w:val="00BD1A7F"/>
    <w:rsid w:val="00BD6918"/>
    <w:rsid w:val="00BE439F"/>
    <w:rsid w:val="00BE5584"/>
    <w:rsid w:val="00BF1111"/>
    <w:rsid w:val="00BF3886"/>
    <w:rsid w:val="00BF6648"/>
    <w:rsid w:val="00C009AF"/>
    <w:rsid w:val="00C02FCF"/>
    <w:rsid w:val="00C2005E"/>
    <w:rsid w:val="00C205E4"/>
    <w:rsid w:val="00C2782D"/>
    <w:rsid w:val="00C3040F"/>
    <w:rsid w:val="00C31398"/>
    <w:rsid w:val="00C31708"/>
    <w:rsid w:val="00C365A8"/>
    <w:rsid w:val="00C36C15"/>
    <w:rsid w:val="00C4213A"/>
    <w:rsid w:val="00C4371A"/>
    <w:rsid w:val="00C4627A"/>
    <w:rsid w:val="00C54D3E"/>
    <w:rsid w:val="00C637D1"/>
    <w:rsid w:val="00C640B8"/>
    <w:rsid w:val="00C64FED"/>
    <w:rsid w:val="00C7033B"/>
    <w:rsid w:val="00C83157"/>
    <w:rsid w:val="00C927D5"/>
    <w:rsid w:val="00CA0730"/>
    <w:rsid w:val="00CA1C04"/>
    <w:rsid w:val="00CA3808"/>
    <w:rsid w:val="00CA65DD"/>
    <w:rsid w:val="00CA7D55"/>
    <w:rsid w:val="00CB0E8A"/>
    <w:rsid w:val="00CC05B9"/>
    <w:rsid w:val="00CC171F"/>
    <w:rsid w:val="00CC3F83"/>
    <w:rsid w:val="00CC57FC"/>
    <w:rsid w:val="00CC7DB0"/>
    <w:rsid w:val="00CD2092"/>
    <w:rsid w:val="00CD5F24"/>
    <w:rsid w:val="00CE0B87"/>
    <w:rsid w:val="00CE0E18"/>
    <w:rsid w:val="00CE193A"/>
    <w:rsid w:val="00CE6A71"/>
    <w:rsid w:val="00CF1F4A"/>
    <w:rsid w:val="00CF38CA"/>
    <w:rsid w:val="00CF540B"/>
    <w:rsid w:val="00CF5996"/>
    <w:rsid w:val="00CF6DF0"/>
    <w:rsid w:val="00D0349F"/>
    <w:rsid w:val="00D03770"/>
    <w:rsid w:val="00D05BAA"/>
    <w:rsid w:val="00D06255"/>
    <w:rsid w:val="00D06394"/>
    <w:rsid w:val="00D15D82"/>
    <w:rsid w:val="00D1705E"/>
    <w:rsid w:val="00D25602"/>
    <w:rsid w:val="00D30BD3"/>
    <w:rsid w:val="00D33791"/>
    <w:rsid w:val="00D33BA8"/>
    <w:rsid w:val="00D364EB"/>
    <w:rsid w:val="00D40363"/>
    <w:rsid w:val="00D451BC"/>
    <w:rsid w:val="00D47169"/>
    <w:rsid w:val="00D51E96"/>
    <w:rsid w:val="00D568BB"/>
    <w:rsid w:val="00D630DA"/>
    <w:rsid w:val="00D63B9E"/>
    <w:rsid w:val="00D65D90"/>
    <w:rsid w:val="00D66016"/>
    <w:rsid w:val="00D769BA"/>
    <w:rsid w:val="00D8034F"/>
    <w:rsid w:val="00D81755"/>
    <w:rsid w:val="00D85366"/>
    <w:rsid w:val="00D8617C"/>
    <w:rsid w:val="00D86415"/>
    <w:rsid w:val="00D87D00"/>
    <w:rsid w:val="00D94E23"/>
    <w:rsid w:val="00D9798C"/>
    <w:rsid w:val="00DA133F"/>
    <w:rsid w:val="00DA1983"/>
    <w:rsid w:val="00DA2F1E"/>
    <w:rsid w:val="00DA5831"/>
    <w:rsid w:val="00DB0538"/>
    <w:rsid w:val="00DB2873"/>
    <w:rsid w:val="00DC22A1"/>
    <w:rsid w:val="00DC4482"/>
    <w:rsid w:val="00DD5028"/>
    <w:rsid w:val="00DF1198"/>
    <w:rsid w:val="00DF5A9C"/>
    <w:rsid w:val="00E12082"/>
    <w:rsid w:val="00E21589"/>
    <w:rsid w:val="00E24D9E"/>
    <w:rsid w:val="00E257C8"/>
    <w:rsid w:val="00E26581"/>
    <w:rsid w:val="00E2722E"/>
    <w:rsid w:val="00E31609"/>
    <w:rsid w:val="00E3447D"/>
    <w:rsid w:val="00E36895"/>
    <w:rsid w:val="00E431CE"/>
    <w:rsid w:val="00E445F8"/>
    <w:rsid w:val="00E503E4"/>
    <w:rsid w:val="00E5550E"/>
    <w:rsid w:val="00E55E02"/>
    <w:rsid w:val="00E571C4"/>
    <w:rsid w:val="00E62A69"/>
    <w:rsid w:val="00E63B3D"/>
    <w:rsid w:val="00E64479"/>
    <w:rsid w:val="00E67D99"/>
    <w:rsid w:val="00E71B2F"/>
    <w:rsid w:val="00E75556"/>
    <w:rsid w:val="00E76F1F"/>
    <w:rsid w:val="00E80BE2"/>
    <w:rsid w:val="00E8309D"/>
    <w:rsid w:val="00E90A9C"/>
    <w:rsid w:val="00E92BEC"/>
    <w:rsid w:val="00E95356"/>
    <w:rsid w:val="00E966E5"/>
    <w:rsid w:val="00EA3D96"/>
    <w:rsid w:val="00EA6B69"/>
    <w:rsid w:val="00EA6B7B"/>
    <w:rsid w:val="00EB25E4"/>
    <w:rsid w:val="00EB3D8B"/>
    <w:rsid w:val="00ED093E"/>
    <w:rsid w:val="00ED1B77"/>
    <w:rsid w:val="00ED5511"/>
    <w:rsid w:val="00ED57D1"/>
    <w:rsid w:val="00EF3B7C"/>
    <w:rsid w:val="00EF56FA"/>
    <w:rsid w:val="00EF6216"/>
    <w:rsid w:val="00EF6E42"/>
    <w:rsid w:val="00F0613C"/>
    <w:rsid w:val="00F11244"/>
    <w:rsid w:val="00F14A7B"/>
    <w:rsid w:val="00F1658B"/>
    <w:rsid w:val="00F2540D"/>
    <w:rsid w:val="00F26602"/>
    <w:rsid w:val="00F31380"/>
    <w:rsid w:val="00F333BF"/>
    <w:rsid w:val="00F34499"/>
    <w:rsid w:val="00F3498A"/>
    <w:rsid w:val="00F406E3"/>
    <w:rsid w:val="00F40C82"/>
    <w:rsid w:val="00F45796"/>
    <w:rsid w:val="00F50707"/>
    <w:rsid w:val="00F5114E"/>
    <w:rsid w:val="00F53B1A"/>
    <w:rsid w:val="00F54568"/>
    <w:rsid w:val="00F57249"/>
    <w:rsid w:val="00F62DE3"/>
    <w:rsid w:val="00F70E0A"/>
    <w:rsid w:val="00F77131"/>
    <w:rsid w:val="00F85D7E"/>
    <w:rsid w:val="00F92B0F"/>
    <w:rsid w:val="00FA4C13"/>
    <w:rsid w:val="00FB345F"/>
    <w:rsid w:val="00FB4DA5"/>
    <w:rsid w:val="00FC57A1"/>
    <w:rsid w:val="00FC6069"/>
    <w:rsid w:val="00FD3820"/>
    <w:rsid w:val="00FD768A"/>
    <w:rsid w:val="00FE3C23"/>
    <w:rsid w:val="00FE6E6D"/>
    <w:rsid w:val="00FF0DAE"/>
    <w:rsid w:val="00FF30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0E7FA0B6-0CD6-4FAF-B1B2-DB9659CC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uiPriority w:val="99"/>
    <w:qFormat/>
    <w:rsid w:val="00CA65D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9D74FC"/>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A65DD"/>
    <w:rPr>
      <w:rFonts w:cs="Times New Roman"/>
      <w:b/>
      <w:bCs/>
      <w:kern w:val="44"/>
      <w:sz w:val="44"/>
      <w:szCs w:val="44"/>
    </w:rPr>
  </w:style>
  <w:style w:type="character" w:customStyle="1" w:styleId="2Char">
    <w:name w:val="标题 2 Char"/>
    <w:link w:val="2"/>
    <w:uiPriority w:val="9"/>
    <w:semiHidden/>
    <w:rsid w:val="0079613F"/>
    <w:rPr>
      <w:rFonts w:ascii="Cambria" w:eastAsia="宋体" w:hAnsi="Cambria" w:cs="Times New Roman"/>
      <w:b/>
      <w:bCs/>
      <w:sz w:val="32"/>
      <w:szCs w:val="32"/>
    </w:rPr>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8379E2"/>
    <w:rPr>
      <w:rFonts w:cs="Times New Roman"/>
      <w:kern w:val="2"/>
      <w:sz w:val="18"/>
      <w:szCs w:val="18"/>
    </w:rPr>
  </w:style>
  <w:style w:type="paragraph" w:styleId="a5">
    <w:name w:val="footer"/>
    <w:basedOn w:val="a"/>
    <w:link w:val="Char0"/>
    <w:uiPriority w:val="99"/>
    <w:rsid w:val="00613327"/>
    <w:pPr>
      <w:tabs>
        <w:tab w:val="center" w:pos="4153"/>
        <w:tab w:val="right" w:pos="8306"/>
      </w:tabs>
      <w:snapToGrid w:val="0"/>
      <w:jc w:val="left"/>
    </w:pPr>
    <w:rPr>
      <w:kern w:val="0"/>
      <w:sz w:val="18"/>
      <w:szCs w:val="18"/>
    </w:rPr>
  </w:style>
  <w:style w:type="character" w:customStyle="1" w:styleId="Char0">
    <w:name w:val="页脚 Char"/>
    <w:link w:val="a5"/>
    <w:uiPriority w:val="99"/>
    <w:semiHidden/>
    <w:rsid w:val="0079613F"/>
    <w:rPr>
      <w:sz w:val="18"/>
      <w:szCs w:val="18"/>
    </w:rPr>
  </w:style>
  <w:style w:type="paragraph" w:customStyle="1" w:styleId="Char1">
    <w:name w:val="Char"/>
    <w:basedOn w:val="a"/>
    <w:uiPriority w:val="99"/>
    <w:rsid w:val="00186667"/>
  </w:style>
  <w:style w:type="paragraph" w:styleId="20">
    <w:name w:val="Body Text Indent 2"/>
    <w:basedOn w:val="a"/>
    <w:link w:val="2Char0"/>
    <w:uiPriority w:val="99"/>
    <w:rsid w:val="00186667"/>
    <w:pPr>
      <w:spacing w:line="560" w:lineRule="exact"/>
      <w:ind w:firstLineChars="200" w:firstLine="480"/>
    </w:pPr>
    <w:rPr>
      <w:kern w:val="0"/>
      <w:sz w:val="20"/>
    </w:rPr>
  </w:style>
  <w:style w:type="character" w:customStyle="1" w:styleId="2Char0">
    <w:name w:val="正文文本缩进 2 Char"/>
    <w:link w:val="20"/>
    <w:uiPriority w:val="99"/>
    <w:semiHidden/>
    <w:rsid w:val="0079613F"/>
    <w:rPr>
      <w:szCs w:val="24"/>
    </w:rPr>
  </w:style>
  <w:style w:type="paragraph" w:styleId="a6">
    <w:name w:val="Plain Text"/>
    <w:basedOn w:val="a"/>
    <w:link w:val="Char2"/>
    <w:uiPriority w:val="99"/>
    <w:rsid w:val="004771B9"/>
    <w:rPr>
      <w:rFonts w:ascii="宋体" w:hAnsi="Courier New"/>
      <w:szCs w:val="20"/>
    </w:rPr>
  </w:style>
  <w:style w:type="character" w:customStyle="1" w:styleId="Char2">
    <w:name w:val="纯文本 Char"/>
    <w:link w:val="a6"/>
    <w:uiPriority w:val="99"/>
    <w:locked/>
    <w:rsid w:val="00E63B3D"/>
    <w:rPr>
      <w:rFonts w:ascii="宋体" w:hAnsi="Courier New"/>
      <w:kern w:val="2"/>
      <w:sz w:val="21"/>
    </w:rPr>
  </w:style>
  <w:style w:type="paragraph" w:styleId="3">
    <w:name w:val="Body Text Indent 3"/>
    <w:basedOn w:val="a"/>
    <w:link w:val="3Char"/>
    <w:uiPriority w:val="99"/>
    <w:rsid w:val="004771B9"/>
    <w:pPr>
      <w:spacing w:after="120"/>
      <w:ind w:leftChars="200" w:left="420"/>
    </w:pPr>
    <w:rPr>
      <w:kern w:val="0"/>
      <w:sz w:val="16"/>
      <w:szCs w:val="16"/>
    </w:rPr>
  </w:style>
  <w:style w:type="character" w:customStyle="1" w:styleId="3Char">
    <w:name w:val="正文文本缩进 3 Char"/>
    <w:link w:val="3"/>
    <w:uiPriority w:val="99"/>
    <w:semiHidden/>
    <w:rsid w:val="0079613F"/>
    <w:rPr>
      <w:sz w:val="16"/>
      <w:szCs w:val="16"/>
    </w:rPr>
  </w:style>
  <w:style w:type="paragraph" w:styleId="a0">
    <w:name w:val="Normal Indent"/>
    <w:basedOn w:val="a"/>
    <w:uiPriority w:val="99"/>
    <w:rsid w:val="009D74FC"/>
    <w:pPr>
      <w:ind w:firstLineChars="200" w:firstLine="420"/>
    </w:pPr>
  </w:style>
  <w:style w:type="paragraph" w:styleId="a7">
    <w:name w:val="Document Map"/>
    <w:basedOn w:val="a"/>
    <w:link w:val="Char3"/>
    <w:uiPriority w:val="99"/>
    <w:semiHidden/>
    <w:rsid w:val="005212AE"/>
    <w:pPr>
      <w:shd w:val="clear" w:color="auto" w:fill="000080"/>
    </w:pPr>
    <w:rPr>
      <w:kern w:val="0"/>
      <w:sz w:val="0"/>
      <w:szCs w:val="0"/>
    </w:rPr>
  </w:style>
  <w:style w:type="character" w:customStyle="1" w:styleId="Char3">
    <w:name w:val="文档结构图 Char"/>
    <w:link w:val="a7"/>
    <w:uiPriority w:val="99"/>
    <w:semiHidden/>
    <w:rsid w:val="0079613F"/>
    <w:rPr>
      <w:sz w:val="0"/>
      <w:szCs w:val="0"/>
    </w:rPr>
  </w:style>
  <w:style w:type="paragraph" w:styleId="a8">
    <w:name w:val="Balloon Text"/>
    <w:basedOn w:val="a"/>
    <w:link w:val="Char4"/>
    <w:uiPriority w:val="99"/>
    <w:rsid w:val="00E63B3D"/>
    <w:rPr>
      <w:sz w:val="18"/>
      <w:szCs w:val="18"/>
    </w:rPr>
  </w:style>
  <w:style w:type="character" w:customStyle="1" w:styleId="Char4">
    <w:name w:val="批注框文本 Char"/>
    <w:link w:val="a8"/>
    <w:uiPriority w:val="99"/>
    <w:locked/>
    <w:rsid w:val="00E63B3D"/>
    <w:rPr>
      <w:rFonts w:cs="Times New Roman"/>
      <w:kern w:val="2"/>
      <w:sz w:val="18"/>
      <w:szCs w:val="18"/>
    </w:rPr>
  </w:style>
  <w:style w:type="paragraph" w:styleId="a9">
    <w:name w:val="List Paragraph"/>
    <w:basedOn w:val="a"/>
    <w:uiPriority w:val="99"/>
    <w:qFormat/>
    <w:rsid w:val="005F668B"/>
    <w:pPr>
      <w:ind w:firstLineChars="200" w:firstLine="420"/>
    </w:pPr>
  </w:style>
  <w:style w:type="table" w:styleId="aa">
    <w:name w:val="Table Grid"/>
    <w:basedOn w:val="a2"/>
    <w:qFormat/>
    <w:rsid w:val="005A60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rmal (Web)"/>
    <w:basedOn w:val="a"/>
    <w:uiPriority w:val="99"/>
    <w:rsid w:val="008B23BD"/>
    <w:pPr>
      <w:widowControl/>
      <w:spacing w:before="100" w:beforeAutospacing="1" w:after="100" w:afterAutospacing="1"/>
    </w:pPr>
    <w:rPr>
      <w:rFonts w:ascii="宋体" w:hAnsi="宋体"/>
      <w:kern w:val="0"/>
      <w:sz w:val="24"/>
      <w:szCs w:val="20"/>
    </w:rPr>
  </w:style>
  <w:style w:type="paragraph" w:styleId="ac">
    <w:name w:val="Date"/>
    <w:basedOn w:val="a"/>
    <w:next w:val="a"/>
    <w:link w:val="Char5"/>
    <w:uiPriority w:val="99"/>
    <w:rsid w:val="00D66016"/>
    <w:rPr>
      <w:sz w:val="24"/>
      <w:szCs w:val="20"/>
    </w:rPr>
  </w:style>
  <w:style w:type="character" w:customStyle="1" w:styleId="Char5">
    <w:name w:val="日期 Char"/>
    <w:link w:val="ac"/>
    <w:uiPriority w:val="99"/>
    <w:locked/>
    <w:rsid w:val="00D66016"/>
    <w:rPr>
      <w:rFonts w:cs="Times New Roman"/>
      <w:kern w:val="2"/>
      <w:sz w:val="24"/>
    </w:rPr>
  </w:style>
  <w:style w:type="paragraph" w:styleId="ad">
    <w:name w:val="footnote text"/>
    <w:basedOn w:val="a"/>
    <w:link w:val="Char6"/>
    <w:uiPriority w:val="99"/>
    <w:rsid w:val="00D03770"/>
    <w:pPr>
      <w:snapToGrid w:val="0"/>
      <w:jc w:val="left"/>
    </w:pPr>
    <w:rPr>
      <w:sz w:val="18"/>
      <w:szCs w:val="18"/>
    </w:rPr>
  </w:style>
  <w:style w:type="character" w:customStyle="1" w:styleId="Char6">
    <w:name w:val="脚注文本 Char"/>
    <w:link w:val="ad"/>
    <w:uiPriority w:val="99"/>
    <w:locked/>
    <w:rsid w:val="00D03770"/>
    <w:rPr>
      <w:rFonts w:cs="Times New Roman"/>
      <w:kern w:val="2"/>
      <w:sz w:val="18"/>
      <w:szCs w:val="18"/>
    </w:rPr>
  </w:style>
  <w:style w:type="character" w:styleId="ae">
    <w:name w:val="footnote reference"/>
    <w:uiPriority w:val="99"/>
    <w:rsid w:val="00D03770"/>
    <w:rPr>
      <w:rFonts w:cs="Times New Roman"/>
      <w:vertAlign w:val="superscript"/>
    </w:rPr>
  </w:style>
  <w:style w:type="character" w:styleId="af">
    <w:name w:val="Strong"/>
    <w:uiPriority w:val="22"/>
    <w:qFormat/>
    <w:locked/>
    <w:rsid w:val="000C57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8538">
      <w:marLeft w:val="0"/>
      <w:marRight w:val="0"/>
      <w:marTop w:val="0"/>
      <w:marBottom w:val="0"/>
      <w:divBdr>
        <w:top w:val="none" w:sz="0" w:space="0" w:color="auto"/>
        <w:left w:val="none" w:sz="0" w:space="0" w:color="auto"/>
        <w:bottom w:val="none" w:sz="0" w:space="0" w:color="auto"/>
        <w:right w:val="none" w:sz="0" w:space="0" w:color="auto"/>
      </w:divBdr>
    </w:div>
    <w:div w:id="179708539">
      <w:marLeft w:val="0"/>
      <w:marRight w:val="0"/>
      <w:marTop w:val="0"/>
      <w:marBottom w:val="0"/>
      <w:divBdr>
        <w:top w:val="none" w:sz="0" w:space="0" w:color="auto"/>
        <w:left w:val="none" w:sz="0" w:space="0" w:color="auto"/>
        <w:bottom w:val="none" w:sz="0" w:space="0" w:color="auto"/>
        <w:right w:val="none" w:sz="0" w:space="0" w:color="auto"/>
      </w:divBdr>
    </w:div>
    <w:div w:id="179708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1511</Words>
  <Characters>8614</Characters>
  <Application>Microsoft Office Word</Application>
  <DocSecurity>0</DocSecurity>
  <Lines>71</Lines>
  <Paragraphs>20</Paragraphs>
  <ScaleCrop>false</ScaleCrop>
  <Company>jysld</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208</cp:revision>
  <cp:lastPrinted>2019-10-16T13:54:00Z</cp:lastPrinted>
  <dcterms:created xsi:type="dcterms:W3CDTF">2012-11-21T05:49:00Z</dcterms:created>
  <dcterms:modified xsi:type="dcterms:W3CDTF">2019-10-16T13:54:00Z</dcterms:modified>
</cp:coreProperties>
</file>