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易方达新兴成长灵活配置混合型证券投资基金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F42ADC" w:rsidRDefault="00657624">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F42ADC" w:rsidRDefault="00657624">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F42ADC" w:rsidRDefault="00657624">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w:t>
      </w:r>
      <w:r>
        <w:rPr>
          <w:color w:val="000000"/>
          <w:sz w:val="24"/>
          <w:szCs w:val="24"/>
        </w:rPr>
        <w:t>利。</w:t>
      </w:r>
      <w:r>
        <w:rPr>
          <w:color w:val="000000"/>
          <w:sz w:val="24"/>
          <w:szCs w:val="24"/>
        </w:rPr>
        <w:t xml:space="preserve"> </w:t>
      </w:r>
    </w:p>
    <w:p w:rsidR="00F42ADC" w:rsidRDefault="00657624">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F42ADC" w:rsidRDefault="00657624">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易方达新兴成长混合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000404</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000404</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2013</w:t>
            </w:r>
            <w:r w:rsidRPr="00232B03">
              <w:rPr>
                <w:color w:val="000000"/>
                <w:kern w:val="0"/>
                <w:sz w:val="24"/>
                <w:szCs w:val="24"/>
              </w:rPr>
              <w:t>年</w:t>
            </w:r>
            <w:r w:rsidRPr="00232B03">
              <w:rPr>
                <w:color w:val="000000"/>
                <w:kern w:val="0"/>
                <w:sz w:val="24"/>
                <w:szCs w:val="24"/>
              </w:rPr>
              <w:t>11</w:t>
            </w:r>
            <w:r w:rsidRPr="00232B03">
              <w:rPr>
                <w:color w:val="000000"/>
                <w:kern w:val="0"/>
                <w:sz w:val="24"/>
                <w:szCs w:val="24"/>
              </w:rPr>
              <w:t>月</w:t>
            </w:r>
            <w:r w:rsidRPr="00232B03">
              <w:rPr>
                <w:color w:val="000000"/>
                <w:kern w:val="0"/>
                <w:sz w:val="24"/>
                <w:szCs w:val="24"/>
              </w:rPr>
              <w:t>28</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860,162,428.85</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本基金在严格控制风险的前提下，追求超越业绩比较基准的投资回报和资产的长期稳健增值。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的资产配置主要是基于定量与定性相结合的宏观及市场分析，确定组合中股票、债券、货币市场工具及其他金融工具的比例。在股票投资策略方面，本基金将从新兴产业中优选预期成长性较好的公司的股票进行投资。本基金所指的预期成长性</w:t>
            </w:r>
            <w:r w:rsidRPr="00232B03">
              <w:rPr>
                <w:color w:val="000000"/>
                <w:kern w:val="0"/>
                <w:sz w:val="24"/>
                <w:szCs w:val="24"/>
              </w:rPr>
              <w:lastRenderedPageBreak/>
              <w:t>较好的公司是指预期净利润复合增长率高于同期</w:t>
            </w:r>
            <w:r w:rsidRPr="00232B03">
              <w:rPr>
                <w:color w:val="000000"/>
                <w:kern w:val="0"/>
                <w:sz w:val="24"/>
                <w:szCs w:val="24"/>
              </w:rPr>
              <w:t>GDP</w:t>
            </w:r>
            <w:r w:rsidRPr="00232B03">
              <w:rPr>
                <w:color w:val="000000"/>
                <w:kern w:val="0"/>
                <w:sz w:val="24"/>
                <w:szCs w:val="24"/>
              </w:rPr>
              <w:t>增长率</w:t>
            </w:r>
            <w:r w:rsidRPr="00232B03">
              <w:rPr>
                <w:color w:val="000000"/>
                <w:kern w:val="0"/>
                <w:sz w:val="24"/>
                <w:szCs w:val="24"/>
              </w:rPr>
              <w:t>2</w:t>
            </w:r>
            <w:r w:rsidRPr="00232B03">
              <w:rPr>
                <w:color w:val="000000"/>
                <w:kern w:val="0"/>
                <w:sz w:val="24"/>
                <w:szCs w:val="24"/>
              </w:rPr>
              <w:t>倍并满足公司所在行业景气度较高且具有可持续性、公司所在行业竞争格局良好以及公司管理层素质较高等标准的公司。在债券投资策略方面，本基金主要通过类属配置与券种选择两个层次进行投资管理。同时，本基金将根据对现货和期货市场的分析，采取多头或空头套期保值等策略进行套期保值操作。</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中证新兴产业指数收益率</w:t>
            </w:r>
            <w:r w:rsidRPr="00232B03">
              <w:rPr>
                <w:color w:val="000000"/>
                <w:kern w:val="0"/>
                <w:sz w:val="24"/>
                <w:szCs w:val="24"/>
              </w:rPr>
              <w:t>×50%+</w:t>
            </w:r>
            <w:r w:rsidRPr="00232B03">
              <w:rPr>
                <w:color w:val="000000"/>
                <w:kern w:val="0"/>
                <w:sz w:val="24"/>
                <w:szCs w:val="24"/>
              </w:rPr>
              <w:t>中债总财富指数收益率</w:t>
            </w:r>
            <w:r w:rsidRPr="00232B03">
              <w:rPr>
                <w:color w:val="000000"/>
                <w:kern w:val="0"/>
                <w:sz w:val="24"/>
                <w:szCs w:val="24"/>
              </w:rPr>
              <w:t>×50%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本基金为混合型基金，理论上其风险收益水平低于股票型基金，高于债券型基金和货币市场基金。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153,523,241.19</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381,554,818.21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0.4606</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2,071,006,789.36</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2.408</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F42ADC" w:rsidRDefault="00657624">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F42ADC">
        <w:tc>
          <w:tcPr>
            <w:tcW w:w="1395" w:type="dxa"/>
            <w:vAlign w:val="center"/>
          </w:tcPr>
          <w:p w:rsidR="00F42ADC" w:rsidRDefault="00657624">
            <w:pPr>
              <w:jc w:val="left"/>
            </w:pPr>
            <w:r>
              <w:rPr>
                <w:color w:val="000000"/>
                <w:kern w:val="0"/>
                <w:sz w:val="24"/>
                <w:szCs w:val="24"/>
              </w:rPr>
              <w:t>过去三个月</w:t>
            </w:r>
          </w:p>
        </w:tc>
        <w:tc>
          <w:tcPr>
            <w:tcW w:w="1092" w:type="dxa"/>
            <w:vAlign w:val="center"/>
          </w:tcPr>
          <w:p w:rsidR="00F42ADC" w:rsidRDefault="00657624">
            <w:pPr>
              <w:jc w:val="center"/>
            </w:pPr>
            <w:r>
              <w:rPr>
                <w:color w:val="000000"/>
                <w:kern w:val="0"/>
                <w:sz w:val="24"/>
                <w:szCs w:val="24"/>
              </w:rPr>
              <w:t>24.06%</w:t>
            </w:r>
          </w:p>
        </w:tc>
        <w:tc>
          <w:tcPr>
            <w:tcW w:w="1161" w:type="dxa"/>
            <w:vAlign w:val="center"/>
          </w:tcPr>
          <w:p w:rsidR="00F42ADC" w:rsidRDefault="00657624">
            <w:pPr>
              <w:jc w:val="center"/>
            </w:pPr>
            <w:r>
              <w:rPr>
                <w:color w:val="000000"/>
                <w:kern w:val="0"/>
                <w:sz w:val="24"/>
                <w:szCs w:val="24"/>
              </w:rPr>
              <w:t>1.55%</w:t>
            </w:r>
          </w:p>
        </w:tc>
        <w:tc>
          <w:tcPr>
            <w:tcW w:w="1181" w:type="dxa"/>
            <w:vAlign w:val="center"/>
          </w:tcPr>
          <w:p w:rsidR="00F42ADC" w:rsidRDefault="00657624">
            <w:pPr>
              <w:jc w:val="center"/>
            </w:pPr>
            <w:r>
              <w:rPr>
                <w:color w:val="000000"/>
                <w:kern w:val="0"/>
                <w:sz w:val="24"/>
                <w:szCs w:val="24"/>
              </w:rPr>
              <w:t>3.04%</w:t>
            </w:r>
          </w:p>
        </w:tc>
        <w:tc>
          <w:tcPr>
            <w:tcW w:w="1188" w:type="dxa"/>
            <w:vAlign w:val="center"/>
          </w:tcPr>
          <w:p w:rsidR="00F42ADC" w:rsidRDefault="00657624">
            <w:pPr>
              <w:jc w:val="center"/>
            </w:pPr>
            <w:r>
              <w:rPr>
                <w:color w:val="000000"/>
                <w:kern w:val="0"/>
                <w:sz w:val="24"/>
                <w:szCs w:val="24"/>
              </w:rPr>
              <w:t>0.62%</w:t>
            </w:r>
          </w:p>
        </w:tc>
        <w:tc>
          <w:tcPr>
            <w:tcW w:w="1199" w:type="dxa"/>
            <w:vAlign w:val="center"/>
          </w:tcPr>
          <w:p w:rsidR="00F42ADC" w:rsidRDefault="00657624">
            <w:pPr>
              <w:jc w:val="center"/>
            </w:pPr>
            <w:r>
              <w:rPr>
                <w:color w:val="000000"/>
                <w:kern w:val="0"/>
                <w:sz w:val="24"/>
                <w:szCs w:val="24"/>
              </w:rPr>
              <w:t>21.02%</w:t>
            </w:r>
          </w:p>
        </w:tc>
        <w:tc>
          <w:tcPr>
            <w:tcW w:w="1204" w:type="dxa"/>
            <w:vAlign w:val="center"/>
          </w:tcPr>
          <w:p w:rsidR="00F42ADC" w:rsidRDefault="00657624">
            <w:pPr>
              <w:jc w:val="center"/>
            </w:pPr>
            <w:r>
              <w:rPr>
                <w:color w:val="000000"/>
                <w:kern w:val="0"/>
                <w:sz w:val="24"/>
                <w:szCs w:val="24"/>
              </w:rPr>
              <w:t>0.93%</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易方达新兴成长灵活配置混合型证券投资基金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2013</w:t>
      </w:r>
      <w:r w:rsidRPr="0074694E">
        <w:rPr>
          <w:rFonts w:ascii="Times New Roman" w:hAnsi="Times New Roman"/>
          <w:sz w:val="24"/>
          <w:szCs w:val="24"/>
        </w:rPr>
        <w:t>年</w:t>
      </w:r>
      <w:r w:rsidRPr="0074694E">
        <w:rPr>
          <w:rFonts w:ascii="Times New Roman" w:hAnsi="Times New Roman"/>
          <w:sz w:val="24"/>
          <w:szCs w:val="24"/>
        </w:rPr>
        <w:t>11</w:t>
      </w:r>
      <w:r w:rsidRPr="0074694E">
        <w:rPr>
          <w:rFonts w:ascii="Times New Roman" w:hAnsi="Times New Roman"/>
          <w:sz w:val="24"/>
          <w:szCs w:val="24"/>
        </w:rPr>
        <w:t>月</w:t>
      </w:r>
      <w:r w:rsidRPr="0074694E">
        <w:rPr>
          <w:rFonts w:ascii="Times New Roman" w:hAnsi="Times New Roman"/>
          <w:sz w:val="24"/>
          <w:szCs w:val="24"/>
        </w:rPr>
        <w:t>28</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657624"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140.80%</w:t>
      </w:r>
      <w:r w:rsidRPr="006C56AA">
        <w:rPr>
          <w:color w:val="000000"/>
          <w:sz w:val="24"/>
          <w:szCs w:val="24"/>
        </w:rPr>
        <w:t>，同期业绩比较基准收益率为</w:t>
      </w:r>
      <w:r w:rsidRPr="006C56AA">
        <w:rPr>
          <w:color w:val="000000"/>
          <w:sz w:val="24"/>
          <w:szCs w:val="24"/>
        </w:rPr>
        <w:t>31.78%</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F42ADC">
        <w:tc>
          <w:tcPr>
            <w:tcW w:w="567" w:type="dxa"/>
            <w:vAlign w:val="center"/>
          </w:tcPr>
          <w:p w:rsidR="00F42ADC" w:rsidRDefault="00657624">
            <w:pPr>
              <w:jc w:val="center"/>
            </w:pPr>
            <w:r>
              <w:rPr>
                <w:color w:val="000000"/>
                <w:sz w:val="24"/>
              </w:rPr>
              <w:t>刘武</w:t>
            </w:r>
          </w:p>
        </w:tc>
        <w:tc>
          <w:tcPr>
            <w:tcW w:w="2835" w:type="dxa"/>
            <w:vAlign w:val="center"/>
          </w:tcPr>
          <w:p w:rsidR="00F42ADC" w:rsidRDefault="00657624">
            <w:pPr>
              <w:jc w:val="center"/>
            </w:pPr>
            <w:r>
              <w:rPr>
                <w:color w:val="000000"/>
                <w:sz w:val="24"/>
              </w:rPr>
              <w:t>本基金的基金经理、易方达科技创新混合型证券投资基金的基金经理</w:t>
            </w:r>
          </w:p>
        </w:tc>
        <w:tc>
          <w:tcPr>
            <w:tcW w:w="851" w:type="dxa"/>
            <w:vAlign w:val="center"/>
          </w:tcPr>
          <w:p w:rsidR="00F42ADC" w:rsidRDefault="00657624">
            <w:pPr>
              <w:jc w:val="center"/>
            </w:pPr>
            <w:r>
              <w:rPr>
                <w:color w:val="000000"/>
                <w:sz w:val="24"/>
              </w:rPr>
              <w:t>2018-12-12</w:t>
            </w:r>
          </w:p>
        </w:tc>
        <w:tc>
          <w:tcPr>
            <w:tcW w:w="850" w:type="dxa"/>
            <w:vAlign w:val="center"/>
          </w:tcPr>
          <w:p w:rsidR="00F42ADC" w:rsidRDefault="00657624">
            <w:pPr>
              <w:jc w:val="center"/>
            </w:pPr>
            <w:r>
              <w:rPr>
                <w:color w:val="000000"/>
                <w:sz w:val="24"/>
              </w:rPr>
              <w:t>-</w:t>
            </w:r>
          </w:p>
        </w:tc>
        <w:tc>
          <w:tcPr>
            <w:tcW w:w="851" w:type="dxa"/>
            <w:vAlign w:val="center"/>
          </w:tcPr>
          <w:p w:rsidR="00F42ADC" w:rsidRDefault="00657624">
            <w:pPr>
              <w:jc w:val="center"/>
            </w:pPr>
            <w:r>
              <w:rPr>
                <w:color w:val="000000"/>
                <w:sz w:val="24"/>
              </w:rPr>
              <w:t>5</w:t>
            </w:r>
            <w:r>
              <w:rPr>
                <w:color w:val="000000"/>
                <w:sz w:val="24"/>
              </w:rPr>
              <w:t>年</w:t>
            </w:r>
          </w:p>
        </w:tc>
        <w:tc>
          <w:tcPr>
            <w:tcW w:w="2977" w:type="dxa"/>
            <w:vAlign w:val="center"/>
          </w:tcPr>
          <w:p w:rsidR="00F42ADC" w:rsidRDefault="00657624">
            <w:r>
              <w:rPr>
                <w:color w:val="000000"/>
                <w:sz w:val="24"/>
              </w:rPr>
              <w:t>硕士研究生，曾任华夏基金管理有限公司投资研究部研究员，易方达基金管理有限公司行业研究员、投资经理。</w:t>
            </w:r>
          </w:p>
        </w:tc>
      </w:tr>
    </w:tbl>
    <w:p w:rsidR="00F42ADC" w:rsidRDefault="00657624">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F42ADC" w:rsidRDefault="00657624">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2019</w:t>
      </w:r>
      <w:r w:rsidRPr="006C56AA">
        <w:rPr>
          <w:color w:val="000000"/>
          <w:sz w:val="24"/>
          <w:szCs w:val="24"/>
        </w:rPr>
        <w:t>年三季度上证综指下跌</w:t>
      </w:r>
      <w:r w:rsidRPr="006C56AA">
        <w:rPr>
          <w:color w:val="000000"/>
          <w:sz w:val="24"/>
          <w:szCs w:val="24"/>
        </w:rPr>
        <w:t>2.47%</w:t>
      </w:r>
      <w:r w:rsidRPr="006C56AA">
        <w:rPr>
          <w:color w:val="000000"/>
          <w:sz w:val="24"/>
          <w:szCs w:val="24"/>
        </w:rPr>
        <w:t>，上证</w:t>
      </w:r>
      <w:r w:rsidRPr="006C56AA">
        <w:rPr>
          <w:color w:val="000000"/>
          <w:sz w:val="24"/>
          <w:szCs w:val="24"/>
        </w:rPr>
        <w:t>50</w:t>
      </w:r>
      <w:r w:rsidRPr="006C56AA">
        <w:rPr>
          <w:color w:val="000000"/>
          <w:sz w:val="24"/>
          <w:szCs w:val="24"/>
        </w:rPr>
        <w:t>指数下跌</w:t>
      </w:r>
      <w:r w:rsidRPr="006C56AA">
        <w:rPr>
          <w:color w:val="000000"/>
          <w:sz w:val="24"/>
          <w:szCs w:val="24"/>
        </w:rPr>
        <w:t>1.12%</w:t>
      </w:r>
      <w:r w:rsidRPr="006C56AA">
        <w:rPr>
          <w:color w:val="000000"/>
          <w:sz w:val="24"/>
          <w:szCs w:val="24"/>
        </w:rPr>
        <w:t>，创业板指数上涨</w:t>
      </w:r>
      <w:r w:rsidRPr="006C56AA">
        <w:rPr>
          <w:color w:val="000000"/>
          <w:sz w:val="24"/>
          <w:szCs w:val="24"/>
        </w:rPr>
        <w:t>7.68%</w:t>
      </w:r>
      <w:r w:rsidRPr="006C56AA">
        <w:rPr>
          <w:color w:val="000000"/>
          <w:sz w:val="24"/>
          <w:szCs w:val="24"/>
        </w:rPr>
        <w:t>，大盘蓝筹板块表现较弱，创业板指数上涨幅度较大，新兴成长板块表现优于大盘蓝筹板块。本基金三季度初维持在</w:t>
      </w:r>
      <w:r w:rsidRPr="006C56AA">
        <w:rPr>
          <w:color w:val="000000"/>
          <w:sz w:val="24"/>
          <w:szCs w:val="24"/>
        </w:rPr>
        <w:t>90-95%</w:t>
      </w:r>
      <w:r w:rsidRPr="006C56AA">
        <w:rPr>
          <w:color w:val="000000"/>
          <w:sz w:val="24"/>
          <w:szCs w:val="24"/>
        </w:rPr>
        <w:t>的较高仓位，主要配置在以</w:t>
      </w:r>
      <w:r w:rsidRPr="006C56AA">
        <w:rPr>
          <w:color w:val="000000"/>
          <w:sz w:val="24"/>
          <w:szCs w:val="24"/>
        </w:rPr>
        <w:t>5G</w:t>
      </w:r>
      <w:r w:rsidRPr="006C56AA">
        <w:rPr>
          <w:color w:val="000000"/>
          <w:sz w:val="24"/>
          <w:szCs w:val="24"/>
        </w:rPr>
        <w:t>创新为主线的科技板块，其中电子板块配置较多。三季度在中美贸易摩擦缓和、科技板块中报业绩较好以及外部流动性宽松等多重利好因素共振作用下，科技板块整体表现出较大的涨幅。因此，三季度末基金整体减仓兑现部分收益，基金仓位整体维持在</w:t>
      </w:r>
      <w:r w:rsidRPr="006C56AA">
        <w:rPr>
          <w:color w:val="000000"/>
          <w:sz w:val="24"/>
          <w:szCs w:val="24"/>
        </w:rPr>
        <w:t>85%</w:t>
      </w:r>
      <w:r w:rsidRPr="006C56AA">
        <w:rPr>
          <w:color w:val="000000"/>
          <w:sz w:val="24"/>
          <w:szCs w:val="24"/>
        </w:rPr>
        <w:t>左右。当前时点，新能源汽车板块行业景气度和市场预期在最低点，展望</w:t>
      </w:r>
      <w:r w:rsidRPr="006C56AA">
        <w:rPr>
          <w:color w:val="000000"/>
          <w:sz w:val="24"/>
          <w:szCs w:val="24"/>
        </w:rPr>
        <w:t>2020</w:t>
      </w:r>
      <w:r w:rsidRPr="006C56AA">
        <w:rPr>
          <w:color w:val="000000"/>
          <w:sz w:val="24"/>
          <w:szCs w:val="24"/>
        </w:rPr>
        <w:t>年行业仍将保持较好增长，且行业中游将迎来订单结构和盈利能力的改善，本基金将逐步配置一些新能源汽车中游环节龙头个股，部分减持年初至今涨幅较大的光伏板块个股。</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2.408</w:t>
      </w:r>
      <w:r w:rsidRPr="006C56AA">
        <w:rPr>
          <w:color w:val="000000"/>
          <w:sz w:val="24"/>
          <w:szCs w:val="24"/>
        </w:rPr>
        <w:t>元，本报告期份额净值增长率为</w:t>
      </w:r>
      <w:r w:rsidRPr="006C56AA">
        <w:rPr>
          <w:color w:val="000000"/>
          <w:sz w:val="24"/>
          <w:szCs w:val="24"/>
        </w:rPr>
        <w:t>24.06%</w:t>
      </w:r>
      <w:r w:rsidRPr="006C56AA">
        <w:rPr>
          <w:color w:val="000000"/>
          <w:sz w:val="24"/>
          <w:szCs w:val="24"/>
        </w:rPr>
        <w:t>，同期业绩比较基准收益率为</w:t>
      </w:r>
      <w:r w:rsidRPr="006C56AA">
        <w:rPr>
          <w:color w:val="000000"/>
          <w:sz w:val="24"/>
          <w:szCs w:val="24"/>
        </w:rPr>
        <w:t>3.04%</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1,830,400,159.24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86.37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1,830,400,159.24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86.37</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267,660,263.87</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12.63</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21,140,173.55</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2,119,200,596.66</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1,157,829,493.67</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55.91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519,044,158.75</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25.06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14,451,544.20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0.70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33,070,113.30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1.60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89,514,455.40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4.32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16,490,393.92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0.80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1,830,400,159.24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88.38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F42ADC">
        <w:tc>
          <w:tcPr>
            <w:tcW w:w="851" w:type="dxa"/>
            <w:vAlign w:val="center"/>
          </w:tcPr>
          <w:p w:rsidR="00F42ADC" w:rsidRDefault="00657624">
            <w:pPr>
              <w:jc w:val="center"/>
            </w:pPr>
            <w:r>
              <w:rPr>
                <w:color w:val="000000"/>
                <w:kern w:val="0"/>
                <w:sz w:val="24"/>
                <w:szCs w:val="24"/>
              </w:rPr>
              <w:t>1</w:t>
            </w:r>
          </w:p>
        </w:tc>
        <w:tc>
          <w:tcPr>
            <w:tcW w:w="1276" w:type="dxa"/>
            <w:vAlign w:val="center"/>
          </w:tcPr>
          <w:p w:rsidR="00F42ADC" w:rsidRDefault="00657624">
            <w:pPr>
              <w:jc w:val="center"/>
            </w:pPr>
            <w:r>
              <w:rPr>
                <w:color w:val="000000"/>
                <w:kern w:val="0"/>
                <w:sz w:val="24"/>
                <w:szCs w:val="24"/>
              </w:rPr>
              <w:t>300253</w:t>
            </w:r>
          </w:p>
        </w:tc>
        <w:tc>
          <w:tcPr>
            <w:tcW w:w="1418" w:type="dxa"/>
            <w:vAlign w:val="center"/>
          </w:tcPr>
          <w:p w:rsidR="00F42ADC" w:rsidRDefault="00657624">
            <w:pPr>
              <w:jc w:val="center"/>
            </w:pPr>
            <w:r>
              <w:rPr>
                <w:color w:val="000000"/>
                <w:kern w:val="0"/>
                <w:sz w:val="24"/>
                <w:szCs w:val="24"/>
              </w:rPr>
              <w:t>卫宁健康</w:t>
            </w:r>
          </w:p>
        </w:tc>
        <w:tc>
          <w:tcPr>
            <w:tcW w:w="1701" w:type="dxa"/>
            <w:vAlign w:val="center"/>
          </w:tcPr>
          <w:p w:rsidR="00F42ADC" w:rsidRDefault="00657624">
            <w:pPr>
              <w:jc w:val="right"/>
            </w:pPr>
            <w:r>
              <w:rPr>
                <w:color w:val="000000"/>
                <w:kern w:val="0"/>
                <w:sz w:val="24"/>
                <w:szCs w:val="24"/>
              </w:rPr>
              <w:t>10,348,166</w:t>
            </w:r>
          </w:p>
        </w:tc>
        <w:tc>
          <w:tcPr>
            <w:tcW w:w="1984" w:type="dxa"/>
            <w:vAlign w:val="center"/>
          </w:tcPr>
          <w:p w:rsidR="00F42ADC" w:rsidRDefault="00657624">
            <w:pPr>
              <w:jc w:val="right"/>
            </w:pPr>
            <w:r>
              <w:rPr>
                <w:color w:val="000000"/>
                <w:kern w:val="0"/>
                <w:sz w:val="24"/>
                <w:szCs w:val="24"/>
              </w:rPr>
              <w:t>164,328,876.08</w:t>
            </w:r>
          </w:p>
        </w:tc>
        <w:tc>
          <w:tcPr>
            <w:tcW w:w="1559" w:type="dxa"/>
            <w:vAlign w:val="center"/>
          </w:tcPr>
          <w:p w:rsidR="00F42ADC" w:rsidRDefault="00657624">
            <w:pPr>
              <w:jc w:val="right"/>
            </w:pPr>
            <w:r>
              <w:rPr>
                <w:color w:val="000000"/>
                <w:kern w:val="0"/>
                <w:sz w:val="24"/>
                <w:szCs w:val="24"/>
              </w:rPr>
              <w:t>7.93</w:t>
            </w:r>
          </w:p>
        </w:tc>
      </w:tr>
      <w:tr w:rsidR="00F42ADC">
        <w:tc>
          <w:tcPr>
            <w:tcW w:w="851" w:type="dxa"/>
            <w:vAlign w:val="center"/>
          </w:tcPr>
          <w:p w:rsidR="00F42ADC" w:rsidRDefault="00657624">
            <w:pPr>
              <w:jc w:val="center"/>
            </w:pPr>
            <w:r>
              <w:rPr>
                <w:color w:val="000000"/>
                <w:kern w:val="0"/>
                <w:sz w:val="24"/>
                <w:szCs w:val="24"/>
              </w:rPr>
              <w:t>2</w:t>
            </w:r>
          </w:p>
        </w:tc>
        <w:tc>
          <w:tcPr>
            <w:tcW w:w="1276" w:type="dxa"/>
            <w:vAlign w:val="center"/>
          </w:tcPr>
          <w:p w:rsidR="00F42ADC" w:rsidRDefault="00657624">
            <w:pPr>
              <w:jc w:val="center"/>
            </w:pPr>
            <w:r>
              <w:rPr>
                <w:color w:val="000000"/>
                <w:kern w:val="0"/>
                <w:sz w:val="24"/>
                <w:szCs w:val="24"/>
              </w:rPr>
              <w:t>300496</w:t>
            </w:r>
          </w:p>
        </w:tc>
        <w:tc>
          <w:tcPr>
            <w:tcW w:w="1418" w:type="dxa"/>
            <w:vAlign w:val="center"/>
          </w:tcPr>
          <w:p w:rsidR="00F42ADC" w:rsidRDefault="00657624">
            <w:pPr>
              <w:jc w:val="center"/>
            </w:pPr>
            <w:r>
              <w:rPr>
                <w:color w:val="000000"/>
                <w:kern w:val="0"/>
                <w:sz w:val="24"/>
                <w:szCs w:val="24"/>
              </w:rPr>
              <w:t>中科创达</w:t>
            </w:r>
          </w:p>
        </w:tc>
        <w:tc>
          <w:tcPr>
            <w:tcW w:w="1701" w:type="dxa"/>
            <w:vAlign w:val="center"/>
          </w:tcPr>
          <w:p w:rsidR="00F42ADC" w:rsidRDefault="00657624">
            <w:pPr>
              <w:jc w:val="right"/>
            </w:pPr>
            <w:r>
              <w:rPr>
                <w:color w:val="000000"/>
                <w:kern w:val="0"/>
                <w:sz w:val="24"/>
                <w:szCs w:val="24"/>
              </w:rPr>
              <w:t>4,346,506</w:t>
            </w:r>
          </w:p>
        </w:tc>
        <w:tc>
          <w:tcPr>
            <w:tcW w:w="1984" w:type="dxa"/>
            <w:vAlign w:val="center"/>
          </w:tcPr>
          <w:p w:rsidR="00F42ADC" w:rsidRDefault="00657624">
            <w:pPr>
              <w:jc w:val="right"/>
            </w:pPr>
            <w:r>
              <w:rPr>
                <w:color w:val="000000"/>
                <w:kern w:val="0"/>
                <w:sz w:val="24"/>
                <w:szCs w:val="24"/>
              </w:rPr>
              <w:t>158,647,469.00</w:t>
            </w:r>
          </w:p>
        </w:tc>
        <w:tc>
          <w:tcPr>
            <w:tcW w:w="1559" w:type="dxa"/>
            <w:vAlign w:val="center"/>
          </w:tcPr>
          <w:p w:rsidR="00F42ADC" w:rsidRDefault="00657624">
            <w:pPr>
              <w:jc w:val="right"/>
            </w:pPr>
            <w:r>
              <w:rPr>
                <w:color w:val="000000"/>
                <w:kern w:val="0"/>
                <w:sz w:val="24"/>
                <w:szCs w:val="24"/>
              </w:rPr>
              <w:t>7.66</w:t>
            </w:r>
          </w:p>
        </w:tc>
      </w:tr>
      <w:tr w:rsidR="00F42ADC">
        <w:tc>
          <w:tcPr>
            <w:tcW w:w="851" w:type="dxa"/>
            <w:vAlign w:val="center"/>
          </w:tcPr>
          <w:p w:rsidR="00F42ADC" w:rsidRDefault="00657624">
            <w:pPr>
              <w:jc w:val="center"/>
            </w:pPr>
            <w:r>
              <w:rPr>
                <w:color w:val="000000"/>
                <w:kern w:val="0"/>
                <w:sz w:val="24"/>
                <w:szCs w:val="24"/>
              </w:rPr>
              <w:t>3</w:t>
            </w:r>
          </w:p>
        </w:tc>
        <w:tc>
          <w:tcPr>
            <w:tcW w:w="1276" w:type="dxa"/>
            <w:vAlign w:val="center"/>
          </w:tcPr>
          <w:p w:rsidR="00F42ADC" w:rsidRDefault="00657624">
            <w:pPr>
              <w:jc w:val="center"/>
            </w:pPr>
            <w:r>
              <w:rPr>
                <w:color w:val="000000"/>
                <w:kern w:val="0"/>
                <w:sz w:val="24"/>
                <w:szCs w:val="24"/>
              </w:rPr>
              <w:t>300661</w:t>
            </w:r>
          </w:p>
        </w:tc>
        <w:tc>
          <w:tcPr>
            <w:tcW w:w="1418" w:type="dxa"/>
            <w:vAlign w:val="center"/>
          </w:tcPr>
          <w:p w:rsidR="00F42ADC" w:rsidRDefault="00657624">
            <w:pPr>
              <w:jc w:val="center"/>
            </w:pPr>
            <w:r>
              <w:rPr>
                <w:color w:val="000000"/>
                <w:kern w:val="0"/>
                <w:sz w:val="24"/>
                <w:szCs w:val="24"/>
              </w:rPr>
              <w:t>圣邦股份</w:t>
            </w:r>
          </w:p>
        </w:tc>
        <w:tc>
          <w:tcPr>
            <w:tcW w:w="1701" w:type="dxa"/>
            <w:vAlign w:val="center"/>
          </w:tcPr>
          <w:p w:rsidR="00F42ADC" w:rsidRDefault="00657624">
            <w:pPr>
              <w:jc w:val="right"/>
            </w:pPr>
            <w:r>
              <w:rPr>
                <w:color w:val="000000"/>
                <w:kern w:val="0"/>
                <w:sz w:val="24"/>
                <w:szCs w:val="24"/>
              </w:rPr>
              <w:t>899,070</w:t>
            </w:r>
          </w:p>
        </w:tc>
        <w:tc>
          <w:tcPr>
            <w:tcW w:w="1984" w:type="dxa"/>
            <w:vAlign w:val="center"/>
          </w:tcPr>
          <w:p w:rsidR="00F42ADC" w:rsidRDefault="00657624">
            <w:pPr>
              <w:jc w:val="right"/>
            </w:pPr>
            <w:r>
              <w:rPr>
                <w:color w:val="000000"/>
                <w:kern w:val="0"/>
                <w:sz w:val="24"/>
                <w:szCs w:val="24"/>
              </w:rPr>
              <w:t>154,217,477.10</w:t>
            </w:r>
          </w:p>
        </w:tc>
        <w:tc>
          <w:tcPr>
            <w:tcW w:w="1559" w:type="dxa"/>
            <w:vAlign w:val="center"/>
          </w:tcPr>
          <w:p w:rsidR="00F42ADC" w:rsidRDefault="00657624">
            <w:pPr>
              <w:jc w:val="right"/>
            </w:pPr>
            <w:r>
              <w:rPr>
                <w:color w:val="000000"/>
                <w:kern w:val="0"/>
                <w:sz w:val="24"/>
                <w:szCs w:val="24"/>
              </w:rPr>
              <w:t>7.45</w:t>
            </w:r>
          </w:p>
        </w:tc>
      </w:tr>
      <w:tr w:rsidR="00F42ADC">
        <w:tc>
          <w:tcPr>
            <w:tcW w:w="851" w:type="dxa"/>
            <w:vAlign w:val="center"/>
          </w:tcPr>
          <w:p w:rsidR="00F42ADC" w:rsidRDefault="00657624">
            <w:pPr>
              <w:jc w:val="center"/>
            </w:pPr>
            <w:r>
              <w:rPr>
                <w:color w:val="000000"/>
                <w:kern w:val="0"/>
                <w:sz w:val="24"/>
                <w:szCs w:val="24"/>
              </w:rPr>
              <w:t>4</w:t>
            </w:r>
          </w:p>
        </w:tc>
        <w:tc>
          <w:tcPr>
            <w:tcW w:w="1276" w:type="dxa"/>
            <w:vAlign w:val="center"/>
          </w:tcPr>
          <w:p w:rsidR="00F42ADC" w:rsidRDefault="00657624">
            <w:pPr>
              <w:jc w:val="center"/>
            </w:pPr>
            <w:r>
              <w:rPr>
                <w:color w:val="000000"/>
                <w:kern w:val="0"/>
                <w:sz w:val="24"/>
                <w:szCs w:val="24"/>
              </w:rPr>
              <w:t>300207</w:t>
            </w:r>
          </w:p>
        </w:tc>
        <w:tc>
          <w:tcPr>
            <w:tcW w:w="1418" w:type="dxa"/>
            <w:vAlign w:val="center"/>
          </w:tcPr>
          <w:p w:rsidR="00F42ADC" w:rsidRDefault="00657624">
            <w:pPr>
              <w:jc w:val="center"/>
            </w:pPr>
            <w:r>
              <w:rPr>
                <w:color w:val="000000"/>
                <w:kern w:val="0"/>
                <w:sz w:val="24"/>
                <w:szCs w:val="24"/>
              </w:rPr>
              <w:t>欣旺达</w:t>
            </w:r>
          </w:p>
        </w:tc>
        <w:tc>
          <w:tcPr>
            <w:tcW w:w="1701" w:type="dxa"/>
            <w:vAlign w:val="center"/>
          </w:tcPr>
          <w:p w:rsidR="00F42ADC" w:rsidRDefault="00657624">
            <w:pPr>
              <w:jc w:val="right"/>
            </w:pPr>
            <w:r>
              <w:rPr>
                <w:color w:val="000000"/>
                <w:kern w:val="0"/>
                <w:sz w:val="24"/>
                <w:szCs w:val="24"/>
              </w:rPr>
              <w:t>7,631,245</w:t>
            </w:r>
          </w:p>
        </w:tc>
        <w:tc>
          <w:tcPr>
            <w:tcW w:w="1984" w:type="dxa"/>
            <w:vAlign w:val="center"/>
          </w:tcPr>
          <w:p w:rsidR="00F42ADC" w:rsidRDefault="00657624">
            <w:pPr>
              <w:jc w:val="right"/>
            </w:pPr>
            <w:r>
              <w:rPr>
                <w:color w:val="000000"/>
                <w:kern w:val="0"/>
                <w:sz w:val="24"/>
                <w:szCs w:val="24"/>
              </w:rPr>
              <w:t>115,613,361.75</w:t>
            </w:r>
          </w:p>
        </w:tc>
        <w:tc>
          <w:tcPr>
            <w:tcW w:w="1559" w:type="dxa"/>
            <w:vAlign w:val="center"/>
          </w:tcPr>
          <w:p w:rsidR="00F42ADC" w:rsidRDefault="00657624">
            <w:pPr>
              <w:jc w:val="right"/>
            </w:pPr>
            <w:r>
              <w:rPr>
                <w:color w:val="000000"/>
                <w:kern w:val="0"/>
                <w:sz w:val="24"/>
                <w:szCs w:val="24"/>
              </w:rPr>
              <w:t>5.58</w:t>
            </w:r>
          </w:p>
        </w:tc>
      </w:tr>
      <w:tr w:rsidR="00F42ADC">
        <w:tc>
          <w:tcPr>
            <w:tcW w:w="851" w:type="dxa"/>
            <w:vAlign w:val="center"/>
          </w:tcPr>
          <w:p w:rsidR="00F42ADC" w:rsidRDefault="00657624">
            <w:pPr>
              <w:jc w:val="center"/>
            </w:pPr>
            <w:r>
              <w:rPr>
                <w:color w:val="000000"/>
                <w:kern w:val="0"/>
                <w:sz w:val="24"/>
                <w:szCs w:val="24"/>
              </w:rPr>
              <w:t>5</w:t>
            </w:r>
          </w:p>
        </w:tc>
        <w:tc>
          <w:tcPr>
            <w:tcW w:w="1276" w:type="dxa"/>
            <w:vAlign w:val="center"/>
          </w:tcPr>
          <w:p w:rsidR="00F42ADC" w:rsidRDefault="00657624">
            <w:pPr>
              <w:jc w:val="center"/>
            </w:pPr>
            <w:r>
              <w:rPr>
                <w:color w:val="000000"/>
                <w:kern w:val="0"/>
                <w:sz w:val="24"/>
                <w:szCs w:val="24"/>
              </w:rPr>
              <w:t>002850</w:t>
            </w:r>
          </w:p>
        </w:tc>
        <w:tc>
          <w:tcPr>
            <w:tcW w:w="1418" w:type="dxa"/>
            <w:vAlign w:val="center"/>
          </w:tcPr>
          <w:p w:rsidR="00F42ADC" w:rsidRDefault="00657624">
            <w:pPr>
              <w:jc w:val="center"/>
            </w:pPr>
            <w:r>
              <w:rPr>
                <w:color w:val="000000"/>
                <w:kern w:val="0"/>
                <w:sz w:val="24"/>
                <w:szCs w:val="24"/>
              </w:rPr>
              <w:t>科达利</w:t>
            </w:r>
          </w:p>
        </w:tc>
        <w:tc>
          <w:tcPr>
            <w:tcW w:w="1701" w:type="dxa"/>
            <w:vAlign w:val="center"/>
          </w:tcPr>
          <w:p w:rsidR="00F42ADC" w:rsidRDefault="00657624">
            <w:pPr>
              <w:jc w:val="right"/>
            </w:pPr>
            <w:r>
              <w:rPr>
                <w:color w:val="000000"/>
                <w:kern w:val="0"/>
                <w:sz w:val="24"/>
                <w:szCs w:val="24"/>
              </w:rPr>
              <w:t>3,199,398</w:t>
            </w:r>
          </w:p>
        </w:tc>
        <w:tc>
          <w:tcPr>
            <w:tcW w:w="1984" w:type="dxa"/>
            <w:vAlign w:val="center"/>
          </w:tcPr>
          <w:p w:rsidR="00F42ADC" w:rsidRDefault="00657624">
            <w:pPr>
              <w:jc w:val="right"/>
            </w:pPr>
            <w:r>
              <w:rPr>
                <w:color w:val="000000"/>
                <w:kern w:val="0"/>
                <w:sz w:val="24"/>
                <w:szCs w:val="24"/>
              </w:rPr>
              <w:t>103,020,615.60</w:t>
            </w:r>
          </w:p>
        </w:tc>
        <w:tc>
          <w:tcPr>
            <w:tcW w:w="1559" w:type="dxa"/>
            <w:vAlign w:val="center"/>
          </w:tcPr>
          <w:p w:rsidR="00F42ADC" w:rsidRDefault="00657624">
            <w:pPr>
              <w:jc w:val="right"/>
            </w:pPr>
            <w:r>
              <w:rPr>
                <w:color w:val="000000"/>
                <w:kern w:val="0"/>
                <w:sz w:val="24"/>
                <w:szCs w:val="24"/>
              </w:rPr>
              <w:t>4.97</w:t>
            </w:r>
          </w:p>
        </w:tc>
      </w:tr>
      <w:tr w:rsidR="00F42ADC">
        <w:tc>
          <w:tcPr>
            <w:tcW w:w="851" w:type="dxa"/>
            <w:vAlign w:val="center"/>
          </w:tcPr>
          <w:p w:rsidR="00F42ADC" w:rsidRDefault="00657624">
            <w:pPr>
              <w:jc w:val="center"/>
            </w:pPr>
            <w:r>
              <w:rPr>
                <w:color w:val="000000"/>
                <w:kern w:val="0"/>
                <w:sz w:val="24"/>
                <w:szCs w:val="24"/>
              </w:rPr>
              <w:t>6</w:t>
            </w:r>
          </w:p>
        </w:tc>
        <w:tc>
          <w:tcPr>
            <w:tcW w:w="1276" w:type="dxa"/>
            <w:vAlign w:val="center"/>
          </w:tcPr>
          <w:p w:rsidR="00F42ADC" w:rsidRDefault="00657624">
            <w:pPr>
              <w:jc w:val="center"/>
            </w:pPr>
            <w:r>
              <w:rPr>
                <w:color w:val="000000"/>
                <w:kern w:val="0"/>
                <w:sz w:val="24"/>
                <w:szCs w:val="24"/>
              </w:rPr>
              <w:t>300383</w:t>
            </w:r>
          </w:p>
        </w:tc>
        <w:tc>
          <w:tcPr>
            <w:tcW w:w="1418" w:type="dxa"/>
            <w:vAlign w:val="center"/>
          </w:tcPr>
          <w:p w:rsidR="00F42ADC" w:rsidRDefault="00657624">
            <w:pPr>
              <w:jc w:val="center"/>
            </w:pPr>
            <w:r>
              <w:rPr>
                <w:color w:val="000000"/>
                <w:kern w:val="0"/>
                <w:sz w:val="24"/>
                <w:szCs w:val="24"/>
              </w:rPr>
              <w:t>光环新网</w:t>
            </w:r>
          </w:p>
        </w:tc>
        <w:tc>
          <w:tcPr>
            <w:tcW w:w="1701" w:type="dxa"/>
            <w:vAlign w:val="center"/>
          </w:tcPr>
          <w:p w:rsidR="00F42ADC" w:rsidRDefault="00657624">
            <w:pPr>
              <w:jc w:val="right"/>
            </w:pPr>
            <w:r>
              <w:rPr>
                <w:color w:val="000000"/>
                <w:kern w:val="0"/>
                <w:sz w:val="24"/>
                <w:szCs w:val="24"/>
              </w:rPr>
              <w:t>5,304,137</w:t>
            </w:r>
          </w:p>
        </w:tc>
        <w:tc>
          <w:tcPr>
            <w:tcW w:w="1984" w:type="dxa"/>
            <w:vAlign w:val="center"/>
          </w:tcPr>
          <w:p w:rsidR="00F42ADC" w:rsidRDefault="00657624">
            <w:pPr>
              <w:jc w:val="right"/>
            </w:pPr>
            <w:r>
              <w:rPr>
                <w:color w:val="000000"/>
                <w:kern w:val="0"/>
                <w:sz w:val="24"/>
                <w:szCs w:val="24"/>
              </w:rPr>
              <w:t>98,550,865.46</w:t>
            </w:r>
          </w:p>
        </w:tc>
        <w:tc>
          <w:tcPr>
            <w:tcW w:w="1559" w:type="dxa"/>
            <w:vAlign w:val="center"/>
          </w:tcPr>
          <w:p w:rsidR="00F42ADC" w:rsidRDefault="00657624">
            <w:pPr>
              <w:jc w:val="right"/>
            </w:pPr>
            <w:r>
              <w:rPr>
                <w:color w:val="000000"/>
                <w:kern w:val="0"/>
                <w:sz w:val="24"/>
                <w:szCs w:val="24"/>
              </w:rPr>
              <w:t>4.76</w:t>
            </w:r>
          </w:p>
        </w:tc>
      </w:tr>
      <w:tr w:rsidR="00F42ADC">
        <w:tc>
          <w:tcPr>
            <w:tcW w:w="851" w:type="dxa"/>
            <w:vAlign w:val="center"/>
          </w:tcPr>
          <w:p w:rsidR="00F42ADC" w:rsidRDefault="00657624">
            <w:pPr>
              <w:jc w:val="center"/>
            </w:pPr>
            <w:r>
              <w:rPr>
                <w:color w:val="000000"/>
                <w:kern w:val="0"/>
                <w:sz w:val="24"/>
                <w:szCs w:val="24"/>
              </w:rPr>
              <w:t>7</w:t>
            </w:r>
          </w:p>
        </w:tc>
        <w:tc>
          <w:tcPr>
            <w:tcW w:w="1276" w:type="dxa"/>
            <w:vAlign w:val="center"/>
          </w:tcPr>
          <w:p w:rsidR="00F42ADC" w:rsidRDefault="00657624">
            <w:pPr>
              <w:jc w:val="center"/>
            </w:pPr>
            <w:r>
              <w:rPr>
                <w:color w:val="000000"/>
                <w:kern w:val="0"/>
                <w:sz w:val="24"/>
                <w:szCs w:val="24"/>
              </w:rPr>
              <w:t>603806</w:t>
            </w:r>
          </w:p>
        </w:tc>
        <w:tc>
          <w:tcPr>
            <w:tcW w:w="1418" w:type="dxa"/>
            <w:vAlign w:val="center"/>
          </w:tcPr>
          <w:p w:rsidR="00F42ADC" w:rsidRDefault="00657624">
            <w:pPr>
              <w:jc w:val="center"/>
            </w:pPr>
            <w:r>
              <w:rPr>
                <w:color w:val="000000"/>
                <w:kern w:val="0"/>
                <w:sz w:val="24"/>
                <w:szCs w:val="24"/>
              </w:rPr>
              <w:t>福斯特</w:t>
            </w:r>
          </w:p>
        </w:tc>
        <w:tc>
          <w:tcPr>
            <w:tcW w:w="1701" w:type="dxa"/>
            <w:vAlign w:val="center"/>
          </w:tcPr>
          <w:p w:rsidR="00F42ADC" w:rsidRDefault="00657624">
            <w:pPr>
              <w:jc w:val="right"/>
            </w:pPr>
            <w:r>
              <w:rPr>
                <w:color w:val="000000"/>
                <w:kern w:val="0"/>
                <w:sz w:val="24"/>
                <w:szCs w:val="24"/>
              </w:rPr>
              <w:t>2,125,068</w:t>
            </w:r>
          </w:p>
        </w:tc>
        <w:tc>
          <w:tcPr>
            <w:tcW w:w="1984" w:type="dxa"/>
            <w:vAlign w:val="center"/>
          </w:tcPr>
          <w:p w:rsidR="00F42ADC" w:rsidRDefault="00657624">
            <w:pPr>
              <w:jc w:val="right"/>
            </w:pPr>
            <w:r>
              <w:rPr>
                <w:color w:val="000000"/>
                <w:kern w:val="0"/>
                <w:sz w:val="24"/>
                <w:szCs w:val="24"/>
              </w:rPr>
              <w:t>96,478,087.20</w:t>
            </w:r>
          </w:p>
        </w:tc>
        <w:tc>
          <w:tcPr>
            <w:tcW w:w="1559" w:type="dxa"/>
            <w:vAlign w:val="center"/>
          </w:tcPr>
          <w:p w:rsidR="00F42ADC" w:rsidRDefault="00657624">
            <w:pPr>
              <w:jc w:val="right"/>
            </w:pPr>
            <w:r>
              <w:rPr>
                <w:color w:val="000000"/>
                <w:kern w:val="0"/>
                <w:sz w:val="24"/>
                <w:szCs w:val="24"/>
              </w:rPr>
              <w:t>4.66</w:t>
            </w:r>
          </w:p>
        </w:tc>
      </w:tr>
      <w:tr w:rsidR="00F42ADC">
        <w:tc>
          <w:tcPr>
            <w:tcW w:w="851" w:type="dxa"/>
            <w:vAlign w:val="center"/>
          </w:tcPr>
          <w:p w:rsidR="00F42ADC" w:rsidRDefault="00657624">
            <w:pPr>
              <w:jc w:val="center"/>
            </w:pPr>
            <w:r>
              <w:rPr>
                <w:color w:val="000000"/>
                <w:kern w:val="0"/>
                <w:sz w:val="24"/>
                <w:szCs w:val="24"/>
              </w:rPr>
              <w:t>8</w:t>
            </w:r>
          </w:p>
        </w:tc>
        <w:tc>
          <w:tcPr>
            <w:tcW w:w="1276" w:type="dxa"/>
            <w:vAlign w:val="center"/>
          </w:tcPr>
          <w:p w:rsidR="00F42ADC" w:rsidRDefault="00657624">
            <w:pPr>
              <w:jc w:val="center"/>
            </w:pPr>
            <w:r>
              <w:rPr>
                <w:color w:val="000000"/>
                <w:kern w:val="0"/>
                <w:sz w:val="24"/>
                <w:szCs w:val="24"/>
              </w:rPr>
              <w:t>603259</w:t>
            </w:r>
          </w:p>
        </w:tc>
        <w:tc>
          <w:tcPr>
            <w:tcW w:w="1418" w:type="dxa"/>
            <w:vAlign w:val="center"/>
          </w:tcPr>
          <w:p w:rsidR="00F42ADC" w:rsidRDefault="00657624">
            <w:pPr>
              <w:jc w:val="center"/>
            </w:pPr>
            <w:r>
              <w:rPr>
                <w:color w:val="000000"/>
                <w:kern w:val="0"/>
                <w:sz w:val="24"/>
                <w:szCs w:val="24"/>
              </w:rPr>
              <w:t>药明康德</w:t>
            </w:r>
          </w:p>
        </w:tc>
        <w:tc>
          <w:tcPr>
            <w:tcW w:w="1701" w:type="dxa"/>
            <w:vAlign w:val="center"/>
          </w:tcPr>
          <w:p w:rsidR="00F42ADC" w:rsidRDefault="00657624">
            <w:pPr>
              <w:jc w:val="right"/>
            </w:pPr>
            <w:r>
              <w:rPr>
                <w:color w:val="000000"/>
                <w:kern w:val="0"/>
                <w:sz w:val="24"/>
                <w:szCs w:val="24"/>
              </w:rPr>
              <w:t>1,032,462</w:t>
            </w:r>
          </w:p>
        </w:tc>
        <w:tc>
          <w:tcPr>
            <w:tcW w:w="1984" w:type="dxa"/>
            <w:vAlign w:val="center"/>
          </w:tcPr>
          <w:p w:rsidR="00F42ADC" w:rsidRDefault="00657624">
            <w:pPr>
              <w:jc w:val="right"/>
            </w:pPr>
            <w:r>
              <w:rPr>
                <w:color w:val="000000"/>
                <w:kern w:val="0"/>
                <w:sz w:val="24"/>
                <w:szCs w:val="24"/>
              </w:rPr>
              <w:t>89,514,455.40</w:t>
            </w:r>
          </w:p>
        </w:tc>
        <w:tc>
          <w:tcPr>
            <w:tcW w:w="1559" w:type="dxa"/>
            <w:vAlign w:val="center"/>
          </w:tcPr>
          <w:p w:rsidR="00F42ADC" w:rsidRDefault="00657624">
            <w:pPr>
              <w:jc w:val="right"/>
            </w:pPr>
            <w:r>
              <w:rPr>
                <w:color w:val="000000"/>
                <w:kern w:val="0"/>
                <w:sz w:val="24"/>
                <w:szCs w:val="24"/>
              </w:rPr>
              <w:t>4.32</w:t>
            </w:r>
          </w:p>
        </w:tc>
      </w:tr>
      <w:tr w:rsidR="00F42ADC">
        <w:tc>
          <w:tcPr>
            <w:tcW w:w="851" w:type="dxa"/>
            <w:vAlign w:val="center"/>
          </w:tcPr>
          <w:p w:rsidR="00F42ADC" w:rsidRDefault="00657624">
            <w:pPr>
              <w:jc w:val="center"/>
            </w:pPr>
            <w:r>
              <w:rPr>
                <w:color w:val="000000"/>
                <w:kern w:val="0"/>
                <w:sz w:val="24"/>
                <w:szCs w:val="24"/>
              </w:rPr>
              <w:t>9</w:t>
            </w:r>
          </w:p>
        </w:tc>
        <w:tc>
          <w:tcPr>
            <w:tcW w:w="1276" w:type="dxa"/>
            <w:vAlign w:val="center"/>
          </w:tcPr>
          <w:p w:rsidR="00F42ADC" w:rsidRDefault="00657624">
            <w:pPr>
              <w:jc w:val="center"/>
            </w:pPr>
            <w:r>
              <w:rPr>
                <w:color w:val="000000"/>
                <w:kern w:val="0"/>
                <w:sz w:val="24"/>
                <w:szCs w:val="24"/>
              </w:rPr>
              <w:t>601012</w:t>
            </w:r>
          </w:p>
        </w:tc>
        <w:tc>
          <w:tcPr>
            <w:tcW w:w="1418" w:type="dxa"/>
            <w:vAlign w:val="center"/>
          </w:tcPr>
          <w:p w:rsidR="00F42ADC" w:rsidRDefault="00657624">
            <w:pPr>
              <w:jc w:val="center"/>
            </w:pPr>
            <w:r>
              <w:rPr>
                <w:color w:val="000000"/>
                <w:kern w:val="0"/>
                <w:sz w:val="24"/>
                <w:szCs w:val="24"/>
              </w:rPr>
              <w:t>隆基股份</w:t>
            </w:r>
          </w:p>
        </w:tc>
        <w:tc>
          <w:tcPr>
            <w:tcW w:w="1701" w:type="dxa"/>
            <w:vAlign w:val="center"/>
          </w:tcPr>
          <w:p w:rsidR="00F42ADC" w:rsidRDefault="00657624">
            <w:pPr>
              <w:jc w:val="right"/>
            </w:pPr>
            <w:r>
              <w:rPr>
                <w:color w:val="000000"/>
                <w:kern w:val="0"/>
                <w:sz w:val="24"/>
                <w:szCs w:val="24"/>
              </w:rPr>
              <w:t>3,130,702</w:t>
            </w:r>
          </w:p>
        </w:tc>
        <w:tc>
          <w:tcPr>
            <w:tcW w:w="1984" w:type="dxa"/>
            <w:vAlign w:val="center"/>
          </w:tcPr>
          <w:p w:rsidR="00F42ADC" w:rsidRDefault="00657624">
            <w:pPr>
              <w:jc w:val="right"/>
            </w:pPr>
            <w:r>
              <w:rPr>
                <w:color w:val="000000"/>
                <w:kern w:val="0"/>
                <w:sz w:val="24"/>
                <w:szCs w:val="24"/>
              </w:rPr>
              <w:t>82,118,313.46</w:t>
            </w:r>
          </w:p>
        </w:tc>
        <w:tc>
          <w:tcPr>
            <w:tcW w:w="1559" w:type="dxa"/>
            <w:vAlign w:val="center"/>
          </w:tcPr>
          <w:p w:rsidR="00F42ADC" w:rsidRDefault="00657624">
            <w:pPr>
              <w:jc w:val="right"/>
            </w:pPr>
            <w:r>
              <w:rPr>
                <w:color w:val="000000"/>
                <w:kern w:val="0"/>
                <w:sz w:val="24"/>
                <w:szCs w:val="24"/>
              </w:rPr>
              <w:t>3.97</w:t>
            </w:r>
          </w:p>
        </w:tc>
      </w:tr>
      <w:tr w:rsidR="00F42ADC">
        <w:tc>
          <w:tcPr>
            <w:tcW w:w="851" w:type="dxa"/>
            <w:vAlign w:val="center"/>
          </w:tcPr>
          <w:p w:rsidR="00F42ADC" w:rsidRDefault="00657624">
            <w:pPr>
              <w:jc w:val="center"/>
            </w:pPr>
            <w:r>
              <w:rPr>
                <w:color w:val="000000"/>
                <w:kern w:val="0"/>
                <w:sz w:val="24"/>
                <w:szCs w:val="24"/>
              </w:rPr>
              <w:t>10</w:t>
            </w:r>
          </w:p>
        </w:tc>
        <w:tc>
          <w:tcPr>
            <w:tcW w:w="1276" w:type="dxa"/>
            <w:vAlign w:val="center"/>
          </w:tcPr>
          <w:p w:rsidR="00F42ADC" w:rsidRDefault="00657624">
            <w:pPr>
              <w:jc w:val="center"/>
            </w:pPr>
            <w:r>
              <w:rPr>
                <w:color w:val="000000"/>
                <w:kern w:val="0"/>
                <w:sz w:val="24"/>
                <w:szCs w:val="24"/>
              </w:rPr>
              <w:t>002812</w:t>
            </w:r>
          </w:p>
        </w:tc>
        <w:tc>
          <w:tcPr>
            <w:tcW w:w="1418" w:type="dxa"/>
            <w:vAlign w:val="center"/>
          </w:tcPr>
          <w:p w:rsidR="00F42ADC" w:rsidRDefault="00657624">
            <w:pPr>
              <w:jc w:val="center"/>
            </w:pPr>
            <w:r>
              <w:rPr>
                <w:color w:val="000000"/>
                <w:kern w:val="0"/>
                <w:sz w:val="24"/>
                <w:szCs w:val="24"/>
              </w:rPr>
              <w:t>恩捷股份</w:t>
            </w:r>
          </w:p>
        </w:tc>
        <w:tc>
          <w:tcPr>
            <w:tcW w:w="1701" w:type="dxa"/>
            <w:vAlign w:val="center"/>
          </w:tcPr>
          <w:p w:rsidR="00F42ADC" w:rsidRDefault="00657624">
            <w:pPr>
              <w:jc w:val="right"/>
            </w:pPr>
            <w:r>
              <w:rPr>
                <w:color w:val="000000"/>
                <w:kern w:val="0"/>
                <w:sz w:val="24"/>
                <w:szCs w:val="24"/>
              </w:rPr>
              <w:t>2,365,863</w:t>
            </w:r>
          </w:p>
        </w:tc>
        <w:tc>
          <w:tcPr>
            <w:tcW w:w="1984" w:type="dxa"/>
            <w:vAlign w:val="center"/>
          </w:tcPr>
          <w:p w:rsidR="00F42ADC" w:rsidRDefault="00657624">
            <w:pPr>
              <w:jc w:val="right"/>
            </w:pPr>
            <w:r>
              <w:rPr>
                <w:color w:val="000000"/>
                <w:kern w:val="0"/>
                <w:sz w:val="24"/>
                <w:szCs w:val="24"/>
              </w:rPr>
              <w:t>78,901,531.05</w:t>
            </w:r>
          </w:p>
        </w:tc>
        <w:tc>
          <w:tcPr>
            <w:tcW w:w="1559" w:type="dxa"/>
            <w:vAlign w:val="center"/>
          </w:tcPr>
          <w:p w:rsidR="00F42ADC" w:rsidRDefault="00657624">
            <w:pPr>
              <w:jc w:val="right"/>
            </w:pPr>
            <w:r>
              <w:rPr>
                <w:color w:val="000000"/>
                <w:kern w:val="0"/>
                <w:sz w:val="24"/>
                <w:szCs w:val="24"/>
              </w:rPr>
              <w:t>3.81</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807,087.87</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59,533.32</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20,273,552.36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21,140,173.55</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817,420,296.28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323,678,145.43</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280,936,012.86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860,162,428.85</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AC11B0" w:rsidRPr="005A564A" w:rsidRDefault="00AC11B0" w:rsidP="00AC11B0">
      <w:pPr>
        <w:autoSpaceDE w:val="0"/>
        <w:autoSpaceDN w:val="0"/>
        <w:adjustRightInd w:val="0"/>
        <w:spacing w:before="29" w:line="360" w:lineRule="auto"/>
        <w:ind w:left="15"/>
        <w:jc w:val="right"/>
        <w:rPr>
          <w:sz w:val="24"/>
        </w:rPr>
      </w:pPr>
      <w:r w:rsidRPr="005A564A">
        <w:rPr>
          <w:sz w:val="24"/>
        </w:rPr>
        <w:t>单位：份</w:t>
      </w:r>
    </w:p>
    <w:tbl>
      <w:tblPr>
        <w:tblW w:w="8415" w:type="dxa"/>
        <w:tblInd w:w="108" w:type="dxa"/>
        <w:tblLayout w:type="fixed"/>
        <w:tblLook w:val="04A0" w:firstRow="1" w:lastRow="0" w:firstColumn="1" w:lastColumn="0" w:noHBand="0" w:noVBand="1"/>
      </w:tblPr>
      <w:tblGrid>
        <w:gridCol w:w="5037"/>
        <w:gridCol w:w="3378"/>
      </w:tblGrid>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pStyle w:val="ad"/>
              <w:adjustRightInd w:val="0"/>
              <w:snapToGrid w:val="0"/>
              <w:spacing w:line="360" w:lineRule="exact"/>
              <w:rPr>
                <w:rFonts w:eastAsiaTheme="minorEastAsia"/>
                <w:color w:val="000000" w:themeColor="text1"/>
              </w:rPr>
            </w:pPr>
            <w:r w:rsidRPr="003B42FF">
              <w:rPr>
                <w:rFonts w:eastAsiaTheme="minorEastAsia"/>
                <w:color w:val="000000" w:themeColor="text1"/>
              </w:rPr>
              <w:t>报告期期初管理人持有的本基金份额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61,530,929.03</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买入</w:t>
            </w:r>
            <w:r w:rsidRPr="003B42FF">
              <w:rPr>
                <w:rFonts w:eastAsiaTheme="minorEastAsia"/>
                <w:color w:val="000000" w:themeColor="text1"/>
                <w:sz w:val="24"/>
                <w:szCs w:val="24"/>
              </w:rPr>
              <w:t>/</w:t>
            </w:r>
            <w:r w:rsidRPr="003B42FF">
              <w:rPr>
                <w:rFonts w:eastAsiaTheme="minorEastAsia"/>
                <w:color w:val="000000" w:themeColor="text1"/>
                <w:sz w:val="24"/>
                <w:szCs w:val="24"/>
              </w:rPr>
              <w:t>申购总份额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kern w:val="0"/>
                <w:sz w:val="24"/>
                <w:szCs w:val="24"/>
              </w:rPr>
              <w:t>报告期</w:t>
            </w:r>
            <w:r w:rsidR="00B53067" w:rsidRPr="00B53067">
              <w:rPr>
                <w:rFonts w:eastAsiaTheme="minorEastAsia"/>
                <w:color w:val="000000" w:themeColor="text1"/>
                <w:sz w:val="24"/>
                <w:szCs w:val="24"/>
              </w:rPr>
              <w:t>期间</w:t>
            </w:r>
            <w:r w:rsidRPr="003B42FF">
              <w:rPr>
                <w:rFonts w:eastAsiaTheme="minorEastAsia"/>
                <w:color w:val="000000" w:themeColor="text1"/>
                <w:sz w:val="24"/>
                <w:szCs w:val="24"/>
              </w:rPr>
              <w:t>卖出</w:t>
            </w:r>
            <w:r w:rsidRPr="003B42FF">
              <w:rPr>
                <w:rFonts w:eastAsiaTheme="minorEastAsia"/>
                <w:color w:val="000000" w:themeColor="text1"/>
                <w:sz w:val="24"/>
                <w:szCs w:val="24"/>
              </w:rPr>
              <w:t>/</w:t>
            </w:r>
            <w:r w:rsidRPr="003B42FF">
              <w:rPr>
                <w:rFonts w:eastAsiaTheme="minorEastAsia"/>
                <w:color w:val="000000" w:themeColor="text1"/>
                <w:sz w:val="24"/>
                <w:szCs w:val="24"/>
              </w:rPr>
              <w:t>赎回总份额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报告期期末管理人持有的本基金份额</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sz w:val="24"/>
                <w:szCs w:val="24"/>
              </w:rPr>
            </w:pPr>
            <w:r w:rsidRPr="003B42FF">
              <w:rPr>
                <w:rFonts w:eastAsiaTheme="minorEastAsia"/>
                <w:color w:val="000000" w:themeColor="text1"/>
                <w:sz w:val="24"/>
                <w:szCs w:val="24"/>
              </w:rPr>
              <w:t>61,530,929.03</w:t>
            </w:r>
          </w:p>
        </w:tc>
      </w:tr>
      <w:tr w:rsidR="00AC11B0" w:rsidRPr="003B42FF" w:rsidTr="003328D9">
        <w:tc>
          <w:tcPr>
            <w:tcW w:w="5037"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adjustRightInd w:val="0"/>
              <w:snapToGrid w:val="0"/>
              <w:spacing w:line="360" w:lineRule="exact"/>
              <w:rPr>
                <w:rFonts w:eastAsiaTheme="minorEastAsia"/>
                <w:color w:val="000000" w:themeColor="text1"/>
                <w:sz w:val="24"/>
                <w:szCs w:val="24"/>
              </w:rPr>
            </w:pPr>
            <w:r w:rsidRPr="003B42FF">
              <w:rPr>
                <w:rFonts w:eastAsiaTheme="minorEastAsia"/>
                <w:color w:val="000000" w:themeColor="text1"/>
                <w:sz w:val="24"/>
                <w:szCs w:val="24"/>
              </w:rPr>
              <w:t>报告期期末持有的本基金份额占基金总份额比例（</w:t>
            </w:r>
            <w:r w:rsidRPr="003B42FF">
              <w:rPr>
                <w:rFonts w:eastAsiaTheme="minorEastAsia"/>
                <w:color w:val="000000" w:themeColor="text1"/>
                <w:sz w:val="24"/>
                <w:szCs w:val="24"/>
              </w:rPr>
              <w:t>%</w:t>
            </w:r>
            <w:r w:rsidRPr="003B42FF">
              <w:rPr>
                <w:rFonts w:eastAsiaTheme="minorEastAsia"/>
                <w:color w:val="000000" w:themeColor="text1"/>
                <w:sz w:val="24"/>
                <w:szCs w:val="24"/>
              </w:rPr>
              <w:t>）</w:t>
            </w:r>
          </w:p>
        </w:tc>
        <w:tc>
          <w:tcPr>
            <w:tcW w:w="3378" w:type="dxa"/>
            <w:tcBorders>
              <w:top w:val="single" w:sz="8" w:space="0" w:color="000000"/>
              <w:left w:val="single" w:sz="8" w:space="0" w:color="000000"/>
              <w:bottom w:val="single" w:sz="8" w:space="0" w:color="000000"/>
              <w:right w:val="single" w:sz="8" w:space="0" w:color="000000"/>
            </w:tcBorders>
            <w:vAlign w:val="center"/>
            <w:hideMark/>
          </w:tcPr>
          <w:p w:rsidR="00AC11B0" w:rsidRPr="003B42FF" w:rsidRDefault="00AC11B0" w:rsidP="003328D9">
            <w:pPr>
              <w:jc w:val="right"/>
              <w:rPr>
                <w:rFonts w:eastAsiaTheme="minorEastAsia"/>
                <w:color w:val="000000" w:themeColor="text1"/>
                <w:kern w:val="0"/>
                <w:sz w:val="24"/>
                <w:szCs w:val="24"/>
              </w:rPr>
            </w:pPr>
            <w:r w:rsidRPr="003B42FF">
              <w:rPr>
                <w:rFonts w:eastAsiaTheme="minorEastAsia"/>
                <w:color w:val="000000" w:themeColor="text1"/>
                <w:sz w:val="24"/>
                <w:szCs w:val="24"/>
              </w:rPr>
              <w:t>7.15</w:t>
            </w:r>
          </w:p>
        </w:tc>
      </w:tr>
    </w:tbl>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F42ADC" w:rsidRDefault="00657624">
      <w:pPr>
        <w:spacing w:line="360" w:lineRule="auto"/>
        <w:ind w:firstLineChars="200" w:firstLine="480"/>
        <w:rPr>
          <w:color w:val="000000"/>
          <w:sz w:val="24"/>
          <w:szCs w:val="24"/>
        </w:rPr>
      </w:pPr>
      <w:r>
        <w:rPr>
          <w:color w:val="000000"/>
          <w:sz w:val="24"/>
          <w:szCs w:val="24"/>
        </w:rPr>
        <w:t>1.</w:t>
      </w:r>
      <w:r>
        <w:rPr>
          <w:color w:val="000000"/>
          <w:sz w:val="24"/>
          <w:szCs w:val="24"/>
        </w:rPr>
        <w:t>中国证监会核准易方达新兴成长灵活配置混合型证券投资基金募集的文件；</w:t>
      </w:r>
    </w:p>
    <w:p w:rsidR="00F42ADC" w:rsidRDefault="00657624">
      <w:pPr>
        <w:spacing w:line="360" w:lineRule="auto"/>
        <w:ind w:firstLineChars="200" w:firstLine="480"/>
        <w:rPr>
          <w:color w:val="000000"/>
          <w:sz w:val="24"/>
          <w:szCs w:val="24"/>
        </w:rPr>
      </w:pPr>
      <w:r>
        <w:rPr>
          <w:color w:val="000000"/>
          <w:sz w:val="24"/>
          <w:szCs w:val="24"/>
        </w:rPr>
        <w:t>2.</w:t>
      </w:r>
      <w:r>
        <w:rPr>
          <w:color w:val="000000"/>
          <w:sz w:val="24"/>
          <w:szCs w:val="24"/>
        </w:rPr>
        <w:t>《易方达新兴成长灵活配置混合型证券投资基金基金合同》；</w:t>
      </w:r>
    </w:p>
    <w:p w:rsidR="00F42ADC" w:rsidRDefault="00657624">
      <w:pPr>
        <w:spacing w:line="360" w:lineRule="auto"/>
        <w:ind w:firstLineChars="200" w:firstLine="480"/>
        <w:rPr>
          <w:color w:val="000000"/>
          <w:sz w:val="24"/>
          <w:szCs w:val="24"/>
        </w:rPr>
      </w:pPr>
      <w:r>
        <w:rPr>
          <w:color w:val="000000"/>
          <w:sz w:val="24"/>
          <w:szCs w:val="24"/>
        </w:rPr>
        <w:t>3.</w:t>
      </w:r>
      <w:r>
        <w:rPr>
          <w:color w:val="000000"/>
          <w:sz w:val="24"/>
          <w:szCs w:val="24"/>
        </w:rPr>
        <w:t>《易方达新兴成长灵活配置混合型证券投资基金托管协议》；</w:t>
      </w:r>
    </w:p>
    <w:p w:rsidR="00F42ADC" w:rsidRDefault="00657624">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57624">
      <w:rPr>
        <w:rStyle w:val="a7"/>
        <w:noProof/>
      </w:rPr>
      <w:t>1</w:t>
    </w:r>
    <w:r>
      <w:rPr>
        <w:rStyle w:val="a7"/>
      </w:rPr>
      <w:fldChar w:fldCharType="end"/>
    </w:r>
    <w:r>
      <w:rPr>
        <w:rStyle w:val="a7"/>
        <w:rFonts w:hint="eastAsia"/>
      </w:rPr>
      <w:t>页共</w:t>
    </w:r>
    <w:r w:rsidR="00657624">
      <w:fldChar w:fldCharType="begin"/>
    </w:r>
    <w:r w:rsidR="00657624">
      <w:instrText xml:space="preserve"> NUMPAGES  \* Arabic  \* MERGEFORMAT </w:instrText>
    </w:r>
    <w:r w:rsidR="00657624">
      <w:fldChar w:fldCharType="separate"/>
    </w:r>
    <w:r w:rsidR="00657624" w:rsidRPr="00657624">
      <w:rPr>
        <w:rStyle w:val="a7"/>
        <w:noProof/>
      </w:rPr>
      <w:t>3</w:t>
    </w:r>
    <w:r w:rsidR="00657624">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657624">
      <w:rPr>
        <w:rStyle w:val="a7"/>
        <w:noProof/>
      </w:rPr>
      <w:t>11</w:t>
    </w:r>
    <w:r>
      <w:rPr>
        <w:rStyle w:val="a7"/>
      </w:rPr>
      <w:fldChar w:fldCharType="end"/>
    </w:r>
    <w:r>
      <w:rPr>
        <w:rStyle w:val="a7"/>
        <w:rFonts w:hint="eastAsia"/>
      </w:rPr>
      <w:t>页共</w:t>
    </w:r>
    <w:fldSimple w:instr=" NUMPAGES  \* Arabic  \* MERGEFORMAT ">
      <w:r w:rsidR="00657624" w:rsidRPr="00657624">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易方达新兴成长灵活配置混合型证券投资基金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57624"/>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42ADC"/>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A1C5B-ADD2-40FA-9ED8-321D7E7A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2019-10-16T13:54:00Z</dcterms:modified>
</cp:coreProperties>
</file>