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bookmarkStart w:id="0" w:name="_GoBack"/>
      <w:bookmarkEnd w:id="0"/>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FC7F43" w:rsidRPr="00D3639B" w:rsidRDefault="00FC7F4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易方达黄金交易型开放式证券投资基金联接基金</w:t>
      </w:r>
    </w:p>
    <w:p w:rsidR="002D2A00"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年第</w:t>
      </w:r>
      <w:r w:rsidRPr="00D3639B">
        <w:rPr>
          <w:rFonts w:eastAsiaTheme="minorEastAsia"/>
          <w:b/>
          <w:color w:val="000000" w:themeColor="text1"/>
          <w:sz w:val="36"/>
          <w:szCs w:val="36"/>
        </w:rPr>
        <w:t>3</w:t>
      </w:r>
      <w:r w:rsidRPr="00D3639B">
        <w:rPr>
          <w:rFonts w:eastAsiaTheme="minorEastAsia"/>
          <w:b/>
          <w:color w:val="000000" w:themeColor="text1"/>
          <w:sz w:val="36"/>
          <w:szCs w:val="36"/>
        </w:rPr>
        <w:t>季度报告</w:t>
      </w:r>
    </w:p>
    <w:p w:rsidR="009A2283" w:rsidRPr="00D3639B" w:rsidRDefault="00121533"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w:t>
      </w:r>
      <w:r w:rsidRPr="00D3639B">
        <w:rPr>
          <w:rFonts w:eastAsiaTheme="minorEastAsia"/>
          <w:b/>
          <w:color w:val="000000" w:themeColor="text1"/>
          <w:sz w:val="36"/>
          <w:szCs w:val="36"/>
        </w:rPr>
        <w:t>9</w:t>
      </w:r>
      <w:r w:rsidRPr="00D3639B">
        <w:rPr>
          <w:rFonts w:eastAsiaTheme="minorEastAsia"/>
          <w:b/>
          <w:color w:val="000000" w:themeColor="text1"/>
          <w:sz w:val="36"/>
          <w:szCs w:val="36"/>
        </w:rPr>
        <w:t>月</w:t>
      </w:r>
      <w:r w:rsidRPr="00D3639B">
        <w:rPr>
          <w:rFonts w:eastAsiaTheme="minorEastAsia"/>
          <w:b/>
          <w:color w:val="000000" w:themeColor="text1"/>
          <w:sz w:val="36"/>
          <w:szCs w:val="36"/>
        </w:rPr>
        <w:t>30</w:t>
      </w:r>
      <w:r w:rsidRPr="00D3639B">
        <w:rPr>
          <w:rFonts w:eastAsiaTheme="minorEastAsia"/>
          <w:b/>
          <w:color w:val="000000" w:themeColor="text1"/>
          <w:sz w:val="36"/>
          <w:szCs w:val="36"/>
        </w:rPr>
        <w:t>日</w:t>
      </w: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E27360">
      <w:pPr>
        <w:spacing w:line="360" w:lineRule="auto"/>
        <w:jc w:val="center"/>
        <w:rPr>
          <w:rFonts w:eastAsiaTheme="minorEastAsia"/>
          <w:b/>
          <w:color w:val="000000" w:themeColor="text1"/>
          <w:szCs w:val="21"/>
        </w:rPr>
      </w:pPr>
    </w:p>
    <w:p w:rsidR="00E27360" w:rsidRPr="00D3639B" w:rsidRDefault="00E27360" w:rsidP="00E27360">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rPr>
          <w:rFonts w:eastAsiaTheme="minorEastAsia"/>
          <w:b/>
          <w:color w:val="000000" w:themeColor="text1"/>
          <w:szCs w:val="21"/>
        </w:rPr>
      </w:pP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基金管理人：</w:t>
      </w:r>
      <w:r w:rsidR="00BF377F" w:rsidRPr="00D3639B">
        <w:rPr>
          <w:rFonts w:eastAsiaTheme="minorEastAsia"/>
          <w:b/>
          <w:color w:val="000000" w:themeColor="text1"/>
          <w:sz w:val="24"/>
        </w:rPr>
        <w:t>易方达基金管理有限公司</w:t>
      </w: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基金托管人：</w:t>
      </w:r>
      <w:r w:rsidR="00BF377F" w:rsidRPr="00D3639B">
        <w:rPr>
          <w:rFonts w:eastAsiaTheme="minorEastAsia"/>
          <w:b/>
          <w:color w:val="000000" w:themeColor="text1"/>
          <w:sz w:val="24"/>
        </w:rPr>
        <w:t>中国工商银行股份有限公司</w:t>
      </w:r>
    </w:p>
    <w:p w:rsidR="009A2283" w:rsidRPr="00D3639B" w:rsidRDefault="009A2283" w:rsidP="004B54B8">
      <w:pPr>
        <w:spacing w:line="360" w:lineRule="auto"/>
        <w:ind w:firstLineChars="900" w:firstLine="2168"/>
        <w:rPr>
          <w:rFonts w:eastAsiaTheme="minorEastAsia"/>
          <w:color w:val="000000" w:themeColor="text1"/>
          <w:sz w:val="24"/>
        </w:rPr>
        <w:sectPr w:rsidR="009A2283" w:rsidRPr="00D3639B" w:rsidSect="00F7094A">
          <w:headerReference w:type="default" r:id="rId8"/>
          <w:footerReference w:type="default" r:id="rId9"/>
          <w:pgSz w:w="11926" w:h="15840"/>
          <w:pgMar w:top="1418" w:right="1418" w:bottom="851" w:left="1418" w:header="851" w:footer="992" w:gutter="0"/>
          <w:cols w:space="720"/>
          <w:noEndnote/>
        </w:sectPr>
      </w:pPr>
      <w:r w:rsidRPr="00D3639B">
        <w:rPr>
          <w:rFonts w:eastAsiaTheme="minorEastAsia"/>
          <w:b/>
          <w:color w:val="000000" w:themeColor="text1"/>
          <w:sz w:val="24"/>
        </w:rPr>
        <w:t>报告送出日期：</w:t>
      </w:r>
      <w:r w:rsidR="00D04410" w:rsidRPr="00D3639B">
        <w:rPr>
          <w:rFonts w:eastAsiaTheme="minorEastAsia"/>
          <w:b/>
          <w:color w:val="000000" w:themeColor="text1"/>
          <w:sz w:val="24"/>
        </w:rPr>
        <w:t>二〇一九年十月二十四日</w:t>
      </w:r>
    </w:p>
    <w:p w:rsidR="009238DB" w:rsidRPr="00B34368" w:rsidRDefault="009238DB" w:rsidP="00C544B8">
      <w:pPr>
        <w:pStyle w:val="1"/>
        <w:spacing w:beforeLines="100" w:before="312" w:afterLines="100" w:after="312" w:line="360" w:lineRule="auto"/>
        <w:jc w:val="center"/>
        <w:rPr>
          <w:rFonts w:eastAsiaTheme="minorEastAsia"/>
          <w:b w:val="0"/>
          <w:color w:val="000000" w:themeColor="text1"/>
          <w:kern w:val="0"/>
          <w:sz w:val="24"/>
          <w:szCs w:val="24"/>
        </w:rPr>
      </w:pPr>
      <w:r w:rsidRPr="00B34368">
        <w:rPr>
          <w:rFonts w:eastAsiaTheme="minorEastAsia"/>
          <w:color w:val="000000" w:themeColor="text1"/>
          <w:kern w:val="0"/>
          <w:sz w:val="24"/>
          <w:szCs w:val="24"/>
        </w:rPr>
        <w:lastRenderedPageBreak/>
        <w:t xml:space="preserve">§1  </w:t>
      </w:r>
      <w:r w:rsidRPr="00B34368">
        <w:rPr>
          <w:rFonts w:eastAsiaTheme="minorEastAsia" w:hAnsiTheme="minorEastAsia"/>
          <w:color w:val="000000" w:themeColor="text1"/>
          <w:kern w:val="0"/>
          <w:sz w:val="24"/>
          <w:szCs w:val="24"/>
        </w:rPr>
        <w:t>重要提示</w:t>
      </w:r>
    </w:p>
    <w:p w:rsidR="00CE5465" w:rsidRDefault="00921BF3">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 w:val="24"/>
        </w:rPr>
        <w:t xml:space="preserve"> </w:t>
      </w:r>
    </w:p>
    <w:p w:rsidR="00CE5465" w:rsidRDefault="00921BF3">
      <w:pPr>
        <w:spacing w:line="360" w:lineRule="auto"/>
        <w:ind w:firstLineChars="200" w:firstLine="480"/>
        <w:rPr>
          <w:rFonts w:eastAsiaTheme="minorEastAsia"/>
          <w:color w:val="000000" w:themeColor="text1"/>
          <w:sz w:val="24"/>
        </w:rPr>
      </w:pPr>
      <w:r>
        <w:rPr>
          <w:rFonts w:eastAsiaTheme="minorEastAsia"/>
          <w:color w:val="000000" w:themeColor="text1"/>
          <w:sz w:val="24"/>
        </w:rPr>
        <w:t>基金托管人中国工商银行股份有限公司根据本基金合同规定，于</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22</w:t>
      </w:r>
      <w:r>
        <w:rPr>
          <w:rFonts w:eastAsiaTheme="minorEastAsia"/>
          <w:color w:val="000000" w:themeColor="text1"/>
          <w:sz w:val="24"/>
        </w:rPr>
        <w:t>日复核了本报告中的财务指标、净值表现和投资组合报告等内容，保证复核内容不存在虚假记载、误导性陈述或者重大遗漏。</w:t>
      </w:r>
      <w:r>
        <w:rPr>
          <w:rFonts w:eastAsiaTheme="minorEastAsia"/>
          <w:color w:val="000000" w:themeColor="text1"/>
          <w:sz w:val="24"/>
        </w:rPr>
        <w:t xml:space="preserve"> </w:t>
      </w:r>
    </w:p>
    <w:p w:rsidR="00CE5465" w:rsidRDefault="00921BF3">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基金管理人承诺以诚实信用、勤勉尽责的原则管理和运用基金资产，但不保证基金一定盈利。</w:t>
      </w:r>
      <w:r>
        <w:rPr>
          <w:rFonts w:eastAsiaTheme="minorEastAsia"/>
          <w:color w:val="000000" w:themeColor="text1"/>
          <w:sz w:val="24"/>
        </w:rPr>
        <w:t xml:space="preserve"> </w:t>
      </w:r>
    </w:p>
    <w:p w:rsidR="00CE5465" w:rsidRDefault="00921BF3">
      <w:pPr>
        <w:spacing w:line="360" w:lineRule="auto"/>
        <w:ind w:firstLineChars="200" w:firstLine="480"/>
        <w:rPr>
          <w:rFonts w:eastAsiaTheme="minorEastAsia"/>
          <w:color w:val="000000" w:themeColor="text1"/>
          <w:sz w:val="24"/>
        </w:rPr>
      </w:pPr>
      <w:r>
        <w:rPr>
          <w:rFonts w:eastAsiaTheme="minorEastAsia"/>
          <w:color w:val="000000" w:themeColor="text1"/>
          <w:sz w:val="24"/>
        </w:rPr>
        <w:t>基金的过往业绩并不代表其未来表现。投资有风</w:t>
      </w:r>
      <w:r>
        <w:rPr>
          <w:rFonts w:eastAsiaTheme="minorEastAsia"/>
          <w:color w:val="000000" w:themeColor="text1"/>
          <w:sz w:val="24"/>
        </w:rPr>
        <w:t>险，投资者在作出投资决策前应仔细阅读本基金的招募说明书。</w:t>
      </w:r>
      <w:r>
        <w:rPr>
          <w:rFonts w:eastAsiaTheme="minorEastAsia"/>
          <w:color w:val="000000" w:themeColor="text1"/>
          <w:sz w:val="24"/>
        </w:rPr>
        <w:t xml:space="preserve"> </w:t>
      </w:r>
    </w:p>
    <w:p w:rsidR="00CE5465" w:rsidRDefault="00921BF3">
      <w:pPr>
        <w:spacing w:line="360" w:lineRule="auto"/>
        <w:ind w:firstLineChars="200" w:firstLine="480"/>
        <w:rPr>
          <w:rFonts w:eastAsiaTheme="minorEastAsia"/>
          <w:color w:val="000000" w:themeColor="text1"/>
          <w:sz w:val="24"/>
        </w:rPr>
      </w:pPr>
      <w:r>
        <w:rPr>
          <w:rFonts w:eastAsiaTheme="minorEastAsia"/>
          <w:color w:val="000000" w:themeColor="text1"/>
          <w:sz w:val="24"/>
        </w:rPr>
        <w:t>本报告中财务资料未经审计。</w:t>
      </w:r>
    </w:p>
    <w:p w:rsidR="009238DB" w:rsidRPr="00B34368" w:rsidRDefault="00267DA9"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本报告期自</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日起至</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日止。</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§2  </w:t>
      </w:r>
      <w:r w:rsidRPr="00B34368">
        <w:rPr>
          <w:rFonts w:eastAsiaTheme="minorEastAsia" w:hAnsiTheme="minorEastAsia"/>
          <w:color w:val="000000" w:themeColor="text1"/>
          <w:kern w:val="0"/>
          <w:sz w:val="24"/>
          <w:szCs w:val="24"/>
        </w:rPr>
        <w:t>基金产品概况</w:t>
      </w:r>
    </w:p>
    <w:p w:rsidR="002C32ED" w:rsidRPr="00B34368" w:rsidRDefault="002C32ED" w:rsidP="002C32ED">
      <w:pPr>
        <w:pStyle w:val="2"/>
        <w:keepNext w:val="0"/>
        <w:keepLines w:val="0"/>
        <w:spacing w:before="0" w:after="0"/>
        <w:rPr>
          <w:rFonts w:ascii="Times New Roman" w:eastAsiaTheme="minorEastAsia" w:hAnsi="Times New Roman" w:cs="Times New Roman"/>
          <w:color w:val="000000" w:themeColor="text1"/>
          <w:szCs w:val="24"/>
        </w:rPr>
      </w:pPr>
      <w:bookmarkStart w:id="1" w:name="_Toc245193810"/>
      <w:r w:rsidRPr="00B34368">
        <w:rPr>
          <w:rFonts w:ascii="Times New Roman" w:eastAsiaTheme="minorEastAsia" w:hAnsi="Times New Roman" w:cs="Times New Roman"/>
          <w:color w:val="000000" w:themeColor="text1"/>
          <w:szCs w:val="24"/>
        </w:rPr>
        <w:t>2.1</w:t>
      </w:r>
      <w:r w:rsidRPr="00B34368">
        <w:rPr>
          <w:rFonts w:ascii="Times New Roman" w:eastAsiaTheme="minorEastAsia" w:hAnsiTheme="minorEastAsia" w:cs="Times New Roman"/>
          <w:color w:val="000000" w:themeColor="text1"/>
          <w:szCs w:val="24"/>
        </w:rPr>
        <w:t>基金产品概况</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40"/>
      </w:tblGrid>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基金简称</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易方达黄金</w:t>
            </w:r>
            <w:r w:rsidRPr="00B34368">
              <w:rPr>
                <w:rFonts w:eastAsiaTheme="minorEastAsia"/>
                <w:color w:val="000000" w:themeColor="text1"/>
                <w:kern w:val="0"/>
                <w:sz w:val="24"/>
              </w:rPr>
              <w:t>ETF</w:t>
            </w:r>
            <w:r w:rsidRPr="00B34368">
              <w:rPr>
                <w:rFonts w:eastAsiaTheme="minorEastAsia"/>
                <w:color w:val="000000" w:themeColor="text1"/>
                <w:kern w:val="0"/>
                <w:sz w:val="24"/>
              </w:rPr>
              <w:t>联接</w:t>
            </w:r>
          </w:p>
        </w:tc>
      </w:tr>
      <w:tr w:rsidR="00D3639B" w:rsidRPr="00B34368" w:rsidTr="00AA7EBD">
        <w:tc>
          <w:tcPr>
            <w:tcW w:w="2835" w:type="dxa"/>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479" w:type="dxa"/>
            <w:gridSpan w:val="2"/>
            <w:tcBorders>
              <w:bottom w:val="single" w:sz="4" w:space="0" w:color="auto"/>
            </w:tcBorders>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000307</w:t>
            </w:r>
          </w:p>
        </w:tc>
      </w:tr>
      <w:tr w:rsidR="00D3639B" w:rsidRPr="00B34368" w:rsidTr="00AA7EBD">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基金运作方式</w:t>
            </w:r>
          </w:p>
        </w:tc>
        <w:tc>
          <w:tcPr>
            <w:tcW w:w="5479" w:type="dxa"/>
            <w:gridSpan w:val="2"/>
            <w:tcBorders>
              <w:top w:val="single" w:sz="4" w:space="0" w:color="auto"/>
            </w:tcBorders>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契约型开放式</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基金合同生效日</w:t>
            </w:r>
          </w:p>
        </w:tc>
        <w:tc>
          <w:tcPr>
            <w:tcW w:w="5479" w:type="dxa"/>
            <w:gridSpan w:val="2"/>
          </w:tcPr>
          <w:p w:rsidR="00A6200E" w:rsidRPr="00B34368" w:rsidRDefault="00121533" w:rsidP="00121533">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2016</w:t>
            </w:r>
            <w:r w:rsidRPr="00B34368">
              <w:rPr>
                <w:rFonts w:eastAsiaTheme="minorEastAsia"/>
                <w:color w:val="000000" w:themeColor="text1"/>
                <w:kern w:val="0"/>
                <w:sz w:val="24"/>
              </w:rPr>
              <w:t>年</w:t>
            </w:r>
            <w:r w:rsidRPr="00B34368">
              <w:rPr>
                <w:rFonts w:eastAsiaTheme="minorEastAsia"/>
                <w:color w:val="000000" w:themeColor="text1"/>
                <w:kern w:val="0"/>
                <w:sz w:val="24"/>
              </w:rPr>
              <w:t>5</w:t>
            </w:r>
            <w:r w:rsidRPr="00B34368">
              <w:rPr>
                <w:rFonts w:eastAsiaTheme="minorEastAsia"/>
                <w:color w:val="000000" w:themeColor="text1"/>
                <w:kern w:val="0"/>
                <w:sz w:val="24"/>
              </w:rPr>
              <w:t>月</w:t>
            </w:r>
            <w:r w:rsidRPr="00B34368">
              <w:rPr>
                <w:rFonts w:eastAsiaTheme="minorEastAsia"/>
                <w:color w:val="000000" w:themeColor="text1"/>
                <w:kern w:val="0"/>
                <w:sz w:val="24"/>
              </w:rPr>
              <w:t>26</w:t>
            </w:r>
            <w:r w:rsidRPr="00B34368">
              <w:rPr>
                <w:rFonts w:eastAsiaTheme="minorEastAsia"/>
                <w:color w:val="000000" w:themeColor="text1"/>
                <w:kern w:val="0"/>
                <w:sz w:val="24"/>
              </w:rPr>
              <w:t>日</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报告期末基金份额总额</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1,090,680,641.22</w:t>
            </w:r>
            <w:r w:rsidR="0060758A" w:rsidRPr="00B34368">
              <w:rPr>
                <w:rFonts w:eastAsiaTheme="minorEastAsia" w:hAnsiTheme="minorEastAsia"/>
                <w:color w:val="000000" w:themeColor="text1"/>
                <w:kern w:val="0"/>
                <w:sz w:val="24"/>
              </w:rPr>
              <w:t>份</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投资目标</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紧密跟踪业绩比较基准，追求跟踪偏离度与跟踪误差最小化。</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投资策略</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本基金主要通过投资于目标</w:t>
            </w:r>
            <w:r w:rsidRPr="00B34368">
              <w:rPr>
                <w:rFonts w:eastAsiaTheme="minorEastAsia"/>
                <w:color w:val="000000" w:themeColor="text1"/>
                <w:kern w:val="0"/>
                <w:sz w:val="24"/>
              </w:rPr>
              <w:t>ETF</w:t>
            </w:r>
            <w:r w:rsidRPr="00B34368">
              <w:rPr>
                <w:rFonts w:eastAsiaTheme="minorEastAsia"/>
                <w:color w:val="000000" w:themeColor="text1"/>
                <w:kern w:val="0"/>
                <w:sz w:val="24"/>
              </w:rPr>
              <w:t>追踪业绩比较基准的表现，力争将日均跟踪偏离度的绝对值控制在</w:t>
            </w:r>
            <w:r w:rsidRPr="00B34368">
              <w:rPr>
                <w:rFonts w:eastAsiaTheme="minorEastAsia"/>
                <w:color w:val="000000" w:themeColor="text1"/>
                <w:kern w:val="0"/>
                <w:sz w:val="24"/>
              </w:rPr>
              <w:t>0.35%</w:t>
            </w:r>
            <w:r w:rsidRPr="00B34368">
              <w:rPr>
                <w:rFonts w:eastAsiaTheme="minorEastAsia"/>
                <w:color w:val="000000" w:themeColor="text1"/>
                <w:kern w:val="0"/>
                <w:sz w:val="24"/>
              </w:rPr>
              <w:t>以内，年化跟踪误差控制在</w:t>
            </w:r>
            <w:r w:rsidRPr="00B34368">
              <w:rPr>
                <w:rFonts w:eastAsiaTheme="minorEastAsia"/>
                <w:color w:val="000000" w:themeColor="text1"/>
                <w:kern w:val="0"/>
                <w:sz w:val="24"/>
              </w:rPr>
              <w:t>4%</w:t>
            </w:r>
            <w:r w:rsidRPr="00B34368">
              <w:rPr>
                <w:rFonts w:eastAsiaTheme="minorEastAsia"/>
                <w:color w:val="000000" w:themeColor="text1"/>
                <w:kern w:val="0"/>
                <w:sz w:val="24"/>
              </w:rPr>
              <w:t>以内。本基金投资于目标</w:t>
            </w:r>
            <w:r w:rsidRPr="00B34368">
              <w:rPr>
                <w:rFonts w:eastAsiaTheme="minorEastAsia"/>
                <w:color w:val="000000" w:themeColor="text1"/>
                <w:kern w:val="0"/>
                <w:sz w:val="24"/>
              </w:rPr>
              <w:t>ETF</w:t>
            </w:r>
            <w:r w:rsidRPr="00B34368">
              <w:rPr>
                <w:rFonts w:eastAsiaTheme="minorEastAsia"/>
                <w:color w:val="000000" w:themeColor="text1"/>
                <w:kern w:val="0"/>
                <w:sz w:val="24"/>
              </w:rPr>
              <w:t>的比例不低于基金资产净值的</w:t>
            </w:r>
            <w:r w:rsidRPr="00B34368">
              <w:rPr>
                <w:rFonts w:eastAsiaTheme="minorEastAsia"/>
                <w:color w:val="000000" w:themeColor="text1"/>
                <w:kern w:val="0"/>
                <w:sz w:val="24"/>
              </w:rPr>
              <w:t>90%</w:t>
            </w:r>
            <w:r w:rsidRPr="00B34368">
              <w:rPr>
                <w:rFonts w:eastAsiaTheme="minorEastAsia"/>
                <w:color w:val="000000" w:themeColor="text1"/>
                <w:kern w:val="0"/>
                <w:sz w:val="24"/>
              </w:rPr>
              <w:t>，且不低于非现金基金资产的</w:t>
            </w:r>
            <w:r w:rsidRPr="00B34368">
              <w:rPr>
                <w:rFonts w:eastAsiaTheme="minorEastAsia"/>
                <w:color w:val="000000" w:themeColor="text1"/>
                <w:kern w:val="0"/>
                <w:sz w:val="24"/>
              </w:rPr>
              <w:t>80%</w:t>
            </w:r>
            <w:r w:rsidRPr="00B34368">
              <w:rPr>
                <w:rFonts w:eastAsiaTheme="minorEastAsia"/>
                <w:color w:val="000000" w:themeColor="text1"/>
                <w:kern w:val="0"/>
                <w:sz w:val="24"/>
              </w:rPr>
              <w:t>。在投资运</w:t>
            </w:r>
            <w:r w:rsidRPr="00B34368">
              <w:rPr>
                <w:rFonts w:eastAsiaTheme="minorEastAsia"/>
                <w:color w:val="000000" w:themeColor="text1"/>
                <w:kern w:val="0"/>
                <w:sz w:val="24"/>
              </w:rPr>
              <w:lastRenderedPageBreak/>
              <w:t>作过程中，本基金将在综合考虑合规、风险、效率、成本等因素的基础上，决定采用一级市场申购、赎回的方式或证券二级市场交易的方式参与易方达黄金</w:t>
            </w:r>
            <w:r w:rsidRPr="00B34368">
              <w:rPr>
                <w:rFonts w:eastAsiaTheme="minorEastAsia"/>
                <w:color w:val="000000" w:themeColor="text1"/>
                <w:kern w:val="0"/>
                <w:sz w:val="24"/>
              </w:rPr>
              <w:t>ETF</w:t>
            </w:r>
            <w:r w:rsidRPr="00B34368">
              <w:rPr>
                <w:rFonts w:eastAsiaTheme="minorEastAsia"/>
                <w:color w:val="000000" w:themeColor="text1"/>
                <w:kern w:val="0"/>
                <w:sz w:val="24"/>
              </w:rPr>
              <w:t>交易。为更好地追踪业绩比较基准表现，当黄金现货实盘合约流动性不足或黄金现货延期交收合约投资成本更低时，本基金可适当投资于黄金现货延期交收合约。</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lastRenderedPageBreak/>
              <w:t>业绩比较基准</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按上海黄金交易所</w:t>
            </w:r>
            <w:r w:rsidRPr="00B34368">
              <w:rPr>
                <w:rFonts w:eastAsiaTheme="minorEastAsia"/>
                <w:color w:val="000000" w:themeColor="text1"/>
                <w:kern w:val="0"/>
                <w:sz w:val="24"/>
              </w:rPr>
              <w:t>Au99.99</w:t>
            </w:r>
            <w:r w:rsidRPr="00B34368">
              <w:rPr>
                <w:rFonts w:eastAsiaTheme="minorEastAsia"/>
                <w:color w:val="000000" w:themeColor="text1"/>
                <w:kern w:val="0"/>
                <w:sz w:val="24"/>
              </w:rPr>
              <w:t>现货实盘合约收盘价计算的收益率</w:t>
            </w:r>
            <w:r w:rsidRPr="00B34368">
              <w:rPr>
                <w:rFonts w:eastAsiaTheme="minorEastAsia"/>
                <w:color w:val="000000" w:themeColor="text1"/>
                <w:kern w:val="0"/>
                <w:sz w:val="24"/>
              </w:rPr>
              <w:t>×95%</w:t>
            </w:r>
            <w:r w:rsidRPr="00B34368">
              <w:rPr>
                <w:rFonts w:eastAsiaTheme="minorEastAsia"/>
                <w:color w:val="000000" w:themeColor="text1"/>
                <w:kern w:val="0"/>
                <w:sz w:val="24"/>
              </w:rPr>
              <w:t>＋活期存款利率（税后）</w:t>
            </w:r>
            <w:r w:rsidRPr="00B34368">
              <w:rPr>
                <w:rFonts w:eastAsiaTheme="minorEastAsia"/>
                <w:color w:val="000000" w:themeColor="text1"/>
                <w:kern w:val="0"/>
                <w:sz w:val="24"/>
              </w:rPr>
              <w:t>×5%</w:t>
            </w:r>
          </w:p>
        </w:tc>
      </w:tr>
      <w:tr w:rsidR="00D3639B" w:rsidRPr="00B34368" w:rsidTr="009A045B">
        <w:tc>
          <w:tcPr>
            <w:tcW w:w="2835" w:type="dxa"/>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风险收益特征</w:t>
            </w:r>
          </w:p>
        </w:tc>
        <w:tc>
          <w:tcPr>
            <w:tcW w:w="5479" w:type="dxa"/>
            <w:gridSpan w:val="2"/>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本基金为易方达黄金</w:t>
            </w:r>
            <w:r w:rsidRPr="00B34368">
              <w:rPr>
                <w:rFonts w:eastAsiaTheme="minorEastAsia"/>
                <w:color w:val="000000" w:themeColor="text1"/>
                <w:kern w:val="0"/>
                <w:sz w:val="24"/>
              </w:rPr>
              <w:t>ETF</w:t>
            </w:r>
            <w:r w:rsidRPr="00B34368">
              <w:rPr>
                <w:rFonts w:eastAsiaTheme="minorEastAsia"/>
                <w:color w:val="000000" w:themeColor="text1"/>
                <w:kern w:val="0"/>
                <w:sz w:val="24"/>
              </w:rPr>
              <w:t>的联接基金。长期来看，本基金具有与目标</w:t>
            </w:r>
            <w:r w:rsidRPr="00B34368">
              <w:rPr>
                <w:rFonts w:eastAsiaTheme="minorEastAsia"/>
                <w:color w:val="000000" w:themeColor="text1"/>
                <w:kern w:val="0"/>
                <w:sz w:val="24"/>
              </w:rPr>
              <w:t>ETF</w:t>
            </w:r>
            <w:r w:rsidRPr="00B34368">
              <w:rPr>
                <w:rFonts w:eastAsiaTheme="minorEastAsia"/>
                <w:color w:val="000000" w:themeColor="text1"/>
                <w:kern w:val="0"/>
                <w:sz w:val="24"/>
              </w:rPr>
              <w:t>及其所代表的国内黄金现货品种的风险收益类似的风险收益特征。</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基金管理人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易方达基金管理有限公司</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基金托管人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中国工商银行股份有限公司</w:t>
            </w:r>
          </w:p>
        </w:tc>
      </w:tr>
      <w:tr w:rsidR="00D3639B" w:rsidRPr="00B34368" w:rsidTr="00950413">
        <w:tc>
          <w:tcPr>
            <w:tcW w:w="2835" w:type="dxa"/>
          </w:tcPr>
          <w:p w:rsidR="00950413" w:rsidRPr="00B34368" w:rsidRDefault="00075E4E" w:rsidP="00E205AA">
            <w:pPr>
              <w:adjustRightInd w:val="0"/>
              <w:spacing w:before="29" w:line="360" w:lineRule="auto"/>
              <w:ind w:left="17"/>
              <w:jc w:val="left"/>
              <w:rPr>
                <w:rFonts w:eastAsiaTheme="minorEastAsia"/>
                <w:color w:val="000000" w:themeColor="text1"/>
                <w:kern w:val="0"/>
                <w:sz w:val="24"/>
              </w:rPr>
            </w:pPr>
            <w:r>
              <w:rPr>
                <w:rFonts w:eastAsiaTheme="minorEastAsia" w:hAnsiTheme="minorEastAsia"/>
                <w:color w:val="000000" w:themeColor="text1"/>
                <w:sz w:val="24"/>
              </w:rPr>
              <w:t>下属</w:t>
            </w:r>
            <w:r>
              <w:rPr>
                <w:rFonts w:eastAsiaTheme="minorEastAsia" w:hAnsiTheme="minorEastAsia" w:hint="eastAsia"/>
                <w:color w:val="000000" w:themeColor="text1"/>
                <w:sz w:val="24"/>
              </w:rPr>
              <w:t>分</w:t>
            </w:r>
            <w:r w:rsidR="00950413" w:rsidRPr="00B34368">
              <w:rPr>
                <w:rFonts w:eastAsiaTheme="minorEastAsia" w:hAnsiTheme="minorEastAsia"/>
                <w:color w:val="000000" w:themeColor="text1"/>
                <w:sz w:val="24"/>
              </w:rPr>
              <w:t>级基金的基金简称</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易方达黄金</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740"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易方达黄金</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级基金的交易代码</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000307</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002963</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报告期末下属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级基金的份额总额</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630,906,644.22</w:t>
            </w:r>
            <w:r w:rsidR="00D305C9" w:rsidRPr="00B34368">
              <w:rPr>
                <w:rFonts w:eastAsiaTheme="minorEastAsia" w:hAnsiTheme="minorEastAsia"/>
                <w:color w:val="000000" w:themeColor="text1"/>
                <w:kern w:val="0"/>
                <w:sz w:val="24"/>
              </w:rPr>
              <w:t>份</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459,773,997.00</w:t>
            </w:r>
            <w:r w:rsidR="00D305C9" w:rsidRPr="00B34368">
              <w:rPr>
                <w:rFonts w:eastAsiaTheme="minorEastAsia" w:hAnsiTheme="minorEastAsia"/>
                <w:color w:val="000000" w:themeColor="text1"/>
                <w:kern w:val="0"/>
                <w:sz w:val="24"/>
              </w:rPr>
              <w:t>份</w:t>
            </w:r>
          </w:p>
        </w:tc>
      </w:tr>
    </w:tbl>
    <w:p w:rsidR="002C32ED" w:rsidRPr="00B34368" w:rsidRDefault="00A6200E"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注：自</w:t>
      </w:r>
      <w:r w:rsidRPr="00B34368">
        <w:rPr>
          <w:rFonts w:eastAsiaTheme="minorEastAsia"/>
          <w:color w:val="000000" w:themeColor="text1"/>
          <w:sz w:val="24"/>
        </w:rPr>
        <w:t>2016</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日起，本基金增设</w:t>
      </w:r>
      <w:r w:rsidRPr="00B34368">
        <w:rPr>
          <w:rFonts w:eastAsiaTheme="minorEastAsia"/>
          <w:color w:val="000000" w:themeColor="text1"/>
          <w:sz w:val="24"/>
        </w:rPr>
        <w:t>C</w:t>
      </w:r>
      <w:r w:rsidRPr="00B34368">
        <w:rPr>
          <w:rFonts w:eastAsiaTheme="minorEastAsia"/>
          <w:color w:val="000000" w:themeColor="text1"/>
          <w:sz w:val="24"/>
        </w:rPr>
        <w:t>类份额类别，份额首次确认日为</w:t>
      </w:r>
      <w:r w:rsidRPr="00B34368">
        <w:rPr>
          <w:rFonts w:eastAsiaTheme="minorEastAsia"/>
          <w:color w:val="000000" w:themeColor="text1"/>
          <w:sz w:val="24"/>
        </w:rPr>
        <w:t>2016</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5</w:t>
      </w:r>
      <w:r w:rsidRPr="00B34368">
        <w:rPr>
          <w:rFonts w:eastAsiaTheme="minorEastAsia"/>
          <w:color w:val="000000" w:themeColor="text1"/>
          <w:sz w:val="24"/>
        </w:rPr>
        <w:t>日。</w:t>
      </w:r>
      <w:r w:rsidRPr="00B34368">
        <w:rPr>
          <w:rFonts w:eastAsiaTheme="minorEastAsia"/>
          <w:color w:val="000000" w:themeColor="text1"/>
          <w:sz w:val="24"/>
        </w:rPr>
        <w:t xml:space="preserve"> </w:t>
      </w:r>
    </w:p>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2.1.1</w:t>
      </w:r>
      <w:r w:rsidRPr="00B34368">
        <w:rPr>
          <w:rFonts w:ascii="Times New Roman" w:eastAsiaTheme="minorEastAsia" w:hAnsiTheme="minorEastAsia" w:cs="Times New Roman"/>
          <w:color w:val="000000" w:themeColor="text1"/>
          <w:szCs w:val="24"/>
        </w:rPr>
        <w:t>目标基金基本情况</w:t>
      </w:r>
    </w:p>
    <w:tbl>
      <w:tblPr>
        <w:tblW w:w="8460" w:type="dxa"/>
        <w:tblInd w:w="108" w:type="dxa"/>
        <w:tblLayout w:type="fixed"/>
        <w:tblLook w:val="0000" w:firstRow="0" w:lastRow="0" w:firstColumn="0" w:lastColumn="0" w:noHBand="0" w:noVBand="0"/>
      </w:tblPr>
      <w:tblGrid>
        <w:gridCol w:w="2724"/>
        <w:gridCol w:w="5736"/>
      </w:tblGrid>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易方达黄金交易型开放式证券投资基金</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159934</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交易型开放式（</w:t>
            </w:r>
            <w:r w:rsidRPr="00B34368">
              <w:rPr>
                <w:rFonts w:eastAsiaTheme="minorEastAsia"/>
                <w:color w:val="000000" w:themeColor="text1"/>
                <w:sz w:val="24"/>
              </w:rPr>
              <w:t>ETF</w:t>
            </w:r>
            <w:r w:rsidRPr="00B34368">
              <w:rPr>
                <w:rFonts w:eastAsiaTheme="minorEastAsia"/>
                <w:color w:val="000000" w:themeColor="text1"/>
                <w:sz w:val="24"/>
              </w:rPr>
              <w:t>）</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2013</w:t>
            </w:r>
            <w:r w:rsidRPr="00B34368">
              <w:rPr>
                <w:rFonts w:eastAsiaTheme="minorEastAsia"/>
                <w:color w:val="000000" w:themeColor="text1"/>
                <w:sz w:val="24"/>
              </w:rPr>
              <w:t>年</w:t>
            </w:r>
            <w:r w:rsidRPr="00B34368">
              <w:rPr>
                <w:rFonts w:eastAsiaTheme="minorEastAsia"/>
                <w:color w:val="000000" w:themeColor="text1"/>
                <w:sz w:val="24"/>
              </w:rPr>
              <w:t>11</w:t>
            </w:r>
            <w:r w:rsidRPr="00B34368">
              <w:rPr>
                <w:rFonts w:eastAsiaTheme="minorEastAsia"/>
                <w:color w:val="000000" w:themeColor="text1"/>
                <w:sz w:val="24"/>
              </w:rPr>
              <w:t>月</w:t>
            </w:r>
            <w:r w:rsidRPr="00B34368">
              <w:rPr>
                <w:rFonts w:eastAsiaTheme="minorEastAsia"/>
                <w:color w:val="000000" w:themeColor="text1"/>
                <w:sz w:val="24"/>
              </w:rPr>
              <w:t>29</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lastRenderedPageBreak/>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深圳证券交易所</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2013</w:t>
            </w:r>
            <w:r w:rsidRPr="00B34368">
              <w:rPr>
                <w:rFonts w:eastAsiaTheme="minorEastAsia"/>
                <w:color w:val="000000" w:themeColor="text1"/>
                <w:sz w:val="24"/>
              </w:rPr>
              <w:t>年</w:t>
            </w:r>
            <w:r w:rsidRPr="00B34368">
              <w:rPr>
                <w:rFonts w:eastAsiaTheme="minorEastAsia"/>
                <w:color w:val="000000" w:themeColor="text1"/>
                <w:sz w:val="24"/>
              </w:rPr>
              <w:t>12</w:t>
            </w:r>
            <w:r w:rsidRPr="00B34368">
              <w:rPr>
                <w:rFonts w:eastAsiaTheme="minorEastAsia"/>
                <w:color w:val="000000" w:themeColor="text1"/>
                <w:sz w:val="24"/>
              </w:rPr>
              <w:t>月</w:t>
            </w:r>
            <w:r w:rsidRPr="00B34368">
              <w:rPr>
                <w:rFonts w:eastAsiaTheme="minorEastAsia"/>
                <w:color w:val="000000" w:themeColor="text1"/>
                <w:sz w:val="24"/>
              </w:rPr>
              <w:t>16</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易方达基金管理有限公司</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中国工商银行股份有限公司</w:t>
            </w:r>
          </w:p>
        </w:tc>
      </w:tr>
    </w:tbl>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2.1.2</w:t>
      </w:r>
      <w:r w:rsidRPr="00B34368">
        <w:rPr>
          <w:rFonts w:ascii="Times New Roman" w:eastAsiaTheme="minorEastAsia" w:hAnsiTheme="minorEastAsia" w:cs="Times New Roman"/>
          <w:color w:val="000000" w:themeColor="text1"/>
          <w:szCs w:val="24"/>
        </w:rPr>
        <w:t>目标基金产品说明</w:t>
      </w:r>
    </w:p>
    <w:tbl>
      <w:tblPr>
        <w:tblW w:w="8460" w:type="dxa"/>
        <w:tblInd w:w="108" w:type="dxa"/>
        <w:tblLook w:val="0000" w:firstRow="0" w:lastRow="0" w:firstColumn="0" w:lastColumn="0" w:noHBand="0" w:noVBand="0"/>
      </w:tblPr>
      <w:tblGrid>
        <w:gridCol w:w="2820"/>
        <w:gridCol w:w="5640"/>
      </w:tblGrid>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紧密跟踪业绩比较基准，追求跟踪偏离度与跟踪误差最小化。</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本基金投资于黄金现货合约的比例不低于基金资产净值的</w:t>
            </w:r>
            <w:r w:rsidRPr="00B34368">
              <w:rPr>
                <w:rFonts w:eastAsiaTheme="minorEastAsia"/>
                <w:color w:val="000000" w:themeColor="text1"/>
                <w:sz w:val="24"/>
              </w:rPr>
              <w:t>95%</w:t>
            </w:r>
            <w:r w:rsidRPr="00B34368">
              <w:rPr>
                <w:rFonts w:eastAsiaTheme="minorEastAsia"/>
                <w:color w:val="000000" w:themeColor="text1"/>
                <w:sz w:val="24"/>
              </w:rPr>
              <w:t>。为紧密追踪业绩比较基准的表现，本基金力争将日均跟踪偏离度控制在</w:t>
            </w:r>
            <w:r w:rsidRPr="00B34368">
              <w:rPr>
                <w:rFonts w:eastAsiaTheme="minorEastAsia"/>
                <w:color w:val="000000" w:themeColor="text1"/>
                <w:sz w:val="24"/>
              </w:rPr>
              <w:t>0.2%</w:t>
            </w:r>
            <w:r w:rsidRPr="00B34368">
              <w:rPr>
                <w:rFonts w:eastAsiaTheme="minorEastAsia"/>
                <w:color w:val="000000" w:themeColor="text1"/>
                <w:sz w:val="24"/>
              </w:rPr>
              <w:t>以内，年化跟踪误差控制在</w:t>
            </w:r>
            <w:r w:rsidRPr="00B34368">
              <w:rPr>
                <w:rFonts w:eastAsiaTheme="minorEastAsia"/>
                <w:color w:val="000000" w:themeColor="text1"/>
                <w:sz w:val="24"/>
              </w:rPr>
              <w:t>2%</w:t>
            </w:r>
            <w:r w:rsidRPr="00B34368">
              <w:rPr>
                <w:rFonts w:eastAsiaTheme="minorEastAsia"/>
                <w:color w:val="000000" w:themeColor="text1"/>
                <w:sz w:val="24"/>
              </w:rPr>
              <w:t>以内。当黄金现货实盘合约流动性不足或黄金现货延期交收合约投资成本更低时，本基金可适当投资于黄金现货延期交收合约。为降低基金费用对跟踪偏离度与跟踪误差的影响，本基金可以将持有的黄金现货合约借出给信誉良好的机构，取得租赁收入。</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上海黄金交易所</w:t>
            </w:r>
            <w:r w:rsidRPr="00B34368">
              <w:rPr>
                <w:rFonts w:eastAsiaTheme="minorEastAsia"/>
                <w:color w:val="000000" w:themeColor="text1"/>
                <w:sz w:val="24"/>
              </w:rPr>
              <w:t>Au99.99</w:t>
            </w:r>
            <w:r w:rsidRPr="00B34368">
              <w:rPr>
                <w:rFonts w:eastAsiaTheme="minorEastAsia"/>
                <w:color w:val="000000" w:themeColor="text1"/>
                <w:sz w:val="24"/>
              </w:rPr>
              <w:t>现货实盘合约收盘价</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本基金追踪上海黄金交易所</w:t>
            </w:r>
            <w:r w:rsidRPr="00B34368">
              <w:rPr>
                <w:rFonts w:eastAsiaTheme="minorEastAsia"/>
                <w:color w:val="000000" w:themeColor="text1"/>
                <w:sz w:val="24"/>
              </w:rPr>
              <w:t>Au99.99</w:t>
            </w:r>
            <w:r w:rsidRPr="00B34368">
              <w:rPr>
                <w:rFonts w:eastAsiaTheme="minorEastAsia"/>
                <w:color w:val="000000" w:themeColor="text1"/>
                <w:sz w:val="24"/>
              </w:rPr>
              <w:t>现货实盘合约收盘价表现，具有与上海黄金交易所</w:t>
            </w:r>
            <w:r w:rsidRPr="00B34368">
              <w:rPr>
                <w:rFonts w:eastAsiaTheme="minorEastAsia"/>
                <w:color w:val="000000" w:themeColor="text1"/>
                <w:sz w:val="24"/>
              </w:rPr>
              <w:t xml:space="preserve">Au99.99 </w:t>
            </w:r>
            <w:r w:rsidRPr="00B34368">
              <w:rPr>
                <w:rFonts w:eastAsiaTheme="minorEastAsia"/>
                <w:color w:val="000000" w:themeColor="text1"/>
                <w:sz w:val="24"/>
              </w:rPr>
              <w:t>现货实盘合约相似的风险收益特征。</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§3  </w:t>
      </w:r>
      <w:r w:rsidRPr="00B34368">
        <w:rPr>
          <w:rFonts w:eastAsiaTheme="minorEastAsia" w:hAnsiTheme="minorEastAsia"/>
          <w:color w:val="000000" w:themeColor="text1"/>
          <w:kern w:val="0"/>
          <w:sz w:val="24"/>
          <w:szCs w:val="24"/>
        </w:rPr>
        <w:t>主要财务指标和基金净值表现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3.1 </w:t>
      </w:r>
      <w:r w:rsidRPr="00B34368">
        <w:rPr>
          <w:rFonts w:eastAsiaTheme="minorEastAsia" w:hAnsiTheme="minorEastAsia"/>
          <w:b/>
          <w:color w:val="000000" w:themeColor="text1"/>
          <w:kern w:val="0"/>
          <w:sz w:val="24"/>
        </w:rPr>
        <w:t>主要财务指标</w:t>
      </w:r>
    </w:p>
    <w:p w:rsidR="009238DB" w:rsidRPr="00B34368" w:rsidRDefault="009238DB" w:rsidP="00E27360">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D3639B" w:rsidRPr="00B34368" w:rsidTr="008B5312">
        <w:tc>
          <w:tcPr>
            <w:tcW w:w="3402" w:type="dxa"/>
            <w:vMerge w:val="restart"/>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主要财务指标</w:t>
            </w:r>
          </w:p>
        </w:tc>
        <w:tc>
          <w:tcPr>
            <w:tcW w:w="4962" w:type="dxa"/>
            <w:gridSpan w:val="2"/>
            <w:vAlign w:val="center"/>
          </w:tcPr>
          <w:p w:rsidR="002976E5"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报告期</w:t>
            </w:r>
          </w:p>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tc>
      </w:tr>
      <w:tr w:rsidR="00D3639B" w:rsidRPr="00B34368" w:rsidTr="008B5312">
        <w:tc>
          <w:tcPr>
            <w:tcW w:w="3402" w:type="dxa"/>
            <w:vMerge/>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p>
        </w:tc>
        <w:tc>
          <w:tcPr>
            <w:tcW w:w="2481" w:type="dxa"/>
            <w:vAlign w:val="center"/>
          </w:tcPr>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易方达黄金</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481" w:type="dxa"/>
            <w:vAlign w:val="center"/>
          </w:tcPr>
          <w:p w:rsidR="009E549D" w:rsidRPr="00B34368" w:rsidRDefault="00FE7FB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易方达黄金</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73B57">
        <w:tc>
          <w:tcPr>
            <w:tcW w:w="3402" w:type="dxa"/>
          </w:tcPr>
          <w:p w:rsidR="005F293E" w:rsidRPr="00B34368" w:rsidRDefault="005F293E" w:rsidP="00973B57">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1.</w:t>
            </w:r>
            <w:r w:rsidRPr="00B34368">
              <w:rPr>
                <w:rFonts w:eastAsiaTheme="minorEastAsia" w:hAnsiTheme="minorEastAsia"/>
                <w:color w:val="000000" w:themeColor="text1"/>
                <w:kern w:val="0"/>
                <w:sz w:val="24"/>
              </w:rPr>
              <w:t>本期已实现收益</w:t>
            </w:r>
          </w:p>
        </w:tc>
        <w:tc>
          <w:tcPr>
            <w:tcW w:w="2481" w:type="dxa"/>
            <w:vAlign w:val="bottom"/>
          </w:tcPr>
          <w:p w:rsidR="005F293E" w:rsidRPr="00B34368" w:rsidRDefault="005F293E" w:rsidP="00973B57">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6,195,888.08</w:t>
            </w:r>
          </w:p>
        </w:tc>
        <w:tc>
          <w:tcPr>
            <w:tcW w:w="2481" w:type="dxa"/>
            <w:vAlign w:val="bottom"/>
          </w:tcPr>
          <w:p w:rsidR="005F293E" w:rsidRPr="00B34368" w:rsidRDefault="00FE7FBD" w:rsidP="0037768B">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3,599,820.02</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2.</w:t>
            </w:r>
            <w:r w:rsidRPr="00B34368">
              <w:rPr>
                <w:rFonts w:eastAsiaTheme="minorEastAsia" w:hAnsiTheme="minorEastAsia"/>
                <w:color w:val="000000" w:themeColor="text1"/>
                <w:kern w:val="0"/>
                <w:sz w:val="24"/>
              </w:rPr>
              <w:t>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46,293,165.18</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22,017,413.23</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3.</w:t>
            </w:r>
            <w:r w:rsidRPr="00B34368">
              <w:rPr>
                <w:rFonts w:eastAsiaTheme="minorEastAsia" w:hAnsiTheme="minorEastAsia"/>
                <w:color w:val="000000" w:themeColor="text1"/>
                <w:kern w:val="0"/>
                <w:sz w:val="24"/>
              </w:rPr>
              <w:t>加权平均基金份额本期利润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0.0851</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0.0682</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lastRenderedPageBreak/>
              <w:t>4.</w:t>
            </w:r>
            <w:r w:rsidRPr="00B34368">
              <w:rPr>
                <w:rFonts w:eastAsiaTheme="minorEastAsia" w:hAnsiTheme="minorEastAsia"/>
                <w:color w:val="000000" w:themeColor="text1"/>
                <w:kern w:val="0"/>
                <w:sz w:val="24"/>
              </w:rPr>
              <w:t>期末基金资产净值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756,019,074.10</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546,690,106.80</w:t>
            </w:r>
          </w:p>
        </w:tc>
      </w:tr>
      <w:tr w:rsidR="00D3639B" w:rsidRPr="00B34368" w:rsidTr="009A5C1D">
        <w:trPr>
          <w:trHeight w:val="158"/>
        </w:trPr>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5.</w:t>
            </w:r>
            <w:r w:rsidRPr="00B34368">
              <w:rPr>
                <w:rFonts w:eastAsiaTheme="minorEastAsia" w:hAnsiTheme="minorEastAsia"/>
                <w:color w:val="000000" w:themeColor="text1"/>
                <w:kern w:val="0"/>
                <w:sz w:val="24"/>
              </w:rPr>
              <w:t>期末基金份额净值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1.1983</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1.1890</w:t>
            </w:r>
          </w:p>
        </w:tc>
      </w:tr>
    </w:tbl>
    <w:p w:rsidR="00CE5465" w:rsidRDefault="00921BF3">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所述基金业绩指标不包括持有人认购或交易基金的各项费用，计入费用后实际收益水平要低于所列数字。</w:t>
      </w:r>
    </w:p>
    <w:p w:rsidR="009238DB" w:rsidRPr="00B34368" w:rsidRDefault="005E01A3"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2.</w:t>
      </w:r>
      <w:r w:rsidRPr="00B34368">
        <w:rPr>
          <w:rFonts w:eastAsiaTheme="minorEastAsia"/>
          <w:color w:val="000000" w:themeColor="text1"/>
          <w:sz w:val="24"/>
        </w:rPr>
        <w:t>本期已实现收益指基金本期利息收入、投资收益、其他收入（不含公允价值变动收益）扣除相关费用后的余额，本期利润为本期已实现收益加上本期公允价值变动收益。</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3.2 </w:t>
      </w:r>
      <w:r w:rsidRPr="00B34368">
        <w:rPr>
          <w:rFonts w:eastAsiaTheme="minorEastAsia" w:hAnsiTheme="minorEastAsia"/>
          <w:b/>
          <w:color w:val="000000" w:themeColor="text1"/>
          <w:kern w:val="0"/>
          <w:sz w:val="24"/>
        </w:rPr>
        <w:t>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3.2.1</w:t>
      </w:r>
      <w:r w:rsidRPr="00B34368">
        <w:rPr>
          <w:rFonts w:eastAsiaTheme="minorEastAsia" w:hAnsiTheme="minorEastAsia"/>
          <w:b/>
          <w:color w:val="000000" w:themeColor="text1"/>
          <w:kern w:val="0"/>
          <w:sz w:val="24"/>
        </w:rPr>
        <w:t>本报告期基金份额净值增长率及其与同期业绩比较基准收益率的比较</w:t>
      </w:r>
    </w:p>
    <w:p w:rsidR="009238DB" w:rsidRPr="00B34368" w:rsidRDefault="00A5643A" w:rsidP="00FC13C8">
      <w:pPr>
        <w:spacing w:line="360" w:lineRule="auto"/>
        <w:rPr>
          <w:rFonts w:eastAsiaTheme="minorEastAsia"/>
          <w:b/>
          <w:color w:val="000000" w:themeColor="text1"/>
          <w:sz w:val="24"/>
        </w:rPr>
      </w:pPr>
      <w:r w:rsidRPr="00B34368">
        <w:rPr>
          <w:rFonts w:eastAsiaTheme="minorEastAsia"/>
          <w:b/>
          <w:color w:val="000000" w:themeColor="text1"/>
          <w:kern w:val="0"/>
          <w:sz w:val="24"/>
        </w:rPr>
        <w:t>易方达黄金</w:t>
      </w:r>
      <w:r w:rsidRPr="00B34368">
        <w:rPr>
          <w:rFonts w:eastAsiaTheme="minorEastAsia"/>
          <w:b/>
          <w:color w:val="000000" w:themeColor="text1"/>
          <w:kern w:val="0"/>
          <w:sz w:val="24"/>
        </w:rPr>
        <w:t>ETF</w:t>
      </w:r>
      <w:r w:rsidRPr="00B34368">
        <w:rPr>
          <w:rFonts w:eastAsiaTheme="minorEastAsia"/>
          <w:b/>
          <w:color w:val="000000" w:themeColor="text1"/>
          <w:kern w:val="0"/>
          <w:sz w:val="24"/>
        </w:rPr>
        <w:t>联接</w:t>
      </w:r>
      <w:r w:rsidRPr="00B34368">
        <w:rPr>
          <w:rFonts w:eastAsiaTheme="minorEastAsia"/>
          <w:b/>
          <w:color w:val="000000" w:themeColor="text1"/>
          <w:kern w:val="0"/>
          <w:sz w:val="24"/>
        </w:rPr>
        <w:t>A</w:t>
      </w:r>
      <w:r w:rsidR="009238DB" w:rsidRPr="00B34368">
        <w:rPr>
          <w:rFonts w:eastAsiaTheme="minorEastAsia" w:hAnsiTheme="minorEastAsia"/>
          <w:b/>
          <w:color w:val="000000" w:themeColor="text1"/>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CE5465">
        <w:tc>
          <w:tcPr>
            <w:tcW w:w="1290" w:type="dxa"/>
            <w:vAlign w:val="center"/>
          </w:tcPr>
          <w:p w:rsidR="00CE5465" w:rsidRDefault="00921BF3">
            <w:pPr>
              <w:jc w:val="left"/>
            </w:pPr>
            <w:r>
              <w:rPr>
                <w:rFonts w:eastAsiaTheme="minorEastAsia"/>
                <w:color w:val="000000" w:themeColor="text1"/>
                <w:sz w:val="24"/>
              </w:rPr>
              <w:t>过去三个月</w:t>
            </w:r>
          </w:p>
        </w:tc>
        <w:tc>
          <w:tcPr>
            <w:tcW w:w="1291" w:type="dxa"/>
            <w:vAlign w:val="center"/>
          </w:tcPr>
          <w:p w:rsidR="00CE5465" w:rsidRDefault="00921BF3">
            <w:pPr>
              <w:jc w:val="right"/>
            </w:pPr>
            <w:r>
              <w:rPr>
                <w:rFonts w:eastAsiaTheme="minorEastAsia"/>
                <w:color w:val="000000" w:themeColor="text1"/>
                <w:sz w:val="24"/>
              </w:rPr>
              <w:t>8.84%</w:t>
            </w:r>
          </w:p>
        </w:tc>
        <w:tc>
          <w:tcPr>
            <w:tcW w:w="1291" w:type="dxa"/>
            <w:vAlign w:val="center"/>
          </w:tcPr>
          <w:p w:rsidR="00CE5465" w:rsidRDefault="00921BF3">
            <w:pPr>
              <w:jc w:val="right"/>
            </w:pPr>
            <w:r>
              <w:rPr>
                <w:rFonts w:eastAsiaTheme="minorEastAsia"/>
                <w:color w:val="000000" w:themeColor="text1"/>
                <w:sz w:val="24"/>
              </w:rPr>
              <w:t>1.08%</w:t>
            </w:r>
          </w:p>
        </w:tc>
        <w:tc>
          <w:tcPr>
            <w:tcW w:w="1291" w:type="dxa"/>
            <w:vAlign w:val="center"/>
          </w:tcPr>
          <w:p w:rsidR="00CE5465" w:rsidRDefault="00921BF3">
            <w:pPr>
              <w:jc w:val="right"/>
            </w:pPr>
            <w:r>
              <w:rPr>
                <w:rFonts w:eastAsiaTheme="minorEastAsia"/>
                <w:color w:val="000000" w:themeColor="text1"/>
                <w:sz w:val="24"/>
              </w:rPr>
              <w:t>9.09%</w:t>
            </w:r>
          </w:p>
        </w:tc>
        <w:tc>
          <w:tcPr>
            <w:tcW w:w="1291" w:type="dxa"/>
            <w:vAlign w:val="center"/>
          </w:tcPr>
          <w:p w:rsidR="00CE5465" w:rsidRDefault="00921BF3">
            <w:pPr>
              <w:jc w:val="right"/>
            </w:pPr>
            <w:r>
              <w:rPr>
                <w:rFonts w:eastAsiaTheme="minorEastAsia"/>
                <w:color w:val="000000" w:themeColor="text1"/>
                <w:sz w:val="24"/>
              </w:rPr>
              <w:t>1.09%</w:t>
            </w:r>
          </w:p>
        </w:tc>
        <w:tc>
          <w:tcPr>
            <w:tcW w:w="1291" w:type="dxa"/>
            <w:vAlign w:val="center"/>
          </w:tcPr>
          <w:p w:rsidR="00CE5465" w:rsidRDefault="00921BF3">
            <w:pPr>
              <w:jc w:val="right"/>
            </w:pPr>
            <w:r>
              <w:rPr>
                <w:rFonts w:eastAsiaTheme="minorEastAsia"/>
                <w:color w:val="000000" w:themeColor="text1"/>
                <w:sz w:val="24"/>
              </w:rPr>
              <w:t>-0.25%</w:t>
            </w:r>
          </w:p>
        </w:tc>
        <w:tc>
          <w:tcPr>
            <w:tcW w:w="1291" w:type="dxa"/>
            <w:vAlign w:val="center"/>
          </w:tcPr>
          <w:p w:rsidR="00CE5465" w:rsidRDefault="00921BF3">
            <w:pPr>
              <w:jc w:val="right"/>
            </w:pPr>
            <w:r>
              <w:rPr>
                <w:rFonts w:eastAsiaTheme="minorEastAsia"/>
                <w:color w:val="000000" w:themeColor="text1"/>
                <w:sz w:val="24"/>
              </w:rPr>
              <w:t>-0.01%</w:t>
            </w:r>
          </w:p>
        </w:tc>
      </w:tr>
    </w:tbl>
    <w:p w:rsidR="009238DB" w:rsidRPr="00B34368" w:rsidRDefault="00FE7FBD" w:rsidP="00C544B8">
      <w:pPr>
        <w:adjustRightInd w:val="0"/>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易方达黄金</w:t>
      </w:r>
      <w:r w:rsidRPr="00B34368">
        <w:rPr>
          <w:rFonts w:eastAsiaTheme="minorEastAsia"/>
          <w:b/>
          <w:color w:val="000000" w:themeColor="text1"/>
          <w:kern w:val="0"/>
          <w:sz w:val="24"/>
        </w:rPr>
        <w:t>ETF</w:t>
      </w:r>
      <w:r w:rsidRPr="00B34368">
        <w:rPr>
          <w:rFonts w:eastAsiaTheme="minorEastAsia"/>
          <w:b/>
          <w:color w:val="000000" w:themeColor="text1"/>
          <w:kern w:val="0"/>
          <w:sz w:val="24"/>
        </w:rPr>
        <w:t>联接</w:t>
      </w:r>
      <w:r w:rsidRPr="00B34368">
        <w:rPr>
          <w:rFonts w:eastAsiaTheme="minorEastAsia"/>
          <w:b/>
          <w:color w:val="000000" w:themeColor="text1"/>
          <w:kern w:val="0"/>
          <w:sz w:val="24"/>
        </w:rPr>
        <w:t>C</w:t>
      </w:r>
      <w:r w:rsidR="009238DB" w:rsidRPr="00B34368">
        <w:rPr>
          <w:rFonts w:eastAsiaTheme="minorEastAsia" w:hAnsiTheme="minorEastAsia"/>
          <w:b/>
          <w:color w:val="000000" w:themeColor="text1"/>
          <w:kern w:val="0"/>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CE5465">
        <w:tc>
          <w:tcPr>
            <w:tcW w:w="1290" w:type="dxa"/>
            <w:vAlign w:val="center"/>
          </w:tcPr>
          <w:p w:rsidR="00CE5465" w:rsidRDefault="00921BF3">
            <w:pPr>
              <w:jc w:val="left"/>
            </w:pPr>
            <w:r>
              <w:rPr>
                <w:rFonts w:eastAsiaTheme="minorEastAsia"/>
                <w:color w:val="000000" w:themeColor="text1"/>
                <w:sz w:val="24"/>
              </w:rPr>
              <w:t>过去三个月</w:t>
            </w:r>
          </w:p>
        </w:tc>
        <w:tc>
          <w:tcPr>
            <w:tcW w:w="1291" w:type="dxa"/>
            <w:vAlign w:val="center"/>
          </w:tcPr>
          <w:p w:rsidR="00CE5465" w:rsidRDefault="00921BF3">
            <w:pPr>
              <w:jc w:val="right"/>
            </w:pPr>
            <w:r>
              <w:rPr>
                <w:rFonts w:eastAsiaTheme="minorEastAsia"/>
                <w:color w:val="000000" w:themeColor="text1"/>
                <w:sz w:val="24"/>
              </w:rPr>
              <w:t>8.81%</w:t>
            </w:r>
          </w:p>
        </w:tc>
        <w:tc>
          <w:tcPr>
            <w:tcW w:w="1291" w:type="dxa"/>
            <w:vAlign w:val="center"/>
          </w:tcPr>
          <w:p w:rsidR="00CE5465" w:rsidRDefault="00921BF3">
            <w:pPr>
              <w:jc w:val="right"/>
            </w:pPr>
            <w:r>
              <w:rPr>
                <w:rFonts w:eastAsiaTheme="minorEastAsia"/>
                <w:color w:val="000000" w:themeColor="text1"/>
                <w:sz w:val="24"/>
              </w:rPr>
              <w:t>1.08%</w:t>
            </w:r>
          </w:p>
        </w:tc>
        <w:tc>
          <w:tcPr>
            <w:tcW w:w="1291" w:type="dxa"/>
            <w:vAlign w:val="center"/>
          </w:tcPr>
          <w:p w:rsidR="00CE5465" w:rsidRDefault="00921BF3">
            <w:pPr>
              <w:jc w:val="right"/>
            </w:pPr>
            <w:r>
              <w:rPr>
                <w:rFonts w:eastAsiaTheme="minorEastAsia"/>
                <w:color w:val="000000" w:themeColor="text1"/>
                <w:sz w:val="24"/>
              </w:rPr>
              <w:t>9.09%</w:t>
            </w:r>
          </w:p>
        </w:tc>
        <w:tc>
          <w:tcPr>
            <w:tcW w:w="1291" w:type="dxa"/>
            <w:vAlign w:val="center"/>
          </w:tcPr>
          <w:p w:rsidR="00CE5465" w:rsidRDefault="00921BF3">
            <w:pPr>
              <w:jc w:val="right"/>
            </w:pPr>
            <w:r>
              <w:rPr>
                <w:rFonts w:eastAsiaTheme="minorEastAsia"/>
                <w:color w:val="000000" w:themeColor="text1"/>
                <w:sz w:val="24"/>
              </w:rPr>
              <w:t>1.09%</w:t>
            </w:r>
          </w:p>
        </w:tc>
        <w:tc>
          <w:tcPr>
            <w:tcW w:w="1291" w:type="dxa"/>
            <w:vAlign w:val="center"/>
          </w:tcPr>
          <w:p w:rsidR="00CE5465" w:rsidRDefault="00921BF3">
            <w:pPr>
              <w:jc w:val="right"/>
            </w:pPr>
            <w:r>
              <w:rPr>
                <w:rFonts w:eastAsiaTheme="minorEastAsia"/>
                <w:color w:val="000000" w:themeColor="text1"/>
                <w:sz w:val="24"/>
              </w:rPr>
              <w:t>-0.28%</w:t>
            </w:r>
          </w:p>
        </w:tc>
        <w:tc>
          <w:tcPr>
            <w:tcW w:w="1291" w:type="dxa"/>
            <w:vAlign w:val="center"/>
          </w:tcPr>
          <w:p w:rsidR="00CE5465" w:rsidRDefault="00921BF3">
            <w:pPr>
              <w:jc w:val="right"/>
            </w:pPr>
            <w:r>
              <w:rPr>
                <w:rFonts w:eastAsiaTheme="minorEastAsia"/>
                <w:color w:val="000000" w:themeColor="text1"/>
                <w:sz w:val="24"/>
              </w:rPr>
              <w:t>-0.01%</w:t>
            </w:r>
          </w:p>
        </w:tc>
      </w:tr>
    </w:tbl>
    <w:p w:rsidR="009238DB" w:rsidRPr="00B34368" w:rsidRDefault="009238DB" w:rsidP="00C544B8">
      <w:pPr>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3.2.2</w:t>
      </w:r>
      <w:r w:rsidRPr="00B34368">
        <w:rPr>
          <w:rFonts w:eastAsiaTheme="minorEastAsia" w:hAnsiTheme="minorEastAsia"/>
          <w:b/>
          <w:color w:val="000000" w:themeColor="text1"/>
          <w:kern w:val="0"/>
          <w:sz w:val="24"/>
        </w:rPr>
        <w:t xml:space="preserve">　</w:t>
      </w:r>
      <w:r w:rsidR="00285166" w:rsidRPr="00285166">
        <w:rPr>
          <w:rFonts w:eastAsiaTheme="minorEastAsia" w:hAnsiTheme="minorEastAsia" w:hint="eastAsia"/>
          <w:b/>
          <w:color w:val="000000" w:themeColor="text1"/>
          <w:sz w:val="24"/>
        </w:rPr>
        <w:t>自基金合同生效以来</w:t>
      </w:r>
      <w:r w:rsidR="00BF57BE" w:rsidRPr="00B34368">
        <w:rPr>
          <w:rFonts w:eastAsiaTheme="minorEastAsia" w:hAnsiTheme="minorEastAsia"/>
          <w:b/>
          <w:color w:val="000000" w:themeColor="text1"/>
          <w:sz w:val="24"/>
        </w:rPr>
        <w:t>基金累计净值增长率变动及其与同期业绩比较基准收益率变动的比较</w:t>
      </w:r>
    </w:p>
    <w:p w:rsidR="009A045B" w:rsidRPr="00B34368" w:rsidRDefault="009A045B" w:rsidP="00FC13C8">
      <w:pPr>
        <w:spacing w:line="360" w:lineRule="auto"/>
        <w:jc w:val="center"/>
        <w:rPr>
          <w:rFonts w:eastAsiaTheme="minorEastAsia"/>
          <w:color w:val="000000" w:themeColor="text1"/>
          <w:sz w:val="24"/>
        </w:rPr>
      </w:pPr>
      <w:r w:rsidRPr="00B34368">
        <w:rPr>
          <w:rFonts w:eastAsiaTheme="minorEastAsia"/>
          <w:color w:val="000000" w:themeColor="text1"/>
          <w:sz w:val="24"/>
        </w:rPr>
        <w:t>易方达黄金交易型开放式证券投资基金联接基金</w:t>
      </w:r>
    </w:p>
    <w:p w:rsidR="00022396" w:rsidRPr="00B34368" w:rsidRDefault="00022396" w:rsidP="00FC13C8">
      <w:pPr>
        <w:pStyle w:val="a5"/>
        <w:snapToGrid w:val="0"/>
        <w:spacing w:line="360" w:lineRule="auto"/>
        <w:jc w:val="center"/>
        <w:rPr>
          <w:rFonts w:ascii="Times New Roman" w:eastAsiaTheme="minorEastAsia" w:hAnsi="Times New Roman"/>
          <w:color w:val="000000" w:themeColor="text1"/>
          <w:sz w:val="24"/>
          <w:szCs w:val="24"/>
        </w:rPr>
      </w:pPr>
      <w:r w:rsidRPr="00B34368">
        <w:rPr>
          <w:rFonts w:ascii="Times New Roman" w:eastAsiaTheme="minorEastAsia" w:hAnsiTheme="minorEastAsia"/>
          <w:color w:val="000000" w:themeColor="text1"/>
          <w:sz w:val="24"/>
          <w:szCs w:val="24"/>
        </w:rPr>
        <w:t>累计净值增长率与业绩比较基准收益率的历史走势对比图</w:t>
      </w:r>
    </w:p>
    <w:p w:rsidR="003C67C6" w:rsidRDefault="0042785F" w:rsidP="00FC13C8">
      <w:pPr>
        <w:snapToGrid w:val="0"/>
        <w:spacing w:line="360" w:lineRule="auto"/>
        <w:rPr>
          <w:rFonts w:eastAsiaTheme="minorEastAsia" w:hAnsiTheme="minorEastAsia"/>
          <w:color w:val="000000" w:themeColor="text1"/>
          <w:sz w:val="24"/>
        </w:rPr>
      </w:pPr>
      <w:r w:rsidRPr="00B34368">
        <w:rPr>
          <w:rFonts w:eastAsiaTheme="minorEastAsia"/>
          <w:color w:val="000000" w:themeColor="text1"/>
          <w:sz w:val="24"/>
        </w:rPr>
        <w:t>易方达黄金</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r w:rsidR="009238DB" w:rsidRPr="00B34368">
        <w:rPr>
          <w:rFonts w:eastAsiaTheme="minorEastAsia" w:hAnsiTheme="minorEastAsia"/>
          <w:color w:val="000000" w:themeColor="text1"/>
          <w:sz w:val="24"/>
        </w:rPr>
        <w:t>：</w:t>
      </w:r>
    </w:p>
    <w:p w:rsidR="009238DB" w:rsidRPr="00B34368" w:rsidRDefault="003C67C6" w:rsidP="003C67C6">
      <w:pPr>
        <w:snapToGrid w:val="0"/>
        <w:spacing w:line="360" w:lineRule="auto"/>
        <w:jc w:val="center"/>
        <w:rPr>
          <w:rFonts w:eastAsiaTheme="minorEastAsia"/>
          <w:color w:val="000000" w:themeColor="text1"/>
          <w:sz w:val="24"/>
        </w:rPr>
      </w:pPr>
      <w:r w:rsidRPr="00B34368">
        <w:rPr>
          <w:rFonts w:eastAsiaTheme="minorEastAsia"/>
          <w:color w:val="000000" w:themeColor="text1"/>
          <w:sz w:val="24"/>
        </w:rPr>
        <w:t>(2016</w:t>
      </w:r>
      <w:r w:rsidRPr="00B34368">
        <w:rPr>
          <w:rFonts w:eastAsiaTheme="minorEastAsia"/>
          <w:color w:val="000000" w:themeColor="text1"/>
          <w:sz w:val="24"/>
        </w:rPr>
        <w:t>年</w:t>
      </w:r>
      <w:r w:rsidRPr="00B34368">
        <w:rPr>
          <w:rFonts w:eastAsiaTheme="minorEastAsia"/>
          <w:color w:val="000000" w:themeColor="text1"/>
          <w:sz w:val="24"/>
        </w:rPr>
        <w:t>5</w:t>
      </w:r>
      <w:r w:rsidRPr="00B34368">
        <w:rPr>
          <w:rFonts w:eastAsiaTheme="minorEastAsia"/>
          <w:color w:val="000000" w:themeColor="text1"/>
          <w:sz w:val="24"/>
        </w:rPr>
        <w:t>月</w:t>
      </w:r>
      <w:r w:rsidRPr="00B34368">
        <w:rPr>
          <w:rFonts w:eastAsiaTheme="minorEastAsia"/>
          <w:color w:val="000000" w:themeColor="text1"/>
          <w:sz w:val="24"/>
        </w:rPr>
        <w:t>26</w:t>
      </w:r>
      <w:r w:rsidRPr="00B34368">
        <w:rPr>
          <w:rFonts w:eastAsiaTheme="minorEastAsia"/>
          <w:color w:val="000000" w:themeColor="text1"/>
          <w:sz w:val="24"/>
        </w:rPr>
        <w:t>日</w:t>
      </w:r>
      <w:r w:rsidRPr="00B34368">
        <w:rPr>
          <w:rFonts w:eastAsiaTheme="minorEastAsia" w:hAnsiTheme="minorEastAsia"/>
          <w:color w:val="000000" w:themeColor="text1"/>
          <w:sz w:val="24"/>
        </w:rPr>
        <w:t>至</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p w:rsidR="00FC7F43" w:rsidRPr="00B34368" w:rsidRDefault="006F5B4C"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lastRenderedPageBreak/>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3C67C6" w:rsidRDefault="00FE7FBD" w:rsidP="003C67C6">
      <w:pPr>
        <w:snapToGrid w:val="0"/>
        <w:spacing w:line="360" w:lineRule="auto"/>
        <w:rPr>
          <w:rFonts w:eastAsiaTheme="minorEastAsia" w:hAnsiTheme="minorEastAsia"/>
          <w:color w:val="000000" w:themeColor="text1"/>
          <w:sz w:val="24"/>
        </w:rPr>
      </w:pPr>
      <w:r w:rsidRPr="00B34368">
        <w:rPr>
          <w:rFonts w:eastAsiaTheme="minorEastAsia"/>
          <w:color w:val="000000" w:themeColor="text1"/>
          <w:sz w:val="24"/>
        </w:rPr>
        <w:t>易方达黄金</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r w:rsidR="0042785F" w:rsidRPr="00B34368">
        <w:rPr>
          <w:rFonts w:eastAsiaTheme="minorEastAsia" w:hAnsiTheme="minorEastAsia"/>
          <w:color w:val="000000" w:themeColor="text1"/>
          <w:sz w:val="24"/>
        </w:rPr>
        <w:t>：</w:t>
      </w:r>
    </w:p>
    <w:p w:rsidR="009238DB" w:rsidRPr="00B34368" w:rsidRDefault="003C67C6" w:rsidP="003C67C6">
      <w:pPr>
        <w:snapToGrid w:val="0"/>
        <w:spacing w:beforeLines="100" w:before="312" w:line="360" w:lineRule="auto"/>
        <w:jc w:val="center"/>
        <w:rPr>
          <w:rFonts w:eastAsiaTheme="minorEastAsia"/>
          <w:color w:val="000000" w:themeColor="text1"/>
          <w:sz w:val="24"/>
        </w:rPr>
      </w:pPr>
      <w:r w:rsidRPr="00B34368">
        <w:rPr>
          <w:rFonts w:eastAsiaTheme="minorEastAsia"/>
          <w:color w:val="000000" w:themeColor="text1"/>
          <w:sz w:val="24"/>
        </w:rPr>
        <w:t>(</w:t>
      </w:r>
      <w:r w:rsidR="00A53B6A">
        <w:rPr>
          <w:rFonts w:hint="eastAsia"/>
          <w:sz w:val="24"/>
        </w:rPr>
        <w:t>201</w:t>
      </w:r>
      <w:r w:rsidR="00A53B6A">
        <w:rPr>
          <w:sz w:val="24"/>
        </w:rPr>
        <w:t>6</w:t>
      </w:r>
      <w:r w:rsidR="00FE7DDE" w:rsidRPr="00FE7DDE">
        <w:rPr>
          <w:rFonts w:hint="eastAsia"/>
          <w:sz w:val="24"/>
        </w:rPr>
        <w:t>年</w:t>
      </w:r>
      <w:r w:rsidR="00A53B6A">
        <w:rPr>
          <w:sz w:val="24"/>
        </w:rPr>
        <w:t>7</w:t>
      </w:r>
      <w:r w:rsidR="00FE7DDE" w:rsidRPr="00FE7DDE">
        <w:rPr>
          <w:rFonts w:hint="eastAsia"/>
          <w:sz w:val="24"/>
        </w:rPr>
        <w:t>月</w:t>
      </w:r>
      <w:r w:rsidR="00A53B6A">
        <w:rPr>
          <w:sz w:val="24"/>
        </w:rPr>
        <w:t>5</w:t>
      </w:r>
      <w:r w:rsidR="00FE7DDE" w:rsidRPr="00FE7DDE">
        <w:rPr>
          <w:rFonts w:hint="eastAsia"/>
          <w:sz w:val="24"/>
        </w:rPr>
        <w:t>日</w:t>
      </w:r>
      <w:r w:rsidRPr="00B34368">
        <w:rPr>
          <w:rFonts w:eastAsiaTheme="minorEastAsia" w:hAnsiTheme="minorEastAsia"/>
          <w:color w:val="000000" w:themeColor="text1"/>
          <w:sz w:val="24"/>
        </w:rPr>
        <w:t>至</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p w:rsidR="00FC7F43" w:rsidRPr="00B34368" w:rsidRDefault="00B70229"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CE5465" w:rsidRDefault="00921BF3">
      <w:pPr>
        <w:spacing w:line="360" w:lineRule="auto"/>
        <w:ind w:firstLineChars="200" w:firstLine="480"/>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自</w:t>
      </w:r>
      <w:r>
        <w:rPr>
          <w:rFonts w:eastAsiaTheme="minorEastAsia"/>
          <w:color w:val="000000" w:themeColor="text1"/>
          <w:sz w:val="24"/>
        </w:rPr>
        <w:t>2016</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1</w:t>
      </w:r>
      <w:r>
        <w:rPr>
          <w:rFonts w:eastAsiaTheme="minorEastAsia"/>
          <w:color w:val="000000" w:themeColor="text1"/>
          <w:sz w:val="24"/>
        </w:rPr>
        <w:t>日起，本基金增设</w:t>
      </w:r>
      <w:r>
        <w:rPr>
          <w:rFonts w:eastAsiaTheme="minorEastAsia"/>
          <w:color w:val="000000" w:themeColor="text1"/>
          <w:sz w:val="24"/>
        </w:rPr>
        <w:t>C</w:t>
      </w:r>
      <w:r>
        <w:rPr>
          <w:rFonts w:eastAsiaTheme="minorEastAsia"/>
          <w:color w:val="000000" w:themeColor="text1"/>
          <w:sz w:val="24"/>
        </w:rPr>
        <w:t>类份额类别，份额首次确认日为</w:t>
      </w:r>
      <w:r>
        <w:rPr>
          <w:rFonts w:eastAsiaTheme="minorEastAsia"/>
          <w:color w:val="000000" w:themeColor="text1"/>
          <w:sz w:val="24"/>
        </w:rPr>
        <w:t>2016</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5</w:t>
      </w:r>
      <w:r>
        <w:rPr>
          <w:rFonts w:eastAsiaTheme="minorEastAsia"/>
          <w:color w:val="000000" w:themeColor="text1"/>
          <w:sz w:val="24"/>
        </w:rPr>
        <w:t>日，增设当期的相关数据和指标按实际存续期计算。</w:t>
      </w:r>
    </w:p>
    <w:p w:rsidR="00973B57" w:rsidRPr="00B34368" w:rsidRDefault="00757FD7"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2.</w:t>
      </w:r>
      <w:r w:rsidRPr="00B34368">
        <w:rPr>
          <w:rFonts w:eastAsiaTheme="minorEastAsia"/>
          <w:color w:val="000000" w:themeColor="text1"/>
          <w:sz w:val="24"/>
        </w:rPr>
        <w:t>自基金合同生效至报告期末，</w:t>
      </w:r>
      <w:r w:rsidRPr="00B34368">
        <w:rPr>
          <w:rFonts w:eastAsiaTheme="minorEastAsia"/>
          <w:color w:val="000000" w:themeColor="text1"/>
          <w:sz w:val="24"/>
        </w:rPr>
        <w:t>A</w:t>
      </w:r>
      <w:r w:rsidRPr="00B34368">
        <w:rPr>
          <w:rFonts w:eastAsiaTheme="minorEastAsia"/>
          <w:color w:val="000000" w:themeColor="text1"/>
          <w:sz w:val="24"/>
        </w:rPr>
        <w:t>类基金份额净值增长率为</w:t>
      </w:r>
      <w:r w:rsidRPr="00B34368">
        <w:rPr>
          <w:rFonts w:eastAsiaTheme="minorEastAsia"/>
          <w:color w:val="000000" w:themeColor="text1"/>
          <w:sz w:val="24"/>
        </w:rPr>
        <w:t>19.83%</w:t>
      </w:r>
      <w:r w:rsidRPr="00B34368">
        <w:rPr>
          <w:rFonts w:eastAsiaTheme="minorEastAsia"/>
          <w:color w:val="000000" w:themeColor="text1"/>
          <w:sz w:val="24"/>
        </w:rPr>
        <w:t>，同期业绩比较基准收益率为</w:t>
      </w:r>
      <w:r w:rsidRPr="00B34368">
        <w:rPr>
          <w:rFonts w:eastAsiaTheme="minorEastAsia"/>
          <w:color w:val="000000" w:themeColor="text1"/>
          <w:sz w:val="24"/>
        </w:rPr>
        <w:t>31.58%</w:t>
      </w:r>
      <w:r w:rsidRPr="00B34368">
        <w:rPr>
          <w:rFonts w:eastAsiaTheme="minorEastAsia"/>
          <w:color w:val="000000" w:themeColor="text1"/>
          <w:sz w:val="24"/>
        </w:rPr>
        <w:t>。</w:t>
      </w:r>
      <w:r w:rsidRPr="00B34368">
        <w:rPr>
          <w:rFonts w:eastAsiaTheme="minorEastAsia"/>
          <w:color w:val="000000" w:themeColor="text1"/>
          <w:sz w:val="24"/>
        </w:rPr>
        <w:t>C</w:t>
      </w:r>
      <w:r w:rsidRPr="00B34368">
        <w:rPr>
          <w:rFonts w:eastAsiaTheme="minorEastAsia"/>
          <w:color w:val="000000" w:themeColor="text1"/>
          <w:sz w:val="24"/>
        </w:rPr>
        <w:t>类基金份额净值增长率为</w:t>
      </w:r>
      <w:r w:rsidRPr="00B34368">
        <w:rPr>
          <w:rFonts w:eastAsiaTheme="minorEastAsia"/>
          <w:color w:val="000000" w:themeColor="text1"/>
          <w:sz w:val="24"/>
        </w:rPr>
        <w:t>15.54%</w:t>
      </w:r>
      <w:r w:rsidRPr="00B34368">
        <w:rPr>
          <w:rFonts w:eastAsiaTheme="minorEastAsia"/>
          <w:color w:val="000000" w:themeColor="text1"/>
          <w:sz w:val="24"/>
        </w:rPr>
        <w:t>，同期业绩比较基准收</w:t>
      </w:r>
      <w:r w:rsidRPr="00B34368">
        <w:rPr>
          <w:rFonts w:eastAsiaTheme="minorEastAsia"/>
          <w:color w:val="000000" w:themeColor="text1"/>
          <w:sz w:val="24"/>
        </w:rPr>
        <w:lastRenderedPageBreak/>
        <w:t>益率为</w:t>
      </w:r>
      <w:r w:rsidRPr="00B34368">
        <w:rPr>
          <w:rFonts w:eastAsiaTheme="minorEastAsia"/>
          <w:color w:val="000000" w:themeColor="text1"/>
          <w:sz w:val="24"/>
        </w:rPr>
        <w:t>17.98%</w:t>
      </w:r>
      <w:r w:rsidRPr="00B34368">
        <w:rPr>
          <w:rFonts w:eastAsiaTheme="minorEastAsia"/>
          <w:color w:val="000000" w:themeColor="text1"/>
          <w:sz w:val="24"/>
        </w:rPr>
        <w:t>。</w:t>
      </w:r>
    </w:p>
    <w:p w:rsidR="00E561F9" w:rsidRPr="00B34368" w:rsidRDefault="00E561F9" w:rsidP="00E561F9">
      <w:pPr>
        <w:tabs>
          <w:tab w:val="left" w:pos="1800"/>
        </w:tabs>
        <w:spacing w:line="288" w:lineRule="auto"/>
        <w:rPr>
          <w:rFonts w:eastAsiaTheme="minorEastAsia"/>
          <w:color w:val="000000" w:themeColor="text1"/>
          <w:sz w:val="24"/>
        </w:rPr>
      </w:pP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§4  </w:t>
      </w:r>
      <w:r w:rsidRPr="00B34368">
        <w:rPr>
          <w:rFonts w:eastAsiaTheme="minorEastAsia" w:hAnsiTheme="minorEastAsia"/>
          <w:color w:val="000000" w:themeColor="text1"/>
          <w:kern w:val="0"/>
          <w:sz w:val="24"/>
          <w:szCs w:val="24"/>
        </w:rPr>
        <w:t>管理人报告</w:t>
      </w:r>
    </w:p>
    <w:p w:rsidR="00C544B8" w:rsidRDefault="009238DB" w:rsidP="00C544B8">
      <w:pPr>
        <w:autoSpaceDE w:val="0"/>
        <w:autoSpaceDN w:val="0"/>
        <w:adjustRightInd w:val="0"/>
        <w:spacing w:line="360" w:lineRule="auto"/>
        <w:jc w:val="left"/>
        <w:rPr>
          <w:rFonts w:ascii="宋体" w:cs="Arial"/>
          <w:b/>
          <w:color w:val="000000"/>
          <w:kern w:val="0"/>
          <w:sz w:val="24"/>
        </w:rPr>
      </w:pPr>
      <w:r w:rsidRPr="00B34368">
        <w:rPr>
          <w:rFonts w:eastAsiaTheme="minorEastAsia"/>
          <w:b/>
          <w:color w:val="000000" w:themeColor="text1"/>
          <w:kern w:val="0"/>
          <w:sz w:val="24"/>
        </w:rPr>
        <w:t xml:space="preserve">4.1 </w:t>
      </w:r>
      <w:r w:rsidRPr="00B34368">
        <w:rPr>
          <w:rFonts w:eastAsiaTheme="minorEastAsia" w:hAnsiTheme="minorEastAsia"/>
          <w:b/>
          <w:color w:val="000000" w:themeColor="text1"/>
          <w:kern w:val="0"/>
          <w:sz w:val="24"/>
        </w:rPr>
        <w:t>基金经理（或基金经理小组）简介</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832"/>
        <w:gridCol w:w="851"/>
        <w:gridCol w:w="850"/>
        <w:gridCol w:w="851"/>
        <w:gridCol w:w="2975"/>
      </w:tblGrid>
      <w:tr w:rsidR="00C544B8" w:rsidTr="00C544B8">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姓名</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职务</w:t>
            </w:r>
          </w:p>
        </w:tc>
        <w:tc>
          <w:tcPr>
            <w:tcW w:w="1701" w:type="dxa"/>
            <w:gridSpan w:val="2"/>
            <w:tcBorders>
              <w:top w:val="single" w:sz="4" w:space="0" w:color="auto"/>
              <w:left w:val="single" w:sz="4" w:space="0" w:color="auto"/>
              <w:bottom w:val="single" w:sz="4" w:space="0" w:color="auto"/>
              <w:right w:val="single" w:sz="4" w:space="0" w:color="auto"/>
            </w:tcBorders>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任本基金的基金经理期限</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证券从业年限</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说明</w:t>
            </w:r>
          </w:p>
        </w:tc>
      </w:tr>
      <w:tr w:rsidR="00C544B8" w:rsidTr="00C544B8">
        <w:trPr>
          <w:cantSplit/>
        </w:trPr>
        <w:tc>
          <w:tcPr>
            <w:tcW w:w="893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任职日期</w:t>
            </w:r>
          </w:p>
        </w:tc>
        <w:tc>
          <w:tcPr>
            <w:tcW w:w="850"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离任日期</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r>
      <w:tr w:rsidR="00CE5465">
        <w:tc>
          <w:tcPr>
            <w:tcW w:w="566" w:type="dxa"/>
            <w:vAlign w:val="center"/>
          </w:tcPr>
          <w:p w:rsidR="00CE5465" w:rsidRDefault="00921BF3">
            <w:pPr>
              <w:jc w:val="center"/>
            </w:pPr>
            <w:r>
              <w:rPr>
                <w:color w:val="000000"/>
                <w:sz w:val="24"/>
              </w:rPr>
              <w:t>FAN BING(</w:t>
            </w:r>
            <w:r>
              <w:rPr>
                <w:color w:val="000000"/>
                <w:sz w:val="24"/>
              </w:rPr>
              <w:t>范冰</w:t>
            </w:r>
            <w:r>
              <w:rPr>
                <w:color w:val="000000"/>
                <w:sz w:val="24"/>
              </w:rPr>
              <w:t>)</w:t>
            </w:r>
          </w:p>
        </w:tc>
        <w:tc>
          <w:tcPr>
            <w:tcW w:w="2832" w:type="dxa"/>
            <w:vAlign w:val="center"/>
          </w:tcPr>
          <w:p w:rsidR="00CE5465" w:rsidRDefault="00921BF3">
            <w:pPr>
              <w:jc w:val="center"/>
            </w:pPr>
            <w:r>
              <w:rPr>
                <w:color w:val="000000"/>
                <w:sz w:val="24"/>
              </w:rPr>
              <w:t>本基金的基金经理、易方达中证海外中国互联网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交易型开放式指数证券投资基金的基金经理、易方达原油证券投资基金</w:t>
            </w:r>
            <w:r>
              <w:rPr>
                <w:color w:val="000000"/>
                <w:sz w:val="24"/>
              </w:rPr>
              <w:t>(QDII)</w:t>
            </w:r>
            <w:r>
              <w:rPr>
                <w:color w:val="000000"/>
                <w:sz w:val="24"/>
              </w:rPr>
              <w:t>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的基金经理、易方达黄金交易型开放式证券投资基金的基金经理、易方达标普医疗保健指数证券投资基金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w:t>
            </w:r>
            <w:r>
              <w:rPr>
                <w:color w:val="000000"/>
                <w:sz w:val="24"/>
              </w:rPr>
              <w:t>物科技指数证券投资基金</w:t>
            </w:r>
            <w:r>
              <w:rPr>
                <w:color w:val="000000"/>
                <w:sz w:val="24"/>
              </w:rPr>
              <w:t>(LOF)</w:t>
            </w:r>
            <w:r>
              <w:rPr>
                <w:color w:val="000000"/>
                <w:sz w:val="24"/>
              </w:rPr>
              <w:t>的基金经理、易方达标普全球高端消费品指数增强型证券投资基金的基金经理、易方达标普</w:t>
            </w:r>
            <w:r>
              <w:rPr>
                <w:color w:val="000000"/>
                <w:sz w:val="24"/>
              </w:rPr>
              <w:t>500</w:t>
            </w:r>
            <w:r>
              <w:rPr>
                <w:color w:val="000000"/>
                <w:sz w:val="24"/>
              </w:rPr>
              <w:t>指数证券投资基金</w:t>
            </w:r>
            <w:r>
              <w:rPr>
                <w:color w:val="000000"/>
                <w:sz w:val="24"/>
              </w:rPr>
              <w:t>(LOF)</w:t>
            </w:r>
            <w:r>
              <w:rPr>
                <w:color w:val="000000"/>
                <w:sz w:val="24"/>
              </w:rPr>
              <w:t>的基金经理、易方达</w:t>
            </w:r>
            <w:r>
              <w:rPr>
                <w:color w:val="000000"/>
                <w:sz w:val="24"/>
              </w:rPr>
              <w:t>MSCI</w:t>
            </w:r>
            <w:r>
              <w:rPr>
                <w:color w:val="000000"/>
                <w:sz w:val="24"/>
              </w:rPr>
              <w:t>中国</w:t>
            </w:r>
            <w:r>
              <w:rPr>
                <w:color w:val="000000"/>
                <w:sz w:val="24"/>
              </w:rPr>
              <w:t>A</w:t>
            </w:r>
            <w:r>
              <w:rPr>
                <w:color w:val="000000"/>
                <w:sz w:val="24"/>
              </w:rPr>
              <w:t>股国际通交易型</w:t>
            </w:r>
            <w:r>
              <w:rPr>
                <w:color w:val="000000"/>
                <w:sz w:val="24"/>
              </w:rPr>
              <w:lastRenderedPageBreak/>
              <w:t>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851" w:type="dxa"/>
            <w:vAlign w:val="center"/>
          </w:tcPr>
          <w:p w:rsidR="00CE5465" w:rsidRDefault="00921BF3">
            <w:pPr>
              <w:jc w:val="center"/>
            </w:pPr>
            <w:r>
              <w:rPr>
                <w:color w:val="000000"/>
                <w:sz w:val="24"/>
              </w:rPr>
              <w:lastRenderedPageBreak/>
              <w:t>2017-03-25</w:t>
            </w:r>
          </w:p>
        </w:tc>
        <w:tc>
          <w:tcPr>
            <w:tcW w:w="850" w:type="dxa"/>
            <w:vAlign w:val="center"/>
          </w:tcPr>
          <w:p w:rsidR="00CE5465" w:rsidRDefault="00921BF3">
            <w:pPr>
              <w:jc w:val="center"/>
            </w:pPr>
            <w:r>
              <w:rPr>
                <w:color w:val="000000"/>
                <w:sz w:val="24"/>
              </w:rPr>
              <w:t>-</w:t>
            </w:r>
          </w:p>
        </w:tc>
        <w:tc>
          <w:tcPr>
            <w:tcW w:w="851" w:type="dxa"/>
            <w:vAlign w:val="center"/>
          </w:tcPr>
          <w:p w:rsidR="00CE5465" w:rsidRDefault="00921BF3">
            <w:pPr>
              <w:jc w:val="center"/>
            </w:pPr>
            <w:r>
              <w:rPr>
                <w:color w:val="000000"/>
                <w:sz w:val="24"/>
              </w:rPr>
              <w:t>14</w:t>
            </w:r>
            <w:r>
              <w:rPr>
                <w:color w:val="000000"/>
                <w:sz w:val="24"/>
              </w:rPr>
              <w:t>年</w:t>
            </w:r>
          </w:p>
        </w:tc>
        <w:tc>
          <w:tcPr>
            <w:tcW w:w="2975" w:type="dxa"/>
            <w:vAlign w:val="center"/>
          </w:tcPr>
          <w:p w:rsidR="00CE5465" w:rsidRDefault="00921BF3">
            <w:r>
              <w:rPr>
                <w:color w:val="000000"/>
                <w:sz w:val="24"/>
              </w:rPr>
              <w:t>新加坡籍，硕士研究生，曾任皇家加拿大银行托管部核算专员，美国道富集团</w:t>
            </w:r>
            <w:r>
              <w:rPr>
                <w:color w:val="000000"/>
                <w:sz w:val="24"/>
              </w:rPr>
              <w:t>Middle Office</w:t>
            </w:r>
            <w:r>
              <w:rPr>
                <w:color w:val="000000"/>
                <w:sz w:val="24"/>
              </w:rPr>
              <w:t>中台交易支持专员，巴克莱资产管理公司悉尼金融数据部高级金融数据分析员、悉尼金融</w:t>
            </w:r>
            <w:r>
              <w:rPr>
                <w:color w:val="000000"/>
                <w:sz w:val="24"/>
              </w:rPr>
              <w:t>数据部主管、新加坡金融数据部主管，贝莱德集团金融数据运营部部门经理、风险控制与咨询部客户经理、亚太股票指数基金部基金经理。</w:t>
            </w:r>
          </w:p>
        </w:tc>
      </w:tr>
      <w:tr w:rsidR="00CE5465">
        <w:tc>
          <w:tcPr>
            <w:tcW w:w="566" w:type="dxa"/>
            <w:vAlign w:val="center"/>
          </w:tcPr>
          <w:p w:rsidR="00CE5465" w:rsidRDefault="00921BF3">
            <w:pPr>
              <w:jc w:val="center"/>
            </w:pPr>
            <w:r>
              <w:rPr>
                <w:color w:val="000000"/>
                <w:sz w:val="24"/>
              </w:rPr>
              <w:t>余海燕</w:t>
            </w:r>
          </w:p>
        </w:tc>
        <w:tc>
          <w:tcPr>
            <w:tcW w:w="2832" w:type="dxa"/>
            <w:vAlign w:val="center"/>
          </w:tcPr>
          <w:p w:rsidR="00CE5465" w:rsidRDefault="00921BF3">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w:t>
            </w:r>
            <w:r>
              <w:rPr>
                <w:color w:val="000000"/>
                <w:sz w:val="24"/>
              </w:rPr>
              <w:t>易型开放式指数证券投资基金发起式联接基金的基金经理、易方达上证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的基金经理、易方达军工指数分级证券投资基金的基金经理、易方达黄金交易型开放式证券投资基金的基金经理、易方达沪深</w:t>
            </w:r>
            <w:r>
              <w:rPr>
                <w:color w:val="000000"/>
                <w:sz w:val="24"/>
              </w:rPr>
              <w:t>300</w:t>
            </w:r>
            <w:r>
              <w:rPr>
                <w:color w:val="000000"/>
                <w:sz w:val="24"/>
              </w:rPr>
              <w:t>医药卫生交易型开放</w:t>
            </w:r>
            <w:r>
              <w:rPr>
                <w:color w:val="000000"/>
                <w:sz w:val="24"/>
              </w:rPr>
              <w:lastRenderedPageBreak/>
              <w:t>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300</w:t>
            </w:r>
            <w:r>
              <w:rPr>
                <w:color w:val="000000"/>
                <w:sz w:val="24"/>
              </w:rPr>
              <w:t>交易型开放式指数发起</w:t>
            </w:r>
            <w:r>
              <w:rPr>
                <w:color w:val="000000"/>
                <w:sz w:val="24"/>
              </w:rPr>
              <w:t>式证券投资基金的基金经理、易方达沪深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851" w:type="dxa"/>
            <w:vAlign w:val="center"/>
          </w:tcPr>
          <w:p w:rsidR="00CE5465" w:rsidRDefault="00921BF3">
            <w:pPr>
              <w:jc w:val="center"/>
            </w:pPr>
            <w:r>
              <w:rPr>
                <w:color w:val="000000"/>
                <w:sz w:val="24"/>
              </w:rPr>
              <w:lastRenderedPageBreak/>
              <w:t>2018-08-11</w:t>
            </w:r>
          </w:p>
        </w:tc>
        <w:tc>
          <w:tcPr>
            <w:tcW w:w="850" w:type="dxa"/>
            <w:vAlign w:val="center"/>
          </w:tcPr>
          <w:p w:rsidR="00CE5465" w:rsidRDefault="00921BF3">
            <w:pPr>
              <w:jc w:val="center"/>
            </w:pPr>
            <w:r>
              <w:rPr>
                <w:color w:val="000000"/>
                <w:sz w:val="24"/>
              </w:rPr>
              <w:t>-</w:t>
            </w:r>
          </w:p>
        </w:tc>
        <w:tc>
          <w:tcPr>
            <w:tcW w:w="851" w:type="dxa"/>
            <w:vAlign w:val="center"/>
          </w:tcPr>
          <w:p w:rsidR="00CE5465" w:rsidRDefault="00921BF3">
            <w:pPr>
              <w:jc w:val="center"/>
            </w:pPr>
            <w:r>
              <w:rPr>
                <w:color w:val="000000"/>
                <w:sz w:val="24"/>
              </w:rPr>
              <w:t>14</w:t>
            </w:r>
            <w:r>
              <w:rPr>
                <w:color w:val="000000"/>
                <w:sz w:val="24"/>
              </w:rPr>
              <w:t>年</w:t>
            </w:r>
          </w:p>
        </w:tc>
        <w:tc>
          <w:tcPr>
            <w:tcW w:w="2975" w:type="dxa"/>
            <w:vAlign w:val="center"/>
          </w:tcPr>
          <w:p w:rsidR="00CE5465" w:rsidRDefault="00921BF3">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w:t>
            </w:r>
            <w:r>
              <w:rPr>
                <w:color w:val="000000"/>
                <w:sz w:val="24"/>
              </w:rPr>
              <w:t>达基金管理有限公司投资发展部产品经理。</w:t>
            </w:r>
          </w:p>
        </w:tc>
      </w:tr>
    </w:tbl>
    <w:p w:rsidR="00CE5465" w:rsidRDefault="00921BF3">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5C7D00" w:rsidRPr="00B34368" w:rsidRDefault="00C544B8" w:rsidP="00547A9A">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2.</w:t>
      </w:r>
      <w:r>
        <w:rPr>
          <w:color w:val="000000"/>
          <w:sz w:val="24"/>
        </w:rPr>
        <w:t>证券从业的含义遵从《证券业从业人员资格管理办法》的相关规定。</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4.2</w:t>
      </w:r>
      <w:r w:rsidR="00B34368" w:rsidRPr="00B34368">
        <w:rPr>
          <w:rFonts w:eastAsiaTheme="minorEastAsia" w:hAnsiTheme="minorEastAsia"/>
          <w:b/>
          <w:color w:val="000000" w:themeColor="text1"/>
          <w:kern w:val="0"/>
          <w:sz w:val="24"/>
        </w:rPr>
        <w:t>管理人对</w:t>
      </w:r>
      <w:r w:rsidRPr="00B34368">
        <w:rPr>
          <w:rFonts w:eastAsiaTheme="minorEastAsia" w:hAnsiTheme="minorEastAsia"/>
          <w:b/>
          <w:color w:val="000000" w:themeColor="text1"/>
          <w:kern w:val="0"/>
          <w:sz w:val="24"/>
        </w:rPr>
        <w:t>报告期内本基金运作遵规守信情况</w:t>
      </w:r>
      <w:r w:rsidR="002F7889" w:rsidRPr="002F7889">
        <w:rPr>
          <w:rFonts w:eastAsiaTheme="minorEastAsia" w:hAnsiTheme="minorEastAsia"/>
          <w:b/>
          <w:color w:val="000000" w:themeColor="text1"/>
          <w:kern w:val="0"/>
          <w:sz w:val="24"/>
        </w:rPr>
        <w:t>的</w:t>
      </w:r>
      <w:r w:rsidRPr="00B34368">
        <w:rPr>
          <w:rFonts w:eastAsiaTheme="minorEastAsia" w:hAnsiTheme="minorEastAsia"/>
          <w:b/>
          <w:color w:val="000000" w:themeColor="text1"/>
          <w:kern w:val="0"/>
          <w:sz w:val="24"/>
        </w:rPr>
        <w:t>说明</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4.3 </w:t>
      </w:r>
      <w:r w:rsidRPr="00B34368">
        <w:rPr>
          <w:rFonts w:eastAsiaTheme="minorEastAsia" w:hAnsiTheme="minorEastAsia"/>
          <w:b/>
          <w:color w:val="000000" w:themeColor="text1"/>
          <w:kern w:val="0"/>
          <w:sz w:val="24"/>
        </w:rPr>
        <w:t>公平交易专项说明</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lastRenderedPageBreak/>
        <w:t xml:space="preserve">4.3.1 </w:t>
      </w:r>
      <w:r w:rsidRPr="00B34368">
        <w:rPr>
          <w:rFonts w:eastAsiaTheme="minorEastAsia" w:hAnsiTheme="minorEastAsia"/>
          <w:color w:val="000000" w:themeColor="text1"/>
          <w:sz w:val="24"/>
        </w:rPr>
        <w:t>公平交易制度的执行情况</w:t>
      </w:r>
    </w:p>
    <w:p w:rsidR="00D15733"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B34368">
        <w:rPr>
          <w:rFonts w:eastAsiaTheme="minorEastAsia"/>
          <w:color w:val="000000" w:themeColor="text1"/>
          <w:sz w:val="24"/>
        </w:rPr>
        <w:t>“</w:t>
      </w:r>
      <w:r w:rsidRPr="00B34368">
        <w:rPr>
          <w:rFonts w:eastAsiaTheme="minorEastAsia"/>
          <w:color w:val="000000" w:themeColor="text1"/>
          <w:sz w:val="24"/>
        </w:rPr>
        <w:t>时间优先、价格优先</w:t>
      </w:r>
      <w:r w:rsidRPr="00B34368">
        <w:rPr>
          <w:rFonts w:eastAsiaTheme="minorEastAsia"/>
          <w:color w:val="000000" w:themeColor="text1"/>
          <w:sz w:val="24"/>
        </w:rPr>
        <w:t>”</w:t>
      </w:r>
      <w:r w:rsidRPr="00B34368">
        <w:rPr>
          <w:rFonts w:eastAsiaTheme="minorEastAsia"/>
          <w:color w:val="000000" w:themeColor="text1"/>
          <w:sz w:val="24"/>
        </w:rPr>
        <w:t>作为执行指令的基本原则，通过投资交易系统中的公平交易模块，以尽可能确保公平对待各投资组合。本报告期内，公平交易制度总体执行情况良好。</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4.3.</w:t>
      </w:r>
      <w:r w:rsidR="005B6047" w:rsidRPr="00B34368">
        <w:rPr>
          <w:rFonts w:eastAsiaTheme="minorEastAsia"/>
          <w:color w:val="000000" w:themeColor="text1"/>
          <w:sz w:val="24"/>
        </w:rPr>
        <w:t>2</w:t>
      </w:r>
      <w:r w:rsidRPr="00B34368">
        <w:rPr>
          <w:rFonts w:eastAsiaTheme="minorEastAsia"/>
          <w:color w:val="000000" w:themeColor="text1"/>
          <w:sz w:val="24"/>
        </w:rPr>
        <w:t xml:space="preserve"> </w:t>
      </w:r>
      <w:r w:rsidRPr="00B34368">
        <w:rPr>
          <w:rFonts w:eastAsiaTheme="minorEastAsia" w:hAnsiTheme="minorEastAsia"/>
          <w:color w:val="000000" w:themeColor="text1"/>
          <w:sz w:val="24"/>
        </w:rPr>
        <w:t>异常交易行为的专项说明</w:t>
      </w:r>
    </w:p>
    <w:p w:rsidR="00CE5465" w:rsidRDefault="00921BF3">
      <w:pPr>
        <w:spacing w:line="360" w:lineRule="auto"/>
        <w:ind w:firstLineChars="200" w:firstLine="480"/>
        <w:rPr>
          <w:rFonts w:eastAsiaTheme="minorEastAsia"/>
          <w:color w:val="000000" w:themeColor="text1"/>
          <w:sz w:val="24"/>
        </w:rPr>
      </w:pPr>
      <w:r>
        <w:rPr>
          <w:rFonts w:eastAsiaTheme="minorEastAsia"/>
          <w:color w:val="000000" w:themeColor="text1"/>
          <w:sz w:val="24"/>
        </w:rPr>
        <w:t>本报告期内，公司旗下所有投资组合参与的交易所公开竞价交易中，同日反向交</w:t>
      </w:r>
      <w:r>
        <w:rPr>
          <w:rFonts w:eastAsiaTheme="minorEastAsia"/>
          <w:color w:val="000000" w:themeColor="text1"/>
          <w:sz w:val="24"/>
        </w:rPr>
        <w:t>易成交较少的单边交易量超过该证券当日成交量的</w:t>
      </w:r>
      <w:r>
        <w:rPr>
          <w:rFonts w:eastAsiaTheme="minorEastAsia"/>
          <w:color w:val="000000" w:themeColor="text1"/>
          <w:sz w:val="24"/>
        </w:rPr>
        <w:t>5%</w:t>
      </w:r>
      <w:r>
        <w:rPr>
          <w:rFonts w:eastAsiaTheme="minorEastAsia"/>
          <w:color w:val="000000" w:themeColor="text1"/>
          <w:sz w:val="24"/>
        </w:rPr>
        <w:t>的交易共</w:t>
      </w:r>
      <w:r>
        <w:rPr>
          <w:rFonts w:eastAsiaTheme="minorEastAsia"/>
          <w:color w:val="000000" w:themeColor="text1"/>
          <w:sz w:val="24"/>
        </w:rPr>
        <w:t>26</w:t>
      </w:r>
      <w:r>
        <w:rPr>
          <w:rFonts w:eastAsiaTheme="minorEastAsia"/>
          <w:color w:val="000000" w:themeColor="text1"/>
          <w:sz w:val="24"/>
        </w:rPr>
        <w:t>次，均为指数量化投资组合因投资策略需要和其他组合发生的反向交易。</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本报告期内，未发现本基金有可能导致不公平交易和利益输送的异常交易。</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4.4 </w:t>
      </w:r>
      <w:r w:rsidRPr="00B34368">
        <w:rPr>
          <w:rFonts w:eastAsiaTheme="minorEastAsia" w:hAnsiTheme="minorEastAsia"/>
          <w:b/>
          <w:color w:val="000000" w:themeColor="text1"/>
          <w:kern w:val="0"/>
          <w:sz w:val="24"/>
        </w:rPr>
        <w:t>报告期内基金的投资策略和业绩表现说明</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4.4.1</w:t>
      </w:r>
      <w:r w:rsidRPr="00B34368">
        <w:rPr>
          <w:rFonts w:eastAsiaTheme="minorEastAsia" w:hAnsiTheme="minorEastAsia"/>
          <w:color w:val="000000" w:themeColor="text1"/>
          <w:sz w:val="24"/>
        </w:rPr>
        <w:t>报告期内基金投资策略和运作分析</w:t>
      </w:r>
    </w:p>
    <w:p w:rsidR="00CE5465" w:rsidRDefault="00921BF3">
      <w:pPr>
        <w:spacing w:line="360" w:lineRule="auto"/>
        <w:ind w:firstLineChars="200" w:firstLine="480"/>
        <w:rPr>
          <w:rFonts w:eastAsiaTheme="minorEastAsia"/>
          <w:color w:val="000000" w:themeColor="text1"/>
          <w:sz w:val="24"/>
        </w:rPr>
      </w:pPr>
      <w:r>
        <w:rPr>
          <w:rFonts w:eastAsiaTheme="minorEastAsia"/>
          <w:color w:val="000000" w:themeColor="text1"/>
          <w:sz w:val="24"/>
        </w:rPr>
        <w:t>回顾</w:t>
      </w:r>
      <w:r>
        <w:rPr>
          <w:rFonts w:eastAsiaTheme="minorEastAsia"/>
          <w:color w:val="000000" w:themeColor="text1"/>
          <w:sz w:val="24"/>
        </w:rPr>
        <w:t>2019</w:t>
      </w:r>
      <w:r>
        <w:rPr>
          <w:rFonts w:eastAsiaTheme="minorEastAsia"/>
          <w:color w:val="000000" w:themeColor="text1"/>
          <w:sz w:val="24"/>
        </w:rPr>
        <w:t>年三季度，全球经济增长动能放缓，美国经济面临的压力进一步加大，就业和制造业</w:t>
      </w:r>
      <w:r>
        <w:rPr>
          <w:rFonts w:eastAsiaTheme="minorEastAsia"/>
          <w:color w:val="000000" w:themeColor="text1"/>
          <w:sz w:val="24"/>
        </w:rPr>
        <w:t>PMI</w:t>
      </w:r>
      <w:r>
        <w:rPr>
          <w:rFonts w:eastAsiaTheme="minorEastAsia"/>
          <w:color w:val="000000" w:themeColor="text1"/>
          <w:sz w:val="24"/>
        </w:rPr>
        <w:t>等宏观经济指标不达预期。美联储</w:t>
      </w:r>
      <w:r>
        <w:rPr>
          <w:rFonts w:eastAsiaTheme="minorEastAsia"/>
          <w:color w:val="000000" w:themeColor="text1"/>
          <w:sz w:val="24"/>
        </w:rPr>
        <w:t>7</w:t>
      </w:r>
      <w:r>
        <w:rPr>
          <w:rFonts w:eastAsiaTheme="minorEastAsia"/>
          <w:color w:val="000000" w:themeColor="text1"/>
          <w:sz w:val="24"/>
        </w:rPr>
        <w:t>月如期降息但指引偏鹰派，紧随其后的贸易摩擦升级推升了市场的避险情绪，美债收益率出现了倒挂的情形。</w:t>
      </w:r>
      <w:r>
        <w:rPr>
          <w:rFonts w:eastAsiaTheme="minorEastAsia"/>
          <w:color w:val="000000" w:themeColor="text1"/>
          <w:sz w:val="24"/>
        </w:rPr>
        <w:t>9</w:t>
      </w:r>
      <w:r>
        <w:rPr>
          <w:rFonts w:eastAsiaTheme="minorEastAsia"/>
          <w:color w:val="000000" w:themeColor="text1"/>
          <w:sz w:val="24"/>
        </w:rPr>
        <w:t>月以来，</w:t>
      </w:r>
      <w:r>
        <w:rPr>
          <w:rFonts w:eastAsiaTheme="minorEastAsia"/>
          <w:color w:val="000000" w:themeColor="text1"/>
          <w:sz w:val="24"/>
        </w:rPr>
        <w:t>美联储再次降息</w:t>
      </w:r>
      <w:r>
        <w:rPr>
          <w:rFonts w:eastAsiaTheme="minorEastAsia"/>
          <w:color w:val="000000" w:themeColor="text1"/>
          <w:sz w:val="24"/>
        </w:rPr>
        <w:t>0.25%</w:t>
      </w:r>
      <w:r>
        <w:rPr>
          <w:rFonts w:eastAsiaTheme="minorEastAsia"/>
          <w:color w:val="000000" w:themeColor="text1"/>
          <w:sz w:val="24"/>
        </w:rPr>
        <w:t>，货币宽松节奏加快，中美贸易谈判前景仍然充满不确定性。欧洲</w:t>
      </w:r>
      <w:r>
        <w:rPr>
          <w:rFonts w:eastAsiaTheme="minorEastAsia"/>
          <w:color w:val="000000" w:themeColor="text1"/>
          <w:sz w:val="24"/>
        </w:rPr>
        <w:t>PMI</w:t>
      </w:r>
      <w:r>
        <w:rPr>
          <w:rFonts w:eastAsiaTheme="minorEastAsia"/>
          <w:color w:val="000000" w:themeColor="text1"/>
          <w:sz w:val="24"/>
        </w:rPr>
        <w:t>低于预期，英国硬脱欧的风险加大，全球主要央行竞相通过宽松的货币政策应对经济下行的压力，推动金价在三季度走高，并一度突破</w:t>
      </w:r>
      <w:r>
        <w:rPr>
          <w:rFonts w:eastAsiaTheme="minorEastAsia"/>
          <w:color w:val="000000" w:themeColor="text1"/>
          <w:sz w:val="24"/>
        </w:rPr>
        <w:t>1550</w:t>
      </w:r>
      <w:r>
        <w:rPr>
          <w:rFonts w:eastAsiaTheme="minorEastAsia"/>
          <w:color w:val="000000" w:themeColor="text1"/>
          <w:sz w:val="24"/>
        </w:rPr>
        <w:t>美元</w:t>
      </w:r>
      <w:r>
        <w:rPr>
          <w:rFonts w:eastAsiaTheme="minorEastAsia"/>
          <w:color w:val="000000" w:themeColor="text1"/>
          <w:sz w:val="24"/>
        </w:rPr>
        <w:t>/</w:t>
      </w:r>
      <w:r>
        <w:rPr>
          <w:rFonts w:eastAsiaTheme="minorEastAsia"/>
          <w:color w:val="000000" w:themeColor="text1"/>
          <w:sz w:val="24"/>
        </w:rPr>
        <w:t>盎司。</w:t>
      </w:r>
    </w:p>
    <w:p w:rsidR="00952A72"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作为被动管理型基金，报告期内，本基金紧密跟踪上海黄金交易所</w:t>
      </w:r>
      <w:r w:rsidRPr="00B34368">
        <w:rPr>
          <w:rFonts w:eastAsiaTheme="minorEastAsia"/>
          <w:color w:val="000000" w:themeColor="text1"/>
          <w:sz w:val="24"/>
        </w:rPr>
        <w:t>Au99.99</w:t>
      </w:r>
      <w:r w:rsidRPr="00B34368">
        <w:rPr>
          <w:rFonts w:eastAsiaTheme="minorEastAsia"/>
          <w:color w:val="000000" w:themeColor="text1"/>
          <w:sz w:val="24"/>
        </w:rPr>
        <w:t>现货实盘合约价格，取得与业绩比较基准基本一致的业绩表现。</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4.4.2</w:t>
      </w:r>
      <w:r w:rsidRPr="00B34368">
        <w:rPr>
          <w:rFonts w:eastAsiaTheme="minorEastAsia" w:hAnsiTheme="minorEastAsia"/>
          <w:color w:val="000000" w:themeColor="text1"/>
          <w:sz w:val="24"/>
        </w:rPr>
        <w:t>报告期内基金的业绩表现</w:t>
      </w:r>
    </w:p>
    <w:p w:rsidR="008129C0" w:rsidRPr="00F405D4" w:rsidRDefault="00323F25" w:rsidP="00F405D4">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截至报告期末，本基金</w:t>
      </w:r>
      <w:r w:rsidRPr="00B34368">
        <w:rPr>
          <w:rFonts w:eastAsiaTheme="minorEastAsia"/>
          <w:color w:val="000000" w:themeColor="text1"/>
          <w:sz w:val="24"/>
        </w:rPr>
        <w:t>A</w:t>
      </w:r>
      <w:r w:rsidRPr="00B34368">
        <w:rPr>
          <w:rFonts w:eastAsiaTheme="minorEastAsia"/>
          <w:color w:val="000000" w:themeColor="text1"/>
          <w:sz w:val="24"/>
        </w:rPr>
        <w:t>类基金份额净值为</w:t>
      </w:r>
      <w:r w:rsidRPr="00B34368">
        <w:rPr>
          <w:rFonts w:eastAsiaTheme="minorEastAsia"/>
          <w:color w:val="000000" w:themeColor="text1"/>
          <w:sz w:val="24"/>
        </w:rPr>
        <w:t>1.1983</w:t>
      </w:r>
      <w:r w:rsidRPr="00B34368">
        <w:rPr>
          <w:rFonts w:eastAsiaTheme="minorEastAsia"/>
          <w:color w:val="000000" w:themeColor="text1"/>
          <w:sz w:val="24"/>
        </w:rPr>
        <w:t>元，本报告期份额净值增长率为</w:t>
      </w:r>
      <w:r w:rsidRPr="00B34368">
        <w:rPr>
          <w:rFonts w:eastAsiaTheme="minorEastAsia"/>
          <w:color w:val="000000" w:themeColor="text1"/>
          <w:sz w:val="24"/>
        </w:rPr>
        <w:t>8.84%</w:t>
      </w:r>
      <w:r w:rsidRPr="00B34368">
        <w:rPr>
          <w:rFonts w:eastAsiaTheme="minorEastAsia"/>
          <w:color w:val="000000" w:themeColor="text1"/>
          <w:sz w:val="24"/>
        </w:rPr>
        <w:t>；</w:t>
      </w:r>
      <w:r w:rsidRPr="00B34368">
        <w:rPr>
          <w:rFonts w:eastAsiaTheme="minorEastAsia"/>
          <w:color w:val="000000" w:themeColor="text1"/>
          <w:sz w:val="24"/>
        </w:rPr>
        <w:t>C</w:t>
      </w:r>
      <w:r w:rsidRPr="00B34368">
        <w:rPr>
          <w:rFonts w:eastAsiaTheme="minorEastAsia"/>
          <w:color w:val="000000" w:themeColor="text1"/>
          <w:sz w:val="24"/>
        </w:rPr>
        <w:t>类基金份额净值为</w:t>
      </w:r>
      <w:r w:rsidRPr="00B34368">
        <w:rPr>
          <w:rFonts w:eastAsiaTheme="minorEastAsia"/>
          <w:color w:val="000000" w:themeColor="text1"/>
          <w:sz w:val="24"/>
        </w:rPr>
        <w:t>1.1890</w:t>
      </w:r>
      <w:r w:rsidRPr="00B34368">
        <w:rPr>
          <w:rFonts w:eastAsiaTheme="minorEastAsia"/>
          <w:color w:val="000000" w:themeColor="text1"/>
          <w:sz w:val="24"/>
        </w:rPr>
        <w:t>元，本报告期份额净值增长率为</w:t>
      </w:r>
      <w:r w:rsidRPr="00B34368">
        <w:rPr>
          <w:rFonts w:eastAsiaTheme="minorEastAsia"/>
          <w:color w:val="000000" w:themeColor="text1"/>
          <w:sz w:val="24"/>
        </w:rPr>
        <w:t>8.81%</w:t>
      </w:r>
      <w:r w:rsidRPr="00B34368">
        <w:rPr>
          <w:rFonts w:eastAsiaTheme="minorEastAsia"/>
          <w:color w:val="000000" w:themeColor="text1"/>
          <w:sz w:val="24"/>
        </w:rPr>
        <w:t>；同期业绩比较基准收益率为</w:t>
      </w:r>
      <w:r w:rsidRPr="00B34368">
        <w:rPr>
          <w:rFonts w:eastAsiaTheme="minorEastAsia"/>
          <w:color w:val="000000" w:themeColor="text1"/>
          <w:sz w:val="24"/>
        </w:rPr>
        <w:t>9.09%</w:t>
      </w:r>
      <w:r w:rsidRPr="00B34368">
        <w:rPr>
          <w:rFonts w:eastAsiaTheme="minorEastAsia"/>
          <w:color w:val="000000" w:themeColor="text1"/>
          <w:sz w:val="24"/>
        </w:rPr>
        <w:t>。年化跟踪误差</w:t>
      </w:r>
      <w:r w:rsidRPr="00B34368">
        <w:rPr>
          <w:rFonts w:eastAsiaTheme="minorEastAsia"/>
          <w:color w:val="000000" w:themeColor="text1"/>
          <w:sz w:val="24"/>
        </w:rPr>
        <w:t>0.322%</w:t>
      </w:r>
      <w:r w:rsidRPr="00B34368">
        <w:rPr>
          <w:rFonts w:eastAsiaTheme="minorEastAsia"/>
          <w:color w:val="000000" w:themeColor="text1"/>
          <w:sz w:val="24"/>
        </w:rPr>
        <w:t>，在合同规定的目标控制范围之内。</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lastRenderedPageBreak/>
        <w:t xml:space="preserve">§5  </w:t>
      </w:r>
      <w:r w:rsidRPr="00B34368">
        <w:rPr>
          <w:rFonts w:eastAsiaTheme="minorEastAsia" w:hAnsiTheme="minorEastAsia"/>
          <w:color w:val="000000" w:themeColor="text1"/>
          <w:kern w:val="0"/>
          <w:sz w:val="24"/>
          <w:szCs w:val="24"/>
        </w:rPr>
        <w:t>投资组合报告</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5.1 </w:t>
      </w:r>
      <w:r w:rsidRPr="00B34368">
        <w:rPr>
          <w:rFonts w:eastAsiaTheme="minorEastAsia" w:hAnsiTheme="minorEastAsia"/>
          <w:b/>
          <w:color w:val="000000" w:themeColor="text1"/>
          <w:kern w:val="0"/>
          <w:sz w:val="24"/>
        </w:rPr>
        <w:t>报告期末基金资产组合情况</w:t>
      </w:r>
    </w:p>
    <w:tbl>
      <w:tblPr>
        <w:tblStyle w:val="af2"/>
        <w:tblW w:w="0" w:type="auto"/>
        <w:tblInd w:w="108" w:type="dxa"/>
        <w:tblLayout w:type="fixed"/>
        <w:tblLook w:val="04A0" w:firstRow="1" w:lastRow="0" w:firstColumn="1" w:lastColumn="0" w:noHBand="0" w:noVBand="1"/>
      </w:tblPr>
      <w:tblGrid>
        <w:gridCol w:w="720"/>
        <w:gridCol w:w="3357"/>
        <w:gridCol w:w="2694"/>
        <w:gridCol w:w="1757"/>
      </w:tblGrid>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33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项目</w:t>
            </w:r>
          </w:p>
        </w:tc>
        <w:tc>
          <w:tcPr>
            <w:tcW w:w="2694"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金额</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占基金总资产的比例</w:t>
            </w: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权益投资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其中：股票</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基金投资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1,225,043,003.18</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92.23</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3</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固定收益投资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19,996,000.00</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1.51</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其中：债券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19,996,000.00</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1.51</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B34368">
            <w:pPr>
              <w:autoSpaceDE w:val="0"/>
              <w:autoSpaceDN w:val="0"/>
              <w:adjustRightInd w:val="0"/>
              <w:spacing w:before="29" w:line="360" w:lineRule="auto"/>
              <w:ind w:left="17" w:firstLineChars="300" w:firstLine="720"/>
              <w:jc w:val="left"/>
              <w:rPr>
                <w:rFonts w:eastAsiaTheme="minorEastAsia"/>
                <w:color w:val="000000" w:themeColor="text1"/>
                <w:sz w:val="24"/>
              </w:rPr>
            </w:pPr>
            <w:r w:rsidRPr="00B34368">
              <w:rPr>
                <w:rFonts w:eastAsiaTheme="minorEastAsia" w:hAnsiTheme="minorEastAsia"/>
                <w:color w:val="000000" w:themeColor="text1"/>
                <w:sz w:val="24"/>
              </w:rPr>
              <w:t>资产支持证券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tcPr>
          <w:p w:rsidR="00B007B6" w:rsidRPr="00B34368" w:rsidRDefault="00B007B6" w:rsidP="00DD272F">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4</w:t>
            </w:r>
          </w:p>
        </w:tc>
        <w:tc>
          <w:tcPr>
            <w:tcW w:w="3357" w:type="dxa"/>
          </w:tcPr>
          <w:p w:rsidR="00B007B6" w:rsidRPr="00B34368" w:rsidRDefault="00B007B6" w:rsidP="00DD272F">
            <w:pPr>
              <w:spacing w:before="29" w:line="360" w:lineRule="auto"/>
              <w:ind w:leftChars="50" w:left="105"/>
              <w:rPr>
                <w:rFonts w:eastAsiaTheme="minorEastAsia"/>
                <w:color w:val="000000" w:themeColor="text1"/>
                <w:sz w:val="24"/>
              </w:rPr>
            </w:pPr>
            <w:r w:rsidRPr="00B34368">
              <w:rPr>
                <w:rFonts w:eastAsiaTheme="minorEastAsia" w:hAnsiTheme="minorEastAsia"/>
                <w:color w:val="000000" w:themeColor="text1"/>
                <w:sz w:val="24"/>
              </w:rPr>
              <w:t>贵金属投资</w:t>
            </w:r>
          </w:p>
        </w:tc>
        <w:tc>
          <w:tcPr>
            <w:tcW w:w="2694"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5</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金融衍生品投资</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6</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其中：买断式回购的买入返售金融资产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7</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银行存款和结算备付金合计</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58,562,196.07</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4.41</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8</w:t>
            </w:r>
          </w:p>
        </w:tc>
        <w:tc>
          <w:tcPr>
            <w:tcW w:w="3357" w:type="dxa"/>
            <w:vAlign w:val="center"/>
          </w:tcPr>
          <w:p w:rsidR="00B007B6" w:rsidRPr="00B34368" w:rsidRDefault="00E57CD3" w:rsidP="00A3193E">
            <w:pPr>
              <w:jc w:val="left"/>
              <w:rPr>
                <w:rFonts w:eastAsiaTheme="minorEastAsia"/>
                <w:color w:val="000000" w:themeColor="text1"/>
                <w:sz w:val="24"/>
              </w:rPr>
            </w:pPr>
            <w:r>
              <w:rPr>
                <w:rFonts w:eastAsiaTheme="minorEastAsia" w:hAnsiTheme="minorEastAsia"/>
                <w:color w:val="000000" w:themeColor="text1"/>
                <w:sz w:val="24"/>
              </w:rPr>
              <w:t>其他</w:t>
            </w:r>
            <w:r w:rsidR="00B007B6" w:rsidRPr="00B34368">
              <w:rPr>
                <w:rFonts w:eastAsiaTheme="minorEastAsia" w:hAnsiTheme="minorEastAsia"/>
                <w:color w:val="000000" w:themeColor="text1"/>
                <w:sz w:val="24"/>
              </w:rPr>
              <w:t>资产</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24,627,154.86</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1.85</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9</w:t>
            </w:r>
          </w:p>
        </w:tc>
        <w:tc>
          <w:tcPr>
            <w:tcW w:w="3357" w:type="dxa"/>
            <w:vAlign w:val="center"/>
          </w:tcPr>
          <w:p w:rsidR="00B007B6" w:rsidRPr="00B34368" w:rsidRDefault="00B007B6" w:rsidP="00A3193E">
            <w:pPr>
              <w:jc w:val="left"/>
              <w:rPr>
                <w:rFonts w:eastAsiaTheme="minorEastAsia"/>
                <w:color w:val="000000" w:themeColor="text1"/>
                <w:sz w:val="24"/>
              </w:rPr>
            </w:pPr>
            <w:r w:rsidRPr="00B34368">
              <w:rPr>
                <w:rFonts w:eastAsiaTheme="minorEastAsia" w:hAnsiTheme="minorEastAsia"/>
                <w:color w:val="000000" w:themeColor="text1"/>
                <w:sz w:val="24"/>
              </w:rPr>
              <w:t>合计</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1,328,228,354.11</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100.00</w:t>
            </w:r>
          </w:p>
        </w:tc>
      </w:tr>
    </w:tbl>
    <w:p w:rsidR="0040218E" w:rsidRPr="00B34368" w:rsidRDefault="0040218E"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5.2</w:t>
      </w:r>
      <w:r w:rsidRPr="00B34368">
        <w:rPr>
          <w:rFonts w:eastAsiaTheme="minorEastAsia" w:hAnsiTheme="minorEastAsia"/>
          <w:b/>
          <w:color w:val="000000" w:themeColor="text1"/>
          <w:kern w:val="0"/>
          <w:sz w:val="24"/>
        </w:rPr>
        <w:t>期末投资目标基金明细</w:t>
      </w:r>
    </w:p>
    <w:tbl>
      <w:tblPr>
        <w:tblStyle w:val="af2"/>
        <w:tblW w:w="0" w:type="auto"/>
        <w:tblInd w:w="108" w:type="dxa"/>
        <w:tblLook w:val="04A0" w:firstRow="1" w:lastRow="0" w:firstColumn="1" w:lastColumn="0" w:noHBand="0" w:noVBand="1"/>
      </w:tblPr>
      <w:tblGrid>
        <w:gridCol w:w="706"/>
        <w:gridCol w:w="1685"/>
        <w:gridCol w:w="825"/>
        <w:gridCol w:w="1580"/>
        <w:gridCol w:w="1228"/>
        <w:gridCol w:w="1896"/>
        <w:gridCol w:w="1008"/>
      </w:tblGrid>
      <w:tr w:rsidR="00D3639B" w:rsidRPr="00B34368" w:rsidTr="00975D18">
        <w:tc>
          <w:tcPr>
            <w:tcW w:w="1215"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基金类型</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运作方式</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管理人</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公允价值</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占基金资产净值比例（</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w:t>
            </w:r>
          </w:p>
        </w:tc>
      </w:tr>
      <w:tr w:rsidR="00CE5465">
        <w:tc>
          <w:tcPr>
            <w:tcW w:w="0" w:type="auto"/>
            <w:vAlign w:val="center"/>
          </w:tcPr>
          <w:p w:rsidR="00CE5465" w:rsidRDefault="00921BF3">
            <w:pPr>
              <w:jc w:val="center"/>
            </w:pPr>
            <w:r>
              <w:rPr>
                <w:rFonts w:eastAsiaTheme="minorEastAsia"/>
                <w:color w:val="000000" w:themeColor="text1"/>
                <w:sz w:val="24"/>
              </w:rPr>
              <w:t>1</w:t>
            </w:r>
          </w:p>
        </w:tc>
        <w:tc>
          <w:tcPr>
            <w:tcW w:w="0" w:type="auto"/>
            <w:vAlign w:val="center"/>
          </w:tcPr>
          <w:p w:rsidR="00CE5465" w:rsidRDefault="00921BF3">
            <w:pPr>
              <w:jc w:val="center"/>
            </w:pPr>
            <w:r>
              <w:rPr>
                <w:rFonts w:eastAsiaTheme="minorEastAsia"/>
                <w:color w:val="000000" w:themeColor="text1"/>
                <w:sz w:val="24"/>
              </w:rPr>
              <w:t>易方达黄金交易型开放式证券投资基金</w:t>
            </w:r>
          </w:p>
        </w:tc>
        <w:tc>
          <w:tcPr>
            <w:tcW w:w="0" w:type="auto"/>
            <w:vAlign w:val="center"/>
          </w:tcPr>
          <w:p w:rsidR="00CE5465" w:rsidRDefault="00921BF3">
            <w:pPr>
              <w:jc w:val="center"/>
            </w:pPr>
            <w:r>
              <w:rPr>
                <w:rFonts w:eastAsiaTheme="minorEastAsia"/>
                <w:color w:val="000000" w:themeColor="text1"/>
                <w:sz w:val="24"/>
              </w:rPr>
              <w:t>黄金</w:t>
            </w:r>
            <w:r>
              <w:rPr>
                <w:rFonts w:eastAsiaTheme="minorEastAsia"/>
                <w:color w:val="000000" w:themeColor="text1"/>
                <w:sz w:val="24"/>
              </w:rPr>
              <w:t>ETF</w:t>
            </w:r>
          </w:p>
        </w:tc>
        <w:tc>
          <w:tcPr>
            <w:tcW w:w="0" w:type="auto"/>
            <w:vAlign w:val="center"/>
          </w:tcPr>
          <w:p w:rsidR="00CE5465" w:rsidRDefault="00921BF3">
            <w:pPr>
              <w:jc w:val="center"/>
            </w:pPr>
            <w:r>
              <w:rPr>
                <w:rFonts w:eastAsiaTheme="minorEastAsia"/>
                <w:color w:val="000000" w:themeColor="text1"/>
                <w:sz w:val="24"/>
              </w:rPr>
              <w:t>交易型开放式（</w:t>
            </w:r>
            <w:r>
              <w:rPr>
                <w:rFonts w:eastAsiaTheme="minorEastAsia"/>
                <w:color w:val="000000" w:themeColor="text1"/>
                <w:sz w:val="24"/>
              </w:rPr>
              <w:t>ETF</w:t>
            </w:r>
            <w:r>
              <w:rPr>
                <w:rFonts w:eastAsiaTheme="minorEastAsia"/>
                <w:color w:val="000000" w:themeColor="text1"/>
                <w:sz w:val="24"/>
              </w:rPr>
              <w:t>）</w:t>
            </w:r>
          </w:p>
        </w:tc>
        <w:tc>
          <w:tcPr>
            <w:tcW w:w="0" w:type="auto"/>
            <w:vAlign w:val="center"/>
          </w:tcPr>
          <w:p w:rsidR="00CE5465" w:rsidRDefault="00921BF3">
            <w:pPr>
              <w:jc w:val="center"/>
            </w:pPr>
            <w:r>
              <w:rPr>
                <w:rFonts w:eastAsiaTheme="minorEastAsia"/>
                <w:color w:val="000000" w:themeColor="text1"/>
                <w:sz w:val="24"/>
              </w:rPr>
              <w:t>易方达基金管理有限公司</w:t>
            </w:r>
          </w:p>
        </w:tc>
        <w:tc>
          <w:tcPr>
            <w:tcW w:w="0" w:type="auto"/>
            <w:vAlign w:val="center"/>
          </w:tcPr>
          <w:p w:rsidR="00CE5465" w:rsidRDefault="00921BF3">
            <w:pPr>
              <w:jc w:val="right"/>
            </w:pPr>
            <w:r>
              <w:rPr>
                <w:rFonts w:eastAsiaTheme="minorEastAsia"/>
                <w:color w:val="000000" w:themeColor="text1"/>
                <w:sz w:val="24"/>
              </w:rPr>
              <w:t>1,225,043,003.18</w:t>
            </w:r>
          </w:p>
        </w:tc>
        <w:tc>
          <w:tcPr>
            <w:tcW w:w="0" w:type="auto"/>
            <w:vAlign w:val="center"/>
          </w:tcPr>
          <w:p w:rsidR="00CE5465" w:rsidRDefault="00921BF3">
            <w:pPr>
              <w:jc w:val="right"/>
            </w:pPr>
            <w:r>
              <w:rPr>
                <w:rFonts w:eastAsiaTheme="minorEastAsia"/>
                <w:color w:val="000000" w:themeColor="text1"/>
                <w:sz w:val="24"/>
              </w:rPr>
              <w:t>94.04</w:t>
            </w:r>
          </w:p>
        </w:tc>
      </w:tr>
    </w:tbl>
    <w:p w:rsidR="0054389B" w:rsidRPr="00B34368" w:rsidRDefault="0054389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5.3 </w:t>
      </w:r>
      <w:r w:rsidRPr="00B34368">
        <w:rPr>
          <w:rFonts w:eastAsiaTheme="minorEastAsia" w:hAnsiTheme="minorEastAsia"/>
          <w:b/>
          <w:color w:val="000000" w:themeColor="text1"/>
          <w:kern w:val="0"/>
          <w:sz w:val="24"/>
        </w:rPr>
        <w:t>报告期末按行业分类的股票投资组合</w:t>
      </w:r>
    </w:p>
    <w:p w:rsidR="0054389B" w:rsidRPr="00B34368" w:rsidRDefault="0054389B" w:rsidP="0054389B">
      <w:pPr>
        <w:rPr>
          <w:rFonts w:eastAsiaTheme="minorEastAsia"/>
          <w:b/>
          <w:sz w:val="24"/>
        </w:rPr>
      </w:pPr>
      <w:r w:rsidRPr="00B34368">
        <w:rPr>
          <w:rFonts w:eastAsiaTheme="minorEastAsia"/>
          <w:b/>
          <w:color w:val="000000" w:themeColor="text1"/>
          <w:kern w:val="0"/>
          <w:sz w:val="24"/>
        </w:rPr>
        <w:lastRenderedPageBreak/>
        <w:t>5.3.1</w:t>
      </w:r>
      <w:r w:rsidRPr="00B34368">
        <w:rPr>
          <w:rFonts w:eastAsiaTheme="minorEastAsia" w:hAnsiTheme="minorEastAsia"/>
          <w:b/>
          <w:color w:val="000000" w:themeColor="text1"/>
          <w:kern w:val="0"/>
          <w:sz w:val="24"/>
        </w:rPr>
        <w:t>报告期末按行业分类的境内股票投资组合</w:t>
      </w:r>
    </w:p>
    <w:p w:rsidR="009238DB" w:rsidRPr="00B34368" w:rsidRDefault="000871DB"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本基金本报告期末未持有境内股票。</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4</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报告期末按公允价值占基金资产净值比例大小排序的前十名股票投资明细</w:t>
      </w:r>
    </w:p>
    <w:p w:rsidR="009238DB" w:rsidRPr="00B34368" w:rsidRDefault="000871DB"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本基金本报告期末未持有股票。</w:t>
      </w:r>
    </w:p>
    <w:p w:rsidR="00F21B6D"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5</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410"/>
        <w:gridCol w:w="2041"/>
      </w:tblGrid>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3260"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债券品种</w:t>
            </w:r>
          </w:p>
        </w:tc>
        <w:tc>
          <w:tcPr>
            <w:tcW w:w="2410"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公允价值</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r w:rsidRPr="00B34368">
              <w:rPr>
                <w:rFonts w:eastAsiaTheme="minorEastAsia"/>
                <w:color w:val="000000" w:themeColor="text1"/>
                <w:sz w:val="24"/>
              </w:rPr>
              <w:t>(</w:t>
            </w:r>
            <w:r w:rsidRPr="00B34368">
              <w:rPr>
                <w:rFonts w:eastAsiaTheme="minorEastAsia" w:hAnsiTheme="minorEastAsia"/>
                <w:color w:val="000000" w:themeColor="text1"/>
                <w:sz w:val="24"/>
              </w:rPr>
              <w:t>％</w:t>
            </w: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国家债券</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央行票据</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3</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金融债券</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19,996,000.00</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1.53</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其中：政策性金融债</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19,996,000.00</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1.53</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4</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企业债券</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5</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企业短期融资券</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6</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中期票据</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7</w:t>
            </w:r>
          </w:p>
        </w:tc>
        <w:tc>
          <w:tcPr>
            <w:tcW w:w="3260" w:type="dxa"/>
            <w:vAlign w:val="center"/>
          </w:tcPr>
          <w:p w:rsidR="00F21B6D" w:rsidRPr="00B34368" w:rsidRDefault="0054389B"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可转债（可交换债）</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8</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同业存单</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9</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其他</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F21B6D" w:rsidRPr="00B34368" w:rsidTr="008F6C49">
        <w:tc>
          <w:tcPr>
            <w:tcW w:w="817" w:type="dxa"/>
            <w:vAlign w:val="center"/>
          </w:tcPr>
          <w:p w:rsidR="00F21B6D" w:rsidRPr="00B34368" w:rsidRDefault="00F21B6D" w:rsidP="008F6C49">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10</w:t>
            </w:r>
          </w:p>
        </w:tc>
        <w:tc>
          <w:tcPr>
            <w:tcW w:w="3260" w:type="dxa"/>
            <w:vAlign w:val="center"/>
          </w:tcPr>
          <w:p w:rsidR="00F21B6D" w:rsidRPr="00B34368" w:rsidRDefault="00F21B6D" w:rsidP="008F6C49">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合计</w:t>
            </w:r>
          </w:p>
        </w:tc>
        <w:tc>
          <w:tcPr>
            <w:tcW w:w="2410"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19,996,000.00</w:t>
            </w:r>
          </w:p>
        </w:tc>
        <w:tc>
          <w:tcPr>
            <w:tcW w:w="2041" w:type="dxa"/>
            <w:vAlign w:val="center"/>
          </w:tcPr>
          <w:p w:rsidR="00F21B6D" w:rsidRPr="00B34368" w:rsidRDefault="00F21B6D" w:rsidP="008F6C49">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1.53</w:t>
            </w:r>
          </w:p>
        </w:tc>
      </w:tr>
    </w:tbl>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6</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的前五名债券投资明细</w:t>
      </w:r>
    </w:p>
    <w:tbl>
      <w:tblPr>
        <w:tblStyle w:val="af2"/>
        <w:tblW w:w="0" w:type="auto"/>
        <w:tblInd w:w="108" w:type="dxa"/>
        <w:tblLayout w:type="fixed"/>
        <w:tblLook w:val="04A0" w:firstRow="1" w:lastRow="0" w:firstColumn="1" w:lastColumn="0" w:noHBand="0" w:noVBand="1"/>
      </w:tblPr>
      <w:tblGrid>
        <w:gridCol w:w="1504"/>
        <w:gridCol w:w="1504"/>
        <w:gridCol w:w="1504"/>
        <w:gridCol w:w="1503"/>
        <w:gridCol w:w="1503"/>
        <w:gridCol w:w="1503"/>
      </w:tblGrid>
      <w:tr w:rsidR="00D3639B" w:rsidRPr="00B34368" w:rsidTr="00975D18">
        <w:tc>
          <w:tcPr>
            <w:tcW w:w="1504"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1504"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债券代码</w:t>
            </w:r>
          </w:p>
        </w:tc>
        <w:tc>
          <w:tcPr>
            <w:tcW w:w="1504"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债券名称</w:t>
            </w:r>
          </w:p>
        </w:tc>
        <w:tc>
          <w:tcPr>
            <w:tcW w:w="1503"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数量（张）</w:t>
            </w:r>
          </w:p>
        </w:tc>
        <w:tc>
          <w:tcPr>
            <w:tcW w:w="1503"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公允价值</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元</w:t>
            </w:r>
            <w:r w:rsidRPr="00B34368">
              <w:rPr>
                <w:rFonts w:eastAsiaTheme="minorEastAsia"/>
                <w:color w:val="000000" w:themeColor="text1"/>
                <w:kern w:val="0"/>
                <w:sz w:val="24"/>
              </w:rPr>
              <w:t>)</w:t>
            </w:r>
          </w:p>
        </w:tc>
        <w:tc>
          <w:tcPr>
            <w:tcW w:w="1503" w:type="dxa"/>
            <w:vAlign w:val="center"/>
          </w:tcPr>
          <w:p w:rsidR="00685FFC" w:rsidRPr="00B34368" w:rsidRDefault="00685FFC" w:rsidP="009A045B">
            <w:pPr>
              <w:autoSpaceDE w:val="0"/>
              <w:autoSpaceDN w:val="0"/>
              <w:adjustRightInd w:val="0"/>
              <w:spacing w:before="29" w:line="288"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占基金资产净值比</w:t>
            </w:r>
            <w:r w:rsidR="00334656" w:rsidRPr="00B34368">
              <w:rPr>
                <w:rFonts w:eastAsiaTheme="minorEastAsia" w:hAnsiTheme="minorEastAsia"/>
                <w:color w:val="000000" w:themeColor="text1"/>
                <w:kern w:val="0"/>
                <w:sz w:val="24"/>
              </w:rPr>
              <w:t>例</w:t>
            </w:r>
            <w:r w:rsidRPr="00B34368">
              <w:rPr>
                <w:rFonts w:eastAsiaTheme="minorEastAsia" w:hAnsiTheme="minorEastAsia"/>
                <w:color w:val="000000" w:themeColor="text1"/>
                <w:kern w:val="0"/>
                <w:sz w:val="24"/>
              </w:rPr>
              <w:t>（％）</w:t>
            </w:r>
          </w:p>
        </w:tc>
      </w:tr>
      <w:tr w:rsidR="00CE5465">
        <w:tc>
          <w:tcPr>
            <w:tcW w:w="1504" w:type="dxa"/>
            <w:vAlign w:val="center"/>
          </w:tcPr>
          <w:p w:rsidR="00CE5465" w:rsidRDefault="00921BF3">
            <w:pPr>
              <w:jc w:val="center"/>
            </w:pPr>
            <w:r>
              <w:rPr>
                <w:rFonts w:eastAsiaTheme="minorEastAsia"/>
                <w:color w:val="000000" w:themeColor="text1"/>
                <w:sz w:val="24"/>
              </w:rPr>
              <w:t>1</w:t>
            </w:r>
          </w:p>
        </w:tc>
        <w:tc>
          <w:tcPr>
            <w:tcW w:w="1504" w:type="dxa"/>
            <w:vAlign w:val="center"/>
          </w:tcPr>
          <w:p w:rsidR="00CE5465" w:rsidRDefault="00921BF3">
            <w:pPr>
              <w:jc w:val="center"/>
            </w:pPr>
            <w:r>
              <w:rPr>
                <w:rFonts w:eastAsiaTheme="minorEastAsia"/>
                <w:color w:val="000000" w:themeColor="text1"/>
                <w:sz w:val="24"/>
              </w:rPr>
              <w:t>190304</w:t>
            </w:r>
          </w:p>
        </w:tc>
        <w:tc>
          <w:tcPr>
            <w:tcW w:w="1504" w:type="dxa"/>
            <w:vAlign w:val="center"/>
          </w:tcPr>
          <w:p w:rsidR="00CE5465" w:rsidRDefault="00921BF3">
            <w:pPr>
              <w:jc w:val="center"/>
            </w:pPr>
            <w:r>
              <w:rPr>
                <w:rFonts w:eastAsiaTheme="minorEastAsia"/>
                <w:color w:val="000000" w:themeColor="text1"/>
                <w:sz w:val="24"/>
              </w:rPr>
              <w:t>19</w:t>
            </w:r>
            <w:r>
              <w:rPr>
                <w:rFonts w:eastAsiaTheme="minorEastAsia"/>
                <w:color w:val="000000" w:themeColor="text1"/>
                <w:sz w:val="24"/>
              </w:rPr>
              <w:t>进出</w:t>
            </w:r>
            <w:r>
              <w:rPr>
                <w:rFonts w:eastAsiaTheme="minorEastAsia"/>
                <w:color w:val="000000" w:themeColor="text1"/>
                <w:sz w:val="24"/>
              </w:rPr>
              <w:t>04</w:t>
            </w:r>
          </w:p>
        </w:tc>
        <w:tc>
          <w:tcPr>
            <w:tcW w:w="1503" w:type="dxa"/>
            <w:vAlign w:val="center"/>
          </w:tcPr>
          <w:p w:rsidR="00CE5465" w:rsidRDefault="00921BF3">
            <w:pPr>
              <w:jc w:val="right"/>
            </w:pPr>
            <w:r>
              <w:rPr>
                <w:rFonts w:eastAsiaTheme="minorEastAsia"/>
                <w:color w:val="000000" w:themeColor="text1"/>
                <w:sz w:val="24"/>
              </w:rPr>
              <w:t>200,000</w:t>
            </w:r>
          </w:p>
        </w:tc>
        <w:tc>
          <w:tcPr>
            <w:tcW w:w="1503" w:type="dxa"/>
            <w:vAlign w:val="center"/>
          </w:tcPr>
          <w:p w:rsidR="00CE5465" w:rsidRDefault="00921BF3">
            <w:pPr>
              <w:jc w:val="right"/>
            </w:pPr>
            <w:r>
              <w:rPr>
                <w:rFonts w:eastAsiaTheme="minorEastAsia"/>
                <w:color w:val="000000" w:themeColor="text1"/>
                <w:sz w:val="24"/>
              </w:rPr>
              <w:t>19,996,000.00</w:t>
            </w:r>
          </w:p>
        </w:tc>
        <w:tc>
          <w:tcPr>
            <w:tcW w:w="1503" w:type="dxa"/>
            <w:vAlign w:val="center"/>
          </w:tcPr>
          <w:p w:rsidR="00CE5465" w:rsidRDefault="00921BF3">
            <w:pPr>
              <w:jc w:val="right"/>
            </w:pPr>
            <w:r>
              <w:rPr>
                <w:rFonts w:eastAsiaTheme="minorEastAsia"/>
                <w:color w:val="000000" w:themeColor="text1"/>
                <w:sz w:val="24"/>
              </w:rPr>
              <w:t>1.53</w:t>
            </w:r>
          </w:p>
        </w:tc>
      </w:tr>
    </w:tbl>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7</w:t>
      </w:r>
      <w:r w:rsidRPr="00B34368">
        <w:rPr>
          <w:rFonts w:eastAsiaTheme="minorEastAsia" w:hAnsiTheme="minorEastAsia"/>
          <w:b/>
          <w:color w:val="000000" w:themeColor="text1"/>
          <w:kern w:val="0"/>
          <w:sz w:val="24"/>
        </w:rPr>
        <w:t xml:space="preserve">　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的前十名资产支持证券投资明细</w:t>
      </w:r>
    </w:p>
    <w:p w:rsidR="009238DB"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本基金本报告期末未持有资产支持证券。</w:t>
      </w:r>
    </w:p>
    <w:p w:rsidR="00E15FD1" w:rsidRPr="00B34368" w:rsidRDefault="00E15FD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lastRenderedPageBreak/>
        <w:t xml:space="preserve">5.8 </w:t>
      </w:r>
      <w:r w:rsidRPr="00B34368">
        <w:rPr>
          <w:rFonts w:eastAsiaTheme="minorEastAsia" w:hAnsiTheme="minorEastAsia"/>
          <w:b/>
          <w:bCs/>
          <w:color w:val="000000" w:themeColor="text1"/>
          <w:kern w:val="0"/>
          <w:sz w:val="24"/>
        </w:rPr>
        <w:t>报告期末按公允价值占基金资产净值比例大小排序的前五名贵金属投资明细</w:t>
      </w:r>
    </w:p>
    <w:p w:rsidR="00E15FD1" w:rsidRPr="00B34368" w:rsidRDefault="00E15FD1" w:rsidP="00B34368">
      <w:pPr>
        <w:widowControl/>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本基金本报告期末未持有贵金属。</w:t>
      </w:r>
    </w:p>
    <w:p w:rsidR="009238DB"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9238DB" w:rsidRPr="00B34368">
        <w:rPr>
          <w:rFonts w:eastAsiaTheme="minorEastAsia"/>
          <w:b/>
          <w:color w:val="000000" w:themeColor="text1"/>
          <w:kern w:val="0"/>
          <w:sz w:val="24"/>
        </w:rPr>
        <w:t>.</w:t>
      </w:r>
      <w:r w:rsidRPr="00B34368">
        <w:rPr>
          <w:rFonts w:eastAsiaTheme="minorEastAsia"/>
          <w:b/>
          <w:color w:val="000000" w:themeColor="text1"/>
          <w:kern w:val="0"/>
          <w:sz w:val="24"/>
        </w:rPr>
        <w:t>9</w:t>
      </w:r>
      <w:r w:rsidR="009238DB" w:rsidRPr="00B34368">
        <w:rPr>
          <w:rFonts w:eastAsiaTheme="minorEastAsia"/>
          <w:b/>
          <w:color w:val="000000" w:themeColor="text1"/>
          <w:kern w:val="0"/>
          <w:sz w:val="24"/>
        </w:rPr>
        <w:t xml:space="preserve"> </w:t>
      </w:r>
      <w:r w:rsidR="009238DB" w:rsidRPr="00B34368">
        <w:rPr>
          <w:rFonts w:eastAsiaTheme="minorEastAsia" w:hAnsiTheme="minorEastAsia"/>
          <w:b/>
          <w:color w:val="000000" w:themeColor="text1"/>
          <w:kern w:val="0"/>
          <w:sz w:val="24"/>
        </w:rPr>
        <w:t>报告</w:t>
      </w:r>
      <w:r w:rsidR="009238DB" w:rsidRPr="00B34368">
        <w:rPr>
          <w:rFonts w:eastAsiaTheme="minorEastAsia" w:hAnsiTheme="minorEastAsia"/>
          <w:b/>
          <w:bCs/>
          <w:color w:val="000000" w:themeColor="text1"/>
          <w:kern w:val="0"/>
          <w:sz w:val="24"/>
        </w:rPr>
        <w:t>期末</w:t>
      </w:r>
      <w:r w:rsidR="009238DB" w:rsidRPr="00B34368">
        <w:rPr>
          <w:rFonts w:eastAsiaTheme="minorEastAsia" w:hAnsiTheme="minorEastAsia"/>
          <w:b/>
          <w:color w:val="000000" w:themeColor="text1"/>
          <w:kern w:val="0"/>
          <w:sz w:val="24"/>
        </w:rPr>
        <w:t>按公允价值占基金资产净值比例大小排</w:t>
      </w:r>
      <w:r w:rsidR="006B3FDB" w:rsidRPr="00B34368">
        <w:rPr>
          <w:rFonts w:eastAsiaTheme="minorEastAsia" w:hAnsiTheme="minorEastAsia"/>
          <w:b/>
          <w:color w:val="000000" w:themeColor="text1"/>
          <w:kern w:val="0"/>
          <w:sz w:val="24"/>
        </w:rPr>
        <w:t>序</w:t>
      </w:r>
      <w:r w:rsidR="009238DB" w:rsidRPr="00B34368">
        <w:rPr>
          <w:rFonts w:eastAsiaTheme="minorEastAsia" w:hAnsiTheme="minorEastAsia"/>
          <w:b/>
          <w:color w:val="000000" w:themeColor="text1"/>
          <w:kern w:val="0"/>
          <w:sz w:val="24"/>
        </w:rPr>
        <w:t>的前五名权证投资明细</w:t>
      </w:r>
    </w:p>
    <w:p w:rsidR="001D5CD0"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本基金本报告期末未持有权证。</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sz w:val="24"/>
        </w:rPr>
      </w:pPr>
      <w:r w:rsidRPr="00B34368">
        <w:rPr>
          <w:rFonts w:eastAsiaTheme="minorEastAsia"/>
          <w:b/>
          <w:color w:val="000000" w:themeColor="text1"/>
          <w:sz w:val="24"/>
        </w:rPr>
        <w:t xml:space="preserve">5.10 </w:t>
      </w:r>
      <w:r w:rsidRPr="00B34368">
        <w:rPr>
          <w:rFonts w:eastAsiaTheme="minorEastAsia" w:hAnsiTheme="minorEastAsia"/>
          <w:b/>
          <w:color w:val="000000" w:themeColor="text1"/>
          <w:sz w:val="24"/>
        </w:rPr>
        <w:t>报告期末本基金投资的股指期货交易情况说明</w:t>
      </w:r>
    </w:p>
    <w:p w:rsidR="00E90C0C" w:rsidRPr="00B34368" w:rsidRDefault="00E90C0C" w:rsidP="00E90C0C">
      <w:pPr>
        <w:spacing w:line="360" w:lineRule="auto"/>
        <w:ind w:firstLineChars="200" w:firstLine="480"/>
        <w:rPr>
          <w:rFonts w:eastAsiaTheme="minorEastAsia"/>
          <w:color w:val="000000" w:themeColor="text1"/>
          <w:sz w:val="24"/>
        </w:rPr>
      </w:pPr>
      <w:r w:rsidRPr="00D27EA0">
        <w:rPr>
          <w:rFonts w:eastAsiaTheme="minorEastAsia"/>
          <w:color w:val="000000" w:themeColor="text1"/>
          <w:sz w:val="24"/>
        </w:rPr>
        <w:t>本基金本报告期末未投资股指期货。</w:t>
      </w:r>
    </w:p>
    <w:p w:rsidR="001D5CD0" w:rsidRPr="00B34368" w:rsidRDefault="001D5CD0" w:rsidP="00C544B8">
      <w:pPr>
        <w:adjustRightInd w:val="0"/>
        <w:snapToGrid w:val="0"/>
        <w:spacing w:beforeLines="100" w:before="312" w:line="360" w:lineRule="auto"/>
        <w:rPr>
          <w:rFonts w:eastAsiaTheme="minorEastAsia"/>
          <w:b/>
          <w:color w:val="000000" w:themeColor="text1"/>
          <w:sz w:val="24"/>
        </w:rPr>
      </w:pPr>
      <w:r w:rsidRPr="00B34368">
        <w:rPr>
          <w:rFonts w:eastAsiaTheme="minorEastAsia"/>
          <w:b/>
          <w:color w:val="000000" w:themeColor="text1"/>
          <w:sz w:val="24"/>
        </w:rPr>
        <w:t>5.11</w:t>
      </w:r>
      <w:r w:rsidRPr="00B34368">
        <w:rPr>
          <w:rFonts w:eastAsiaTheme="minorEastAsia" w:hAnsiTheme="minorEastAsia"/>
          <w:b/>
          <w:color w:val="000000" w:themeColor="text1"/>
          <w:sz w:val="24"/>
        </w:rPr>
        <w:t>报告期末本基金投资的国债期货交易情况说明</w:t>
      </w:r>
    </w:p>
    <w:p w:rsidR="005B2366" w:rsidRDefault="005B2366" w:rsidP="005B2366">
      <w:pPr>
        <w:spacing w:line="360" w:lineRule="auto"/>
        <w:ind w:firstLineChars="200" w:firstLine="480"/>
      </w:pPr>
      <w:r w:rsidRPr="00DF18FE">
        <w:rPr>
          <w:color w:val="000000"/>
          <w:sz w:val="24"/>
        </w:rPr>
        <w:t>本基金本报告期末未投资国债期货。</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w:t>
      </w:r>
      <w:r w:rsidRPr="00B34368">
        <w:rPr>
          <w:rFonts w:eastAsiaTheme="minorEastAsia" w:hAnsiTheme="minorEastAsia"/>
          <w:b/>
          <w:color w:val="000000" w:themeColor="text1"/>
          <w:kern w:val="0"/>
          <w:sz w:val="24"/>
        </w:rPr>
        <w:t>投资组合报告附注</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5.12.1</w:t>
      </w:r>
      <w:r w:rsidRPr="00B34368">
        <w:rPr>
          <w:rFonts w:eastAsiaTheme="minorEastAsia"/>
          <w:color w:val="000000" w:themeColor="text1"/>
          <w:sz w:val="24"/>
        </w:rPr>
        <w:t>本基金投资的前十名证券的发行主体本期没有出现被监管部门立案调查，或在报告编制日前一年内受到公开谴责、处罚的情形。</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5.12.2</w:t>
      </w:r>
      <w:r w:rsidRPr="00B34368">
        <w:rPr>
          <w:rFonts w:eastAsiaTheme="minorEastAsia"/>
          <w:color w:val="000000" w:themeColor="text1"/>
          <w:sz w:val="24"/>
        </w:rPr>
        <w:t>本基金本报告期末未持有股票。</w:t>
      </w:r>
    </w:p>
    <w:p w:rsidR="001D5CD0" w:rsidRPr="00B34368" w:rsidRDefault="001D5CD0" w:rsidP="001D5CD0">
      <w:pPr>
        <w:autoSpaceDE w:val="0"/>
        <w:autoSpaceDN w:val="0"/>
        <w:adjustRightInd w:val="0"/>
        <w:spacing w:line="360" w:lineRule="auto"/>
        <w:rPr>
          <w:rFonts w:eastAsiaTheme="minorEastAsia"/>
          <w:b/>
          <w:color w:val="000000" w:themeColor="text1"/>
          <w:kern w:val="0"/>
          <w:sz w:val="24"/>
        </w:rPr>
      </w:pPr>
      <w:r w:rsidRPr="00B34368">
        <w:rPr>
          <w:rFonts w:eastAsiaTheme="minorEastAsia"/>
          <w:b/>
          <w:color w:val="000000" w:themeColor="text1"/>
          <w:kern w:val="0"/>
          <w:sz w:val="24"/>
        </w:rPr>
        <w:t>5.12.3</w:t>
      </w:r>
      <w:r w:rsidRPr="00B34368">
        <w:rPr>
          <w:rFonts w:eastAsiaTheme="minorEastAsia" w:hAnsiTheme="minorEastAsia"/>
          <w:b/>
          <w:color w:val="000000" w:themeColor="text1"/>
          <w:kern w:val="0"/>
          <w:sz w:val="24"/>
        </w:rPr>
        <w:t>其他各项资产构成</w:t>
      </w:r>
    </w:p>
    <w:tbl>
      <w:tblPr>
        <w:tblStyle w:val="af2"/>
        <w:tblW w:w="0" w:type="auto"/>
        <w:tblInd w:w="108" w:type="dxa"/>
        <w:tblLook w:val="04A0" w:firstRow="1" w:lastRow="0" w:firstColumn="1" w:lastColumn="0" w:noHBand="0" w:noVBand="1"/>
      </w:tblPr>
      <w:tblGrid>
        <w:gridCol w:w="944"/>
        <w:gridCol w:w="2761"/>
        <w:gridCol w:w="4808"/>
      </w:tblGrid>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2761"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名称</w:t>
            </w:r>
          </w:p>
        </w:tc>
        <w:tc>
          <w:tcPr>
            <w:tcW w:w="4808"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金额</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元</w:t>
            </w: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color w:val="000000" w:themeColor="text1"/>
                <w:sz w:val="24"/>
              </w:rPr>
              <w:t>1</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存出保证金</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963,454.16</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2</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应收证券清算款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3</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应收股利</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4</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应收利息</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217,263.52</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5</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应收申购款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23,446,437.18</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6</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其他应收款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7</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sz w:val="24"/>
              </w:rPr>
            </w:pPr>
            <w:r w:rsidRPr="00B34368">
              <w:rPr>
                <w:rFonts w:eastAsiaTheme="minorEastAsia" w:hAnsiTheme="minorEastAsia"/>
                <w:color w:val="000000" w:themeColor="text1"/>
                <w:sz w:val="24"/>
              </w:rPr>
              <w:t>待摊费用</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8</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9</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合计</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24,627,154.86</w:t>
            </w:r>
          </w:p>
        </w:tc>
      </w:tr>
    </w:tbl>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5.12.4</w:t>
      </w:r>
      <w:r w:rsidRPr="00B34368">
        <w:rPr>
          <w:rFonts w:eastAsiaTheme="minorEastAsia" w:hAnsiTheme="minorEastAsia"/>
          <w:b/>
          <w:color w:val="000000" w:themeColor="text1"/>
          <w:kern w:val="0"/>
          <w:sz w:val="24"/>
        </w:rPr>
        <w:t>报告期末持有的处于转股期的可转换债券明细</w:t>
      </w:r>
    </w:p>
    <w:p w:rsidR="001D5CD0" w:rsidRPr="00B34368" w:rsidRDefault="001D5CD0"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本基金本报告期末未持有处于转股期的可转换债券。</w:t>
      </w:r>
    </w:p>
    <w:p w:rsidR="001D5CD0" w:rsidRPr="00B34368" w:rsidRDefault="001D5CD0" w:rsidP="00C544B8">
      <w:pPr>
        <w:autoSpaceDE w:val="0"/>
        <w:autoSpaceDN w:val="0"/>
        <w:adjustRightInd w:val="0"/>
        <w:spacing w:beforeLines="100" w:before="312" w:line="360" w:lineRule="auto"/>
        <w:jc w:val="left"/>
        <w:rPr>
          <w:rFonts w:eastAsiaTheme="minorEastAsia"/>
          <w:b/>
          <w:bCs/>
          <w:color w:val="000000" w:themeColor="text1"/>
          <w:sz w:val="24"/>
        </w:rPr>
      </w:pPr>
      <w:r w:rsidRPr="00B34368">
        <w:rPr>
          <w:rFonts w:eastAsiaTheme="minorEastAsia"/>
          <w:b/>
          <w:color w:val="000000" w:themeColor="text1"/>
          <w:kern w:val="0"/>
          <w:sz w:val="24"/>
        </w:rPr>
        <w:lastRenderedPageBreak/>
        <w:t>5.12.5</w:t>
      </w:r>
      <w:r w:rsidRPr="00B34368">
        <w:rPr>
          <w:rFonts w:eastAsiaTheme="minorEastAsia" w:hAnsiTheme="minorEastAsia"/>
          <w:b/>
          <w:bCs/>
          <w:color w:val="000000" w:themeColor="text1"/>
          <w:sz w:val="24"/>
        </w:rPr>
        <w:t>报告期末前十名股票中存在流通受限情况的说明</w:t>
      </w:r>
    </w:p>
    <w:p w:rsidR="001D5CD0" w:rsidRPr="00B34368" w:rsidRDefault="001D5CD0"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本基金本报告期末未持有股票。</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§6  </w:t>
      </w:r>
      <w:r w:rsidRPr="00B34368">
        <w:rPr>
          <w:rFonts w:eastAsiaTheme="minorEastAsia" w:hAnsiTheme="minorEastAsia"/>
          <w:color w:val="000000" w:themeColor="text1"/>
          <w:kern w:val="0"/>
          <w:sz w:val="24"/>
          <w:szCs w:val="24"/>
        </w:rPr>
        <w:t>开放式基金份额变动</w:t>
      </w:r>
    </w:p>
    <w:p w:rsidR="009238DB" w:rsidRPr="00B34368" w:rsidRDefault="009238DB" w:rsidP="00302187">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单位：份</w:t>
      </w:r>
    </w:p>
    <w:tbl>
      <w:tblPr>
        <w:tblW w:w="0" w:type="auto"/>
        <w:tblInd w:w="108" w:type="dxa"/>
        <w:tblLayout w:type="fixed"/>
        <w:tblLook w:val="0000" w:firstRow="0" w:lastRow="0" w:firstColumn="0" w:lastColumn="0" w:noHBand="0" w:noVBand="0"/>
      </w:tblPr>
      <w:tblGrid>
        <w:gridCol w:w="3900"/>
        <w:gridCol w:w="2367"/>
        <w:gridCol w:w="2367"/>
      </w:tblGrid>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B84643">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易方达黄金</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易方达黄金</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459,642,854.23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256,513,909.14</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487,953,921.73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521,490,306.48</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减：</w:t>
            </w:r>
            <w:r w:rsidR="00F72579" w:rsidRPr="00B34368">
              <w:rPr>
                <w:rFonts w:eastAsiaTheme="minorEastAsia"/>
                <w:color w:val="000000" w:themeColor="text1"/>
                <w:kern w:val="0"/>
                <w:sz w:val="24"/>
              </w:rPr>
              <w:t>本报告期</w:t>
            </w:r>
            <w:r w:rsidRPr="00B34368">
              <w:rPr>
                <w:rFonts w:eastAsiaTheme="minorEastAsia" w:hAnsiTheme="minorEastAsia"/>
                <w:color w:val="000000" w:themeColor="text1"/>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316,690,131.74</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318,230,218.62</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B57BCF">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630,906,644.22</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459,773,997.00</w:t>
            </w:r>
          </w:p>
        </w:tc>
      </w:tr>
    </w:tbl>
    <w:p w:rsidR="00617125" w:rsidRPr="00B34368" w:rsidRDefault="00617125" w:rsidP="00C544B8">
      <w:pPr>
        <w:pStyle w:val="1"/>
        <w:tabs>
          <w:tab w:val="center" w:pos="4156"/>
          <w:tab w:val="right" w:pos="8312"/>
        </w:tabs>
        <w:spacing w:beforeLines="100" w:before="312" w:afterLines="100" w:after="312" w:line="360" w:lineRule="auto"/>
        <w:jc w:val="center"/>
        <w:rPr>
          <w:rFonts w:eastAsiaTheme="minorEastAsia"/>
          <w:color w:val="000000" w:themeColor="text1"/>
          <w:sz w:val="24"/>
          <w:szCs w:val="24"/>
        </w:rPr>
      </w:pPr>
      <w:r w:rsidRPr="00B34368">
        <w:rPr>
          <w:rFonts w:eastAsiaTheme="minorEastAsia"/>
          <w:color w:val="000000" w:themeColor="text1"/>
          <w:kern w:val="0"/>
          <w:sz w:val="24"/>
          <w:szCs w:val="24"/>
        </w:rPr>
        <w:t>§7</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sz w:val="24"/>
          <w:szCs w:val="24"/>
        </w:rPr>
        <w:t>基金管理人运用固有资金投资本基金情况</w:t>
      </w:r>
    </w:p>
    <w:p w:rsidR="00617125" w:rsidRPr="00B34368" w:rsidRDefault="00617125" w:rsidP="00617125">
      <w:pPr>
        <w:spacing w:line="360" w:lineRule="auto"/>
        <w:jc w:val="left"/>
        <w:rPr>
          <w:rFonts w:eastAsiaTheme="minorEastAsia"/>
          <w:color w:val="000000" w:themeColor="text1"/>
          <w:sz w:val="24"/>
        </w:rPr>
      </w:pPr>
      <w:r w:rsidRPr="00B34368">
        <w:rPr>
          <w:rFonts w:eastAsiaTheme="minorEastAsia"/>
          <w:b/>
          <w:color w:val="000000" w:themeColor="text1"/>
          <w:sz w:val="24"/>
        </w:rPr>
        <w:t xml:space="preserve">7.1 </w:t>
      </w:r>
      <w:r w:rsidRPr="00B34368">
        <w:rPr>
          <w:rFonts w:eastAsiaTheme="minorEastAsia" w:hAnsiTheme="minorEastAsia"/>
          <w:b/>
          <w:color w:val="000000" w:themeColor="text1"/>
          <w:sz w:val="24"/>
        </w:rPr>
        <w:t>基金管理人持有本基金份额变动情况</w:t>
      </w:r>
    </w:p>
    <w:p w:rsidR="00617125" w:rsidRPr="00B34368" w:rsidRDefault="00A01C74" w:rsidP="00B34368">
      <w:pPr>
        <w:autoSpaceDE w:val="0"/>
        <w:autoSpaceDN w:val="0"/>
        <w:adjustRightInd w:val="0"/>
        <w:spacing w:line="360" w:lineRule="auto"/>
        <w:ind w:firstLineChars="200" w:firstLine="480"/>
        <w:jc w:val="left"/>
        <w:rPr>
          <w:rFonts w:eastAsiaTheme="minorEastAsia"/>
          <w:color w:val="000000" w:themeColor="text1"/>
          <w:sz w:val="24"/>
        </w:rPr>
      </w:pPr>
      <w:r w:rsidRPr="00DF18FE">
        <w:rPr>
          <w:color w:val="000000"/>
          <w:sz w:val="24"/>
        </w:rPr>
        <w:t>本报告期内基金管理人未持有本基金份额。</w:t>
      </w:r>
    </w:p>
    <w:p w:rsidR="00617125" w:rsidRPr="00B34368" w:rsidRDefault="00617125" w:rsidP="00C544B8">
      <w:pPr>
        <w:spacing w:beforeLines="100" w:before="312" w:line="360" w:lineRule="auto"/>
        <w:jc w:val="left"/>
        <w:rPr>
          <w:rFonts w:eastAsiaTheme="minorEastAsia"/>
          <w:color w:val="000000" w:themeColor="text1"/>
          <w:sz w:val="24"/>
        </w:rPr>
      </w:pPr>
      <w:r w:rsidRPr="00B34368">
        <w:rPr>
          <w:rFonts w:eastAsiaTheme="minorEastAsia"/>
          <w:b/>
          <w:color w:val="000000" w:themeColor="text1"/>
          <w:sz w:val="24"/>
        </w:rPr>
        <w:t xml:space="preserve">7.2 </w:t>
      </w:r>
      <w:r w:rsidRPr="00B34368">
        <w:rPr>
          <w:rFonts w:eastAsiaTheme="minorEastAsia" w:hAnsiTheme="minorEastAsia"/>
          <w:b/>
          <w:color w:val="000000" w:themeColor="text1"/>
          <w:sz w:val="24"/>
        </w:rPr>
        <w:t>基金管理人运用固有资金投资本基金交易明细</w:t>
      </w:r>
    </w:p>
    <w:p w:rsidR="00617125" w:rsidRPr="00B34368" w:rsidRDefault="00617125"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本报告期内基金管理人未运用固有资金申购、赎回、买卖本基金份额。</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w:t>
      </w:r>
      <w:r w:rsidR="00A14399" w:rsidRPr="00B34368">
        <w:rPr>
          <w:rFonts w:eastAsiaTheme="minorEastAsia"/>
          <w:color w:val="000000" w:themeColor="text1"/>
          <w:kern w:val="0"/>
          <w:sz w:val="24"/>
          <w:szCs w:val="24"/>
        </w:rPr>
        <w:t>8</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kern w:val="0"/>
          <w:sz w:val="24"/>
          <w:szCs w:val="24"/>
        </w:rPr>
        <w:t>备查文件目录</w:t>
      </w:r>
    </w:p>
    <w:p w:rsidR="00FB3C94" w:rsidRPr="00B34368" w:rsidRDefault="00A14399" w:rsidP="00FC13C8">
      <w:pPr>
        <w:autoSpaceDE w:val="0"/>
        <w:autoSpaceDN w:val="0"/>
        <w:adjustRightInd w:val="0"/>
        <w:spacing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w:t>
      </w:r>
      <w:r w:rsidR="00D13A01" w:rsidRPr="00B34368">
        <w:rPr>
          <w:rFonts w:eastAsiaTheme="minorEastAsia"/>
          <w:b/>
          <w:bCs/>
          <w:color w:val="000000" w:themeColor="text1"/>
          <w:kern w:val="0"/>
          <w:sz w:val="24"/>
        </w:rPr>
        <w:t>1</w:t>
      </w:r>
      <w:r w:rsidR="00FB3C94" w:rsidRPr="00B34368">
        <w:rPr>
          <w:rFonts w:eastAsiaTheme="minorEastAsia" w:hAnsiTheme="minorEastAsia"/>
          <w:b/>
          <w:bCs/>
          <w:color w:val="000000" w:themeColor="text1"/>
          <w:kern w:val="0"/>
          <w:sz w:val="24"/>
        </w:rPr>
        <w:t>备查文件目录</w:t>
      </w:r>
    </w:p>
    <w:p w:rsidR="00CE5465" w:rsidRDefault="00921BF3">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中国证监会注册易方达黄金交易型开放式证券投资基金及其联接基金募集的文件；</w:t>
      </w:r>
    </w:p>
    <w:p w:rsidR="00CE5465" w:rsidRDefault="00921BF3">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《易方达黄金交易型开放式证券投资基金联接基金基金合同》；</w:t>
      </w:r>
    </w:p>
    <w:p w:rsidR="00CE5465" w:rsidRDefault="00921BF3">
      <w:pPr>
        <w:spacing w:line="360" w:lineRule="auto"/>
        <w:ind w:firstLineChars="200" w:firstLine="480"/>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《易方达黄金交易型开放式证券投资基金联接基金托管协议》；</w:t>
      </w:r>
    </w:p>
    <w:p w:rsidR="00CE5465" w:rsidRDefault="00921BF3">
      <w:pPr>
        <w:spacing w:line="360" w:lineRule="auto"/>
        <w:ind w:firstLineChars="200" w:firstLine="480"/>
        <w:rPr>
          <w:rFonts w:eastAsiaTheme="minorEastAsia"/>
          <w:color w:val="000000" w:themeColor="text1"/>
          <w:sz w:val="24"/>
        </w:rPr>
      </w:pPr>
      <w:r>
        <w:rPr>
          <w:rFonts w:eastAsiaTheme="minorEastAsia"/>
          <w:color w:val="000000" w:themeColor="text1"/>
          <w:sz w:val="24"/>
        </w:rPr>
        <w:t>4.</w:t>
      </w:r>
      <w:r>
        <w:rPr>
          <w:rFonts w:eastAsiaTheme="minorEastAsia"/>
          <w:color w:val="000000" w:themeColor="text1"/>
          <w:sz w:val="24"/>
        </w:rPr>
        <w:t>《易方达基金管理有限公司开放式基金业务规则》；</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5.</w:t>
      </w:r>
      <w:r w:rsidRPr="00B34368">
        <w:rPr>
          <w:rFonts w:eastAsiaTheme="minorEastAsia"/>
          <w:color w:val="000000" w:themeColor="text1"/>
          <w:sz w:val="24"/>
        </w:rPr>
        <w:t>基金管理人业务资格批件、营业执照。</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lastRenderedPageBreak/>
        <w:t>8.2</w:t>
      </w:r>
      <w:r w:rsidR="00FB3C94" w:rsidRPr="00B34368">
        <w:rPr>
          <w:rFonts w:eastAsiaTheme="minorEastAsia" w:hAnsiTheme="minorEastAsia"/>
          <w:b/>
          <w:bCs/>
          <w:color w:val="000000" w:themeColor="text1"/>
          <w:kern w:val="0"/>
          <w:sz w:val="24"/>
        </w:rPr>
        <w:t>存放地点</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广州市天河区珠江新城珠江东路</w:t>
      </w:r>
      <w:r w:rsidRPr="00B34368">
        <w:rPr>
          <w:rFonts w:eastAsiaTheme="minorEastAsia"/>
          <w:color w:val="000000" w:themeColor="text1"/>
          <w:sz w:val="24"/>
        </w:rPr>
        <w:t>30</w:t>
      </w:r>
      <w:r w:rsidRPr="00B34368">
        <w:rPr>
          <w:rFonts w:eastAsiaTheme="minorEastAsia"/>
          <w:color w:val="000000" w:themeColor="text1"/>
          <w:sz w:val="24"/>
        </w:rPr>
        <w:t>号广州银行大厦</w:t>
      </w:r>
      <w:r w:rsidRPr="00B34368">
        <w:rPr>
          <w:rFonts w:eastAsiaTheme="minorEastAsia"/>
          <w:color w:val="000000" w:themeColor="text1"/>
          <w:sz w:val="24"/>
        </w:rPr>
        <w:t>40-43</w:t>
      </w:r>
      <w:r w:rsidRPr="00B34368">
        <w:rPr>
          <w:rFonts w:eastAsiaTheme="minorEastAsia"/>
          <w:color w:val="000000" w:themeColor="text1"/>
          <w:sz w:val="24"/>
        </w:rPr>
        <w:t>楼。</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8.3</w:t>
      </w:r>
      <w:r w:rsidR="00FB3C94" w:rsidRPr="00B34368">
        <w:rPr>
          <w:rFonts w:eastAsiaTheme="minorEastAsia" w:hAnsiTheme="minorEastAsia"/>
          <w:b/>
          <w:bCs/>
          <w:color w:val="000000" w:themeColor="text1"/>
          <w:kern w:val="0"/>
          <w:sz w:val="24"/>
        </w:rPr>
        <w:t>查阅方式</w:t>
      </w:r>
    </w:p>
    <w:p w:rsidR="00FB3C94"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投资者可在营业时间免费查阅，也可按工本费购买复印件。</w:t>
      </w:r>
    </w:p>
    <w:p w:rsidR="00FB3C94" w:rsidRPr="00B34368" w:rsidRDefault="00FB3C94" w:rsidP="00FB3C94">
      <w:pPr>
        <w:spacing w:line="360" w:lineRule="auto"/>
        <w:ind w:left="840"/>
        <w:jc w:val="right"/>
        <w:rPr>
          <w:rFonts w:eastAsiaTheme="minorEastAsia"/>
          <w:color w:val="000000" w:themeColor="text1"/>
          <w:sz w:val="24"/>
        </w:rPr>
      </w:pPr>
    </w:p>
    <w:p w:rsidR="00AF3AF9" w:rsidRPr="00B34368" w:rsidRDefault="00AF3AF9" w:rsidP="00053FFD">
      <w:pPr>
        <w:spacing w:line="360" w:lineRule="auto"/>
        <w:ind w:left="840"/>
        <w:jc w:val="center"/>
        <w:rPr>
          <w:rFonts w:eastAsiaTheme="minorEastAsia"/>
          <w:b/>
          <w:color w:val="000000" w:themeColor="text1"/>
          <w:sz w:val="24"/>
        </w:rPr>
      </w:pPr>
    </w:p>
    <w:p w:rsidR="00FB3C94" w:rsidRPr="00B34368" w:rsidRDefault="00FB3C94"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易方达基金管理有限公司</w:t>
      </w:r>
    </w:p>
    <w:p w:rsidR="009238DB" w:rsidRPr="00B34368" w:rsidRDefault="00D04410"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二〇一九年十月二十四日</w:t>
      </w:r>
    </w:p>
    <w:sectPr w:rsidR="009238DB" w:rsidRPr="00B34368" w:rsidSect="00A8324F">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B91" w:rsidRDefault="004B2B91">
      <w:r>
        <w:separator/>
      </w:r>
    </w:p>
  </w:endnote>
  <w:endnote w:type="continuationSeparator" w:id="0">
    <w:p w:rsidR="004B2B91" w:rsidRDefault="004B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Pr="001D0DB0" w:rsidRDefault="007C1122" w:rsidP="00F7094A">
    <w:pPr>
      <w:pStyle w:val="a6"/>
      <w:jc w:val="center"/>
    </w:pPr>
    <w:r>
      <w:rPr>
        <w:rFonts w:hint="eastAsia"/>
        <w:kern w:val="0"/>
        <w:szCs w:val="21"/>
      </w:rPr>
      <w:t>第</w:t>
    </w:r>
    <w:r w:rsidR="00EA55D2">
      <w:rPr>
        <w:kern w:val="0"/>
        <w:szCs w:val="21"/>
      </w:rPr>
      <w:fldChar w:fldCharType="begin"/>
    </w:r>
    <w:r>
      <w:rPr>
        <w:kern w:val="0"/>
        <w:szCs w:val="21"/>
      </w:rPr>
      <w:instrText xml:space="preserve"> PAGE </w:instrText>
    </w:r>
    <w:r w:rsidR="00EA55D2">
      <w:rPr>
        <w:kern w:val="0"/>
        <w:szCs w:val="21"/>
      </w:rPr>
      <w:fldChar w:fldCharType="separate"/>
    </w:r>
    <w:r w:rsidR="00921BF3">
      <w:rPr>
        <w:noProof/>
        <w:kern w:val="0"/>
        <w:szCs w:val="21"/>
      </w:rPr>
      <w:t>1</w:t>
    </w:r>
    <w:r w:rsidR="00EA55D2">
      <w:rPr>
        <w:kern w:val="0"/>
        <w:szCs w:val="21"/>
      </w:rPr>
      <w:fldChar w:fldCharType="end"/>
    </w:r>
    <w:r>
      <w:rPr>
        <w:rFonts w:hint="eastAsia"/>
        <w:kern w:val="0"/>
        <w:szCs w:val="21"/>
      </w:rPr>
      <w:t>页共</w:t>
    </w:r>
    <w:r w:rsidR="00EA55D2">
      <w:rPr>
        <w:kern w:val="0"/>
        <w:szCs w:val="21"/>
      </w:rPr>
      <w:fldChar w:fldCharType="begin"/>
    </w:r>
    <w:r>
      <w:rPr>
        <w:kern w:val="0"/>
        <w:szCs w:val="21"/>
      </w:rPr>
      <w:instrText xml:space="preserve"> NUMPAGES </w:instrText>
    </w:r>
    <w:r w:rsidR="00EA55D2">
      <w:rPr>
        <w:kern w:val="0"/>
        <w:szCs w:val="21"/>
      </w:rPr>
      <w:fldChar w:fldCharType="separate"/>
    </w:r>
    <w:r w:rsidR="00921BF3">
      <w:rPr>
        <w:noProof/>
        <w:kern w:val="0"/>
        <w:szCs w:val="21"/>
      </w:rPr>
      <w:t>3</w:t>
    </w:r>
    <w:r w:rsidR="00EA55D2">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end"/>
    </w:r>
  </w:p>
  <w:p w:rsidR="007C1122" w:rsidRDefault="007C112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separate"/>
    </w:r>
    <w:r w:rsidR="00921BF3">
      <w:rPr>
        <w:rStyle w:val="a7"/>
        <w:noProof/>
      </w:rPr>
      <w:t>15</w:t>
    </w:r>
    <w:r>
      <w:rPr>
        <w:rStyle w:val="a7"/>
      </w:rPr>
      <w:fldChar w:fldCharType="end"/>
    </w:r>
  </w:p>
  <w:p w:rsidR="007C1122" w:rsidRDefault="007C11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B91" w:rsidRDefault="004B2B91">
      <w:r>
        <w:separator/>
      </w:r>
    </w:p>
  </w:footnote>
  <w:footnote w:type="continuationSeparator" w:id="0">
    <w:p w:rsidR="004B2B91" w:rsidRDefault="004B2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7C1122" w:rsidP="001207F2">
    <w:pPr>
      <w:pStyle w:val="a9"/>
      <w:pBdr>
        <w:bottom w:val="single" w:sz="6" w:space="0" w:color="auto"/>
      </w:pBdr>
      <w:jc w:val="right"/>
    </w:pPr>
    <w:r>
      <w:rPr>
        <w:sz w:val="21"/>
        <w:szCs w:val="21"/>
      </w:rPr>
      <w:t>易方达黄金交易型开放式证券投资基金联接基金</w:t>
    </w:r>
    <w:r>
      <w:rPr>
        <w:sz w:val="21"/>
        <w:szCs w:val="21"/>
      </w:rPr>
      <w:t>2019</w:t>
    </w:r>
    <w:r>
      <w:rPr>
        <w:sz w:val="21"/>
        <w:szCs w:val="21"/>
      </w:rPr>
      <w:t>年第</w:t>
    </w:r>
    <w:r>
      <w:rPr>
        <w:sz w:val="21"/>
        <w:szCs w:val="21"/>
      </w:rPr>
      <w:t>3</w:t>
    </w:r>
    <w:r>
      <w:rPr>
        <w:sz w:val="21"/>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B1"/>
    <w:rsid w:val="00002791"/>
    <w:rsid w:val="0000403B"/>
    <w:rsid w:val="00007441"/>
    <w:rsid w:val="00007F1F"/>
    <w:rsid w:val="00010A83"/>
    <w:rsid w:val="000137C1"/>
    <w:rsid w:val="000142F4"/>
    <w:rsid w:val="00014851"/>
    <w:rsid w:val="0001579C"/>
    <w:rsid w:val="00016551"/>
    <w:rsid w:val="00016934"/>
    <w:rsid w:val="00020737"/>
    <w:rsid w:val="00020C27"/>
    <w:rsid w:val="000219D5"/>
    <w:rsid w:val="00022396"/>
    <w:rsid w:val="00023073"/>
    <w:rsid w:val="00023B97"/>
    <w:rsid w:val="00024836"/>
    <w:rsid w:val="00024FB8"/>
    <w:rsid w:val="000252D8"/>
    <w:rsid w:val="0003564A"/>
    <w:rsid w:val="00035B0C"/>
    <w:rsid w:val="00042065"/>
    <w:rsid w:val="00043FD2"/>
    <w:rsid w:val="00045BA9"/>
    <w:rsid w:val="00047D87"/>
    <w:rsid w:val="000510AB"/>
    <w:rsid w:val="00053FFD"/>
    <w:rsid w:val="00056D5C"/>
    <w:rsid w:val="00057507"/>
    <w:rsid w:val="00061B0B"/>
    <w:rsid w:val="00061E09"/>
    <w:rsid w:val="00062C69"/>
    <w:rsid w:val="00062DC5"/>
    <w:rsid w:val="00062E1F"/>
    <w:rsid w:val="00064601"/>
    <w:rsid w:val="00064AE3"/>
    <w:rsid w:val="0006750A"/>
    <w:rsid w:val="00075E4E"/>
    <w:rsid w:val="000776C0"/>
    <w:rsid w:val="00077849"/>
    <w:rsid w:val="000803AD"/>
    <w:rsid w:val="000813D6"/>
    <w:rsid w:val="00081D05"/>
    <w:rsid w:val="000827CC"/>
    <w:rsid w:val="000871DB"/>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3452"/>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1F00"/>
    <w:rsid w:val="0012304E"/>
    <w:rsid w:val="00123051"/>
    <w:rsid w:val="001257C7"/>
    <w:rsid w:val="00125E66"/>
    <w:rsid w:val="00126AC0"/>
    <w:rsid w:val="00126C2B"/>
    <w:rsid w:val="00127A01"/>
    <w:rsid w:val="00130D77"/>
    <w:rsid w:val="00131EF6"/>
    <w:rsid w:val="0013251D"/>
    <w:rsid w:val="00134734"/>
    <w:rsid w:val="00134CBE"/>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12"/>
    <w:rsid w:val="00176874"/>
    <w:rsid w:val="0017725A"/>
    <w:rsid w:val="0018052A"/>
    <w:rsid w:val="00180952"/>
    <w:rsid w:val="0018191A"/>
    <w:rsid w:val="001837D3"/>
    <w:rsid w:val="001857CB"/>
    <w:rsid w:val="00185B68"/>
    <w:rsid w:val="00186199"/>
    <w:rsid w:val="00194155"/>
    <w:rsid w:val="001A0417"/>
    <w:rsid w:val="001A0B71"/>
    <w:rsid w:val="001A1389"/>
    <w:rsid w:val="001A3016"/>
    <w:rsid w:val="001A3914"/>
    <w:rsid w:val="001A5FA6"/>
    <w:rsid w:val="001A78CC"/>
    <w:rsid w:val="001B053A"/>
    <w:rsid w:val="001B06D5"/>
    <w:rsid w:val="001B0C78"/>
    <w:rsid w:val="001B1A13"/>
    <w:rsid w:val="001B22BA"/>
    <w:rsid w:val="001B67D3"/>
    <w:rsid w:val="001C2045"/>
    <w:rsid w:val="001C5040"/>
    <w:rsid w:val="001C715A"/>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028"/>
    <w:rsid w:val="001F5F5F"/>
    <w:rsid w:val="001F66D3"/>
    <w:rsid w:val="00205064"/>
    <w:rsid w:val="0020548A"/>
    <w:rsid w:val="00206EC3"/>
    <w:rsid w:val="00211668"/>
    <w:rsid w:val="002118A6"/>
    <w:rsid w:val="002122FF"/>
    <w:rsid w:val="002125F7"/>
    <w:rsid w:val="0021288A"/>
    <w:rsid w:val="002150AC"/>
    <w:rsid w:val="002164B5"/>
    <w:rsid w:val="00221938"/>
    <w:rsid w:val="00222262"/>
    <w:rsid w:val="002230A8"/>
    <w:rsid w:val="00225E1C"/>
    <w:rsid w:val="00227D20"/>
    <w:rsid w:val="00231BCE"/>
    <w:rsid w:val="00233CFB"/>
    <w:rsid w:val="002359EB"/>
    <w:rsid w:val="0023649E"/>
    <w:rsid w:val="00241740"/>
    <w:rsid w:val="002424E4"/>
    <w:rsid w:val="00243122"/>
    <w:rsid w:val="002437F5"/>
    <w:rsid w:val="00244DB1"/>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6645"/>
    <w:rsid w:val="00267386"/>
    <w:rsid w:val="00267C2E"/>
    <w:rsid w:val="00267DA9"/>
    <w:rsid w:val="00275FD0"/>
    <w:rsid w:val="00280514"/>
    <w:rsid w:val="002819E7"/>
    <w:rsid w:val="00282FF2"/>
    <w:rsid w:val="00283483"/>
    <w:rsid w:val="002844B5"/>
    <w:rsid w:val="0028459B"/>
    <w:rsid w:val="00285166"/>
    <w:rsid w:val="002872F8"/>
    <w:rsid w:val="00296E4A"/>
    <w:rsid w:val="002976E5"/>
    <w:rsid w:val="002A1F14"/>
    <w:rsid w:val="002A2678"/>
    <w:rsid w:val="002A3369"/>
    <w:rsid w:val="002A4B8A"/>
    <w:rsid w:val="002A5161"/>
    <w:rsid w:val="002A5C0F"/>
    <w:rsid w:val="002A61BA"/>
    <w:rsid w:val="002A6385"/>
    <w:rsid w:val="002A7929"/>
    <w:rsid w:val="002B41D7"/>
    <w:rsid w:val="002B5240"/>
    <w:rsid w:val="002B6A13"/>
    <w:rsid w:val="002C0904"/>
    <w:rsid w:val="002C0F67"/>
    <w:rsid w:val="002C1E84"/>
    <w:rsid w:val="002C32ED"/>
    <w:rsid w:val="002C36C3"/>
    <w:rsid w:val="002C77CC"/>
    <w:rsid w:val="002D2A00"/>
    <w:rsid w:val="002D5199"/>
    <w:rsid w:val="002E2862"/>
    <w:rsid w:val="002E4C01"/>
    <w:rsid w:val="002F0516"/>
    <w:rsid w:val="002F22D2"/>
    <w:rsid w:val="002F778A"/>
    <w:rsid w:val="002F7889"/>
    <w:rsid w:val="00302187"/>
    <w:rsid w:val="003028D8"/>
    <w:rsid w:val="0030290F"/>
    <w:rsid w:val="00302DE9"/>
    <w:rsid w:val="0030385E"/>
    <w:rsid w:val="00303869"/>
    <w:rsid w:val="00303F1D"/>
    <w:rsid w:val="00305084"/>
    <w:rsid w:val="00311ABF"/>
    <w:rsid w:val="003123E9"/>
    <w:rsid w:val="00314A81"/>
    <w:rsid w:val="00314DD2"/>
    <w:rsid w:val="00315A7C"/>
    <w:rsid w:val="00317705"/>
    <w:rsid w:val="003204E9"/>
    <w:rsid w:val="003232AA"/>
    <w:rsid w:val="00323A10"/>
    <w:rsid w:val="00323E6A"/>
    <w:rsid w:val="00323F25"/>
    <w:rsid w:val="00324A71"/>
    <w:rsid w:val="003303E3"/>
    <w:rsid w:val="0033236C"/>
    <w:rsid w:val="00334656"/>
    <w:rsid w:val="00337A86"/>
    <w:rsid w:val="0034147B"/>
    <w:rsid w:val="00341889"/>
    <w:rsid w:val="003426CE"/>
    <w:rsid w:val="00343016"/>
    <w:rsid w:val="0034447B"/>
    <w:rsid w:val="00350C22"/>
    <w:rsid w:val="00351704"/>
    <w:rsid w:val="003570C8"/>
    <w:rsid w:val="00367770"/>
    <w:rsid w:val="00371424"/>
    <w:rsid w:val="00371FF4"/>
    <w:rsid w:val="00372209"/>
    <w:rsid w:val="00377160"/>
    <w:rsid w:val="003771ED"/>
    <w:rsid w:val="0037768B"/>
    <w:rsid w:val="00382E6F"/>
    <w:rsid w:val="00387C00"/>
    <w:rsid w:val="00397960"/>
    <w:rsid w:val="00397F75"/>
    <w:rsid w:val="003A2008"/>
    <w:rsid w:val="003A3BC4"/>
    <w:rsid w:val="003A4AA3"/>
    <w:rsid w:val="003B405E"/>
    <w:rsid w:val="003B4843"/>
    <w:rsid w:val="003B494E"/>
    <w:rsid w:val="003B560C"/>
    <w:rsid w:val="003C67C6"/>
    <w:rsid w:val="003C6E9E"/>
    <w:rsid w:val="003C792F"/>
    <w:rsid w:val="003D117A"/>
    <w:rsid w:val="003D36B2"/>
    <w:rsid w:val="003D42D5"/>
    <w:rsid w:val="003D78B5"/>
    <w:rsid w:val="003E0BD4"/>
    <w:rsid w:val="003E45B9"/>
    <w:rsid w:val="003E654C"/>
    <w:rsid w:val="003F070A"/>
    <w:rsid w:val="003F0DE5"/>
    <w:rsid w:val="003F46FC"/>
    <w:rsid w:val="003F4AA5"/>
    <w:rsid w:val="003F697D"/>
    <w:rsid w:val="003F7C45"/>
    <w:rsid w:val="00400500"/>
    <w:rsid w:val="0040132C"/>
    <w:rsid w:val="0040218E"/>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8BB"/>
    <w:rsid w:val="0042785F"/>
    <w:rsid w:val="004314FF"/>
    <w:rsid w:val="004408EC"/>
    <w:rsid w:val="00440F74"/>
    <w:rsid w:val="00441FEC"/>
    <w:rsid w:val="004425E8"/>
    <w:rsid w:val="0044280E"/>
    <w:rsid w:val="00443C8F"/>
    <w:rsid w:val="00447BC6"/>
    <w:rsid w:val="004501CE"/>
    <w:rsid w:val="00452481"/>
    <w:rsid w:val="00452B25"/>
    <w:rsid w:val="00453417"/>
    <w:rsid w:val="00454A0F"/>
    <w:rsid w:val="0046335D"/>
    <w:rsid w:val="00463C2C"/>
    <w:rsid w:val="00483271"/>
    <w:rsid w:val="0049210E"/>
    <w:rsid w:val="0049297D"/>
    <w:rsid w:val="0049327D"/>
    <w:rsid w:val="0049405D"/>
    <w:rsid w:val="0049455C"/>
    <w:rsid w:val="00495A03"/>
    <w:rsid w:val="004A1BE1"/>
    <w:rsid w:val="004A63CB"/>
    <w:rsid w:val="004A67B0"/>
    <w:rsid w:val="004A6FB2"/>
    <w:rsid w:val="004B0847"/>
    <w:rsid w:val="004B0E6D"/>
    <w:rsid w:val="004B16E8"/>
    <w:rsid w:val="004B2B91"/>
    <w:rsid w:val="004B54B8"/>
    <w:rsid w:val="004C0541"/>
    <w:rsid w:val="004C634A"/>
    <w:rsid w:val="004C660B"/>
    <w:rsid w:val="004D050C"/>
    <w:rsid w:val="004D23D9"/>
    <w:rsid w:val="004D3537"/>
    <w:rsid w:val="004D45B6"/>
    <w:rsid w:val="004D4D4E"/>
    <w:rsid w:val="004D614E"/>
    <w:rsid w:val="004D650F"/>
    <w:rsid w:val="004E2133"/>
    <w:rsid w:val="004E4E04"/>
    <w:rsid w:val="004F521C"/>
    <w:rsid w:val="005002A3"/>
    <w:rsid w:val="00502CD8"/>
    <w:rsid w:val="0050361C"/>
    <w:rsid w:val="0050527A"/>
    <w:rsid w:val="00506A40"/>
    <w:rsid w:val="0051064F"/>
    <w:rsid w:val="00513A0E"/>
    <w:rsid w:val="00515D7B"/>
    <w:rsid w:val="00515F29"/>
    <w:rsid w:val="0052009E"/>
    <w:rsid w:val="00524880"/>
    <w:rsid w:val="00530161"/>
    <w:rsid w:val="005413D4"/>
    <w:rsid w:val="0054389B"/>
    <w:rsid w:val="005450F7"/>
    <w:rsid w:val="00545A0B"/>
    <w:rsid w:val="00545BED"/>
    <w:rsid w:val="0054672F"/>
    <w:rsid w:val="00547A9A"/>
    <w:rsid w:val="00547FA4"/>
    <w:rsid w:val="005536D4"/>
    <w:rsid w:val="00553EC8"/>
    <w:rsid w:val="005564EE"/>
    <w:rsid w:val="00557D4A"/>
    <w:rsid w:val="0056176B"/>
    <w:rsid w:val="00561889"/>
    <w:rsid w:val="005621F6"/>
    <w:rsid w:val="0056291C"/>
    <w:rsid w:val="005668D3"/>
    <w:rsid w:val="00566EBD"/>
    <w:rsid w:val="0057154B"/>
    <w:rsid w:val="005742DB"/>
    <w:rsid w:val="00577209"/>
    <w:rsid w:val="005800A9"/>
    <w:rsid w:val="00581139"/>
    <w:rsid w:val="00581645"/>
    <w:rsid w:val="00583723"/>
    <w:rsid w:val="0058694E"/>
    <w:rsid w:val="005875F9"/>
    <w:rsid w:val="00593A35"/>
    <w:rsid w:val="00593C74"/>
    <w:rsid w:val="00597D8B"/>
    <w:rsid w:val="005A46FF"/>
    <w:rsid w:val="005A557E"/>
    <w:rsid w:val="005A63FD"/>
    <w:rsid w:val="005B2366"/>
    <w:rsid w:val="005B462A"/>
    <w:rsid w:val="005B5137"/>
    <w:rsid w:val="005B6047"/>
    <w:rsid w:val="005C0ED7"/>
    <w:rsid w:val="005C5409"/>
    <w:rsid w:val="005C6FF7"/>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321C"/>
    <w:rsid w:val="00613F44"/>
    <w:rsid w:val="006160BD"/>
    <w:rsid w:val="00617125"/>
    <w:rsid w:val="00620EDB"/>
    <w:rsid w:val="0062386E"/>
    <w:rsid w:val="00623DB6"/>
    <w:rsid w:val="00624EDE"/>
    <w:rsid w:val="006253EF"/>
    <w:rsid w:val="00626075"/>
    <w:rsid w:val="0062680E"/>
    <w:rsid w:val="00631158"/>
    <w:rsid w:val="00632923"/>
    <w:rsid w:val="006341E6"/>
    <w:rsid w:val="00634439"/>
    <w:rsid w:val="006366C6"/>
    <w:rsid w:val="00636B55"/>
    <w:rsid w:val="00636EB1"/>
    <w:rsid w:val="006373D6"/>
    <w:rsid w:val="006403D4"/>
    <w:rsid w:val="00642CBC"/>
    <w:rsid w:val="00643760"/>
    <w:rsid w:val="0064454A"/>
    <w:rsid w:val="00645293"/>
    <w:rsid w:val="0064698F"/>
    <w:rsid w:val="006503F2"/>
    <w:rsid w:val="00651B78"/>
    <w:rsid w:val="0065237A"/>
    <w:rsid w:val="00652FF5"/>
    <w:rsid w:val="00654382"/>
    <w:rsid w:val="00654758"/>
    <w:rsid w:val="00661244"/>
    <w:rsid w:val="006640DF"/>
    <w:rsid w:val="00666A3C"/>
    <w:rsid w:val="00667519"/>
    <w:rsid w:val="006676A0"/>
    <w:rsid w:val="00670857"/>
    <w:rsid w:val="00670868"/>
    <w:rsid w:val="00673D69"/>
    <w:rsid w:val="00676431"/>
    <w:rsid w:val="0068050D"/>
    <w:rsid w:val="00685FFC"/>
    <w:rsid w:val="00686943"/>
    <w:rsid w:val="00686EDE"/>
    <w:rsid w:val="00687AD5"/>
    <w:rsid w:val="00690A31"/>
    <w:rsid w:val="006911CE"/>
    <w:rsid w:val="00695251"/>
    <w:rsid w:val="00695B58"/>
    <w:rsid w:val="0069798D"/>
    <w:rsid w:val="006A4828"/>
    <w:rsid w:val="006A7C09"/>
    <w:rsid w:val="006B046C"/>
    <w:rsid w:val="006B252F"/>
    <w:rsid w:val="006B3940"/>
    <w:rsid w:val="006B3FDB"/>
    <w:rsid w:val="006B66FE"/>
    <w:rsid w:val="006C168D"/>
    <w:rsid w:val="006C4033"/>
    <w:rsid w:val="006C642C"/>
    <w:rsid w:val="006D3BC4"/>
    <w:rsid w:val="006D7386"/>
    <w:rsid w:val="006E0DAD"/>
    <w:rsid w:val="006E313F"/>
    <w:rsid w:val="006E3EFB"/>
    <w:rsid w:val="006F1F1A"/>
    <w:rsid w:val="006F5AC2"/>
    <w:rsid w:val="006F5B4C"/>
    <w:rsid w:val="006F6C28"/>
    <w:rsid w:val="007007EB"/>
    <w:rsid w:val="00701F57"/>
    <w:rsid w:val="00703E8A"/>
    <w:rsid w:val="00706046"/>
    <w:rsid w:val="007112F0"/>
    <w:rsid w:val="00711343"/>
    <w:rsid w:val="00714309"/>
    <w:rsid w:val="0071450F"/>
    <w:rsid w:val="00714C6F"/>
    <w:rsid w:val="0071681D"/>
    <w:rsid w:val="00717772"/>
    <w:rsid w:val="00721DBE"/>
    <w:rsid w:val="007226EC"/>
    <w:rsid w:val="00722B5E"/>
    <w:rsid w:val="00724F6D"/>
    <w:rsid w:val="0072678C"/>
    <w:rsid w:val="00732D1D"/>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B8"/>
    <w:rsid w:val="007661D4"/>
    <w:rsid w:val="007661FD"/>
    <w:rsid w:val="00766A7C"/>
    <w:rsid w:val="00767A27"/>
    <w:rsid w:val="0077111A"/>
    <w:rsid w:val="00775419"/>
    <w:rsid w:val="007763A5"/>
    <w:rsid w:val="0078008C"/>
    <w:rsid w:val="0078105B"/>
    <w:rsid w:val="00782390"/>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04A1"/>
    <w:rsid w:val="007C1122"/>
    <w:rsid w:val="007C19EC"/>
    <w:rsid w:val="007C364E"/>
    <w:rsid w:val="007C5359"/>
    <w:rsid w:val="007C6701"/>
    <w:rsid w:val="007D16ED"/>
    <w:rsid w:val="007D2398"/>
    <w:rsid w:val="007D440B"/>
    <w:rsid w:val="007D5908"/>
    <w:rsid w:val="007D62F9"/>
    <w:rsid w:val="007D63A4"/>
    <w:rsid w:val="007D732D"/>
    <w:rsid w:val="007E0F19"/>
    <w:rsid w:val="007E2A84"/>
    <w:rsid w:val="007E5ECB"/>
    <w:rsid w:val="007F063D"/>
    <w:rsid w:val="007F0D73"/>
    <w:rsid w:val="007F2FC8"/>
    <w:rsid w:val="007F432A"/>
    <w:rsid w:val="007F63AA"/>
    <w:rsid w:val="008006B7"/>
    <w:rsid w:val="008032FD"/>
    <w:rsid w:val="00806461"/>
    <w:rsid w:val="008064CE"/>
    <w:rsid w:val="0080673A"/>
    <w:rsid w:val="00807A94"/>
    <w:rsid w:val="00810B79"/>
    <w:rsid w:val="00810EAD"/>
    <w:rsid w:val="00812803"/>
    <w:rsid w:val="008129C0"/>
    <w:rsid w:val="00813B0C"/>
    <w:rsid w:val="00814530"/>
    <w:rsid w:val="00815386"/>
    <w:rsid w:val="00821F9C"/>
    <w:rsid w:val="00825570"/>
    <w:rsid w:val="00826403"/>
    <w:rsid w:val="00827990"/>
    <w:rsid w:val="00834CA6"/>
    <w:rsid w:val="0083623B"/>
    <w:rsid w:val="008379E4"/>
    <w:rsid w:val="00837E59"/>
    <w:rsid w:val="00842100"/>
    <w:rsid w:val="008428A9"/>
    <w:rsid w:val="0084308F"/>
    <w:rsid w:val="00846C2B"/>
    <w:rsid w:val="0085139A"/>
    <w:rsid w:val="008524F6"/>
    <w:rsid w:val="00854B3F"/>
    <w:rsid w:val="00861C2C"/>
    <w:rsid w:val="008668B8"/>
    <w:rsid w:val="00866D32"/>
    <w:rsid w:val="0086748F"/>
    <w:rsid w:val="00867B4D"/>
    <w:rsid w:val="00867CF3"/>
    <w:rsid w:val="00870278"/>
    <w:rsid w:val="00874AB5"/>
    <w:rsid w:val="008750A9"/>
    <w:rsid w:val="00875A68"/>
    <w:rsid w:val="00877671"/>
    <w:rsid w:val="00877A13"/>
    <w:rsid w:val="008869BC"/>
    <w:rsid w:val="00887DDD"/>
    <w:rsid w:val="00887DE6"/>
    <w:rsid w:val="00887E9F"/>
    <w:rsid w:val="008908AA"/>
    <w:rsid w:val="00890E08"/>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DDD"/>
    <w:rsid w:val="008E58D6"/>
    <w:rsid w:val="008F1426"/>
    <w:rsid w:val="008F2125"/>
    <w:rsid w:val="008F23F4"/>
    <w:rsid w:val="008F61C4"/>
    <w:rsid w:val="008F7763"/>
    <w:rsid w:val="009007CB"/>
    <w:rsid w:val="009010F0"/>
    <w:rsid w:val="00901162"/>
    <w:rsid w:val="00901D46"/>
    <w:rsid w:val="009028E2"/>
    <w:rsid w:val="00903692"/>
    <w:rsid w:val="00904E07"/>
    <w:rsid w:val="00912BAF"/>
    <w:rsid w:val="00914EAB"/>
    <w:rsid w:val="0091541F"/>
    <w:rsid w:val="009165E9"/>
    <w:rsid w:val="00920D98"/>
    <w:rsid w:val="00921BF3"/>
    <w:rsid w:val="0092249B"/>
    <w:rsid w:val="00922D49"/>
    <w:rsid w:val="009238DB"/>
    <w:rsid w:val="00925E37"/>
    <w:rsid w:val="00925EDD"/>
    <w:rsid w:val="00930079"/>
    <w:rsid w:val="00930966"/>
    <w:rsid w:val="00932F64"/>
    <w:rsid w:val="00936075"/>
    <w:rsid w:val="00936D40"/>
    <w:rsid w:val="00937ABF"/>
    <w:rsid w:val="00937DB1"/>
    <w:rsid w:val="009407FE"/>
    <w:rsid w:val="009463CC"/>
    <w:rsid w:val="00950413"/>
    <w:rsid w:val="0095078E"/>
    <w:rsid w:val="00952404"/>
    <w:rsid w:val="00952A72"/>
    <w:rsid w:val="009530AC"/>
    <w:rsid w:val="009550A8"/>
    <w:rsid w:val="00955FF2"/>
    <w:rsid w:val="0095693D"/>
    <w:rsid w:val="00956B0D"/>
    <w:rsid w:val="0096260B"/>
    <w:rsid w:val="009631C1"/>
    <w:rsid w:val="00963918"/>
    <w:rsid w:val="00970C69"/>
    <w:rsid w:val="00973B57"/>
    <w:rsid w:val="00973E0D"/>
    <w:rsid w:val="0097403F"/>
    <w:rsid w:val="00975D18"/>
    <w:rsid w:val="00976797"/>
    <w:rsid w:val="00980C0C"/>
    <w:rsid w:val="00982E47"/>
    <w:rsid w:val="00983E7D"/>
    <w:rsid w:val="00986963"/>
    <w:rsid w:val="00991642"/>
    <w:rsid w:val="0099260C"/>
    <w:rsid w:val="009942F4"/>
    <w:rsid w:val="00995B3C"/>
    <w:rsid w:val="009A045B"/>
    <w:rsid w:val="009A0513"/>
    <w:rsid w:val="009A2283"/>
    <w:rsid w:val="009A31AF"/>
    <w:rsid w:val="009A3507"/>
    <w:rsid w:val="009A5C1D"/>
    <w:rsid w:val="009B4286"/>
    <w:rsid w:val="009B5BF9"/>
    <w:rsid w:val="009B5DAF"/>
    <w:rsid w:val="009B5F83"/>
    <w:rsid w:val="009B61C5"/>
    <w:rsid w:val="009B769E"/>
    <w:rsid w:val="009C03E5"/>
    <w:rsid w:val="009C4D19"/>
    <w:rsid w:val="009C577A"/>
    <w:rsid w:val="009C5FDB"/>
    <w:rsid w:val="009C65AF"/>
    <w:rsid w:val="009C67A4"/>
    <w:rsid w:val="009C70CB"/>
    <w:rsid w:val="009C74DD"/>
    <w:rsid w:val="009D27AA"/>
    <w:rsid w:val="009D2AD9"/>
    <w:rsid w:val="009D514E"/>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1C74"/>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6437"/>
    <w:rsid w:val="00A32410"/>
    <w:rsid w:val="00A32B48"/>
    <w:rsid w:val="00A36D00"/>
    <w:rsid w:val="00A43389"/>
    <w:rsid w:val="00A4642E"/>
    <w:rsid w:val="00A47AF8"/>
    <w:rsid w:val="00A50AC8"/>
    <w:rsid w:val="00A52D75"/>
    <w:rsid w:val="00A53013"/>
    <w:rsid w:val="00A53B6A"/>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5B37"/>
    <w:rsid w:val="00A96B6F"/>
    <w:rsid w:val="00AA0CE8"/>
    <w:rsid w:val="00AA35FD"/>
    <w:rsid w:val="00AA3DB7"/>
    <w:rsid w:val="00AA5F63"/>
    <w:rsid w:val="00AA7EBD"/>
    <w:rsid w:val="00AB2431"/>
    <w:rsid w:val="00AB69EF"/>
    <w:rsid w:val="00AC11DC"/>
    <w:rsid w:val="00AC3E87"/>
    <w:rsid w:val="00AC469F"/>
    <w:rsid w:val="00AD0611"/>
    <w:rsid w:val="00AD0E4F"/>
    <w:rsid w:val="00AD26D7"/>
    <w:rsid w:val="00AD3905"/>
    <w:rsid w:val="00AD4555"/>
    <w:rsid w:val="00AD4A31"/>
    <w:rsid w:val="00AD5638"/>
    <w:rsid w:val="00AD7214"/>
    <w:rsid w:val="00AE1066"/>
    <w:rsid w:val="00AE12A4"/>
    <w:rsid w:val="00AE2E1B"/>
    <w:rsid w:val="00AE33EA"/>
    <w:rsid w:val="00AE5129"/>
    <w:rsid w:val="00AE5645"/>
    <w:rsid w:val="00AF1D6B"/>
    <w:rsid w:val="00AF24AA"/>
    <w:rsid w:val="00AF3AF9"/>
    <w:rsid w:val="00AF3E5F"/>
    <w:rsid w:val="00AF4F09"/>
    <w:rsid w:val="00AF643E"/>
    <w:rsid w:val="00AF79C8"/>
    <w:rsid w:val="00B007B6"/>
    <w:rsid w:val="00B00FA8"/>
    <w:rsid w:val="00B011B0"/>
    <w:rsid w:val="00B0270C"/>
    <w:rsid w:val="00B0391C"/>
    <w:rsid w:val="00B047F6"/>
    <w:rsid w:val="00B06019"/>
    <w:rsid w:val="00B0700F"/>
    <w:rsid w:val="00B1493B"/>
    <w:rsid w:val="00B15119"/>
    <w:rsid w:val="00B17169"/>
    <w:rsid w:val="00B20F47"/>
    <w:rsid w:val="00B23996"/>
    <w:rsid w:val="00B23CB2"/>
    <w:rsid w:val="00B24A18"/>
    <w:rsid w:val="00B255C5"/>
    <w:rsid w:val="00B25807"/>
    <w:rsid w:val="00B268B3"/>
    <w:rsid w:val="00B268DD"/>
    <w:rsid w:val="00B32AE1"/>
    <w:rsid w:val="00B34368"/>
    <w:rsid w:val="00B37780"/>
    <w:rsid w:val="00B37813"/>
    <w:rsid w:val="00B37EEF"/>
    <w:rsid w:val="00B411CD"/>
    <w:rsid w:val="00B41ABB"/>
    <w:rsid w:val="00B41C1D"/>
    <w:rsid w:val="00B43917"/>
    <w:rsid w:val="00B43E1E"/>
    <w:rsid w:val="00B4515C"/>
    <w:rsid w:val="00B46220"/>
    <w:rsid w:val="00B464EA"/>
    <w:rsid w:val="00B47574"/>
    <w:rsid w:val="00B52BE7"/>
    <w:rsid w:val="00B5430C"/>
    <w:rsid w:val="00B56A90"/>
    <w:rsid w:val="00B5711C"/>
    <w:rsid w:val="00B57BCF"/>
    <w:rsid w:val="00B57E36"/>
    <w:rsid w:val="00B60209"/>
    <w:rsid w:val="00B606A3"/>
    <w:rsid w:val="00B65D6F"/>
    <w:rsid w:val="00B673F3"/>
    <w:rsid w:val="00B67A25"/>
    <w:rsid w:val="00B70229"/>
    <w:rsid w:val="00B7354A"/>
    <w:rsid w:val="00B7435B"/>
    <w:rsid w:val="00B74446"/>
    <w:rsid w:val="00B74B59"/>
    <w:rsid w:val="00B77142"/>
    <w:rsid w:val="00B8024E"/>
    <w:rsid w:val="00B80C3A"/>
    <w:rsid w:val="00B81633"/>
    <w:rsid w:val="00B84643"/>
    <w:rsid w:val="00B90452"/>
    <w:rsid w:val="00B90780"/>
    <w:rsid w:val="00B916D6"/>
    <w:rsid w:val="00B91AD8"/>
    <w:rsid w:val="00B9209B"/>
    <w:rsid w:val="00B9240D"/>
    <w:rsid w:val="00B95753"/>
    <w:rsid w:val="00B97E42"/>
    <w:rsid w:val="00BA0C05"/>
    <w:rsid w:val="00BA54D0"/>
    <w:rsid w:val="00BB1013"/>
    <w:rsid w:val="00BB4515"/>
    <w:rsid w:val="00BB7B89"/>
    <w:rsid w:val="00BC1A9B"/>
    <w:rsid w:val="00BC2A22"/>
    <w:rsid w:val="00BC4986"/>
    <w:rsid w:val="00BC5E2E"/>
    <w:rsid w:val="00BC6379"/>
    <w:rsid w:val="00BC7EEF"/>
    <w:rsid w:val="00BD43BB"/>
    <w:rsid w:val="00BD7ADE"/>
    <w:rsid w:val="00BE1A85"/>
    <w:rsid w:val="00BE46ED"/>
    <w:rsid w:val="00BE4FD1"/>
    <w:rsid w:val="00BE642D"/>
    <w:rsid w:val="00BE6D7A"/>
    <w:rsid w:val="00BF02BE"/>
    <w:rsid w:val="00BF2511"/>
    <w:rsid w:val="00BF377F"/>
    <w:rsid w:val="00BF3F88"/>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5BB7"/>
    <w:rsid w:val="00C36B35"/>
    <w:rsid w:val="00C400CD"/>
    <w:rsid w:val="00C41617"/>
    <w:rsid w:val="00C4309A"/>
    <w:rsid w:val="00C43F23"/>
    <w:rsid w:val="00C43FF1"/>
    <w:rsid w:val="00C45494"/>
    <w:rsid w:val="00C52D18"/>
    <w:rsid w:val="00C544B8"/>
    <w:rsid w:val="00C559CE"/>
    <w:rsid w:val="00C55E19"/>
    <w:rsid w:val="00C563BF"/>
    <w:rsid w:val="00C57512"/>
    <w:rsid w:val="00C57607"/>
    <w:rsid w:val="00C61133"/>
    <w:rsid w:val="00C64009"/>
    <w:rsid w:val="00C7016D"/>
    <w:rsid w:val="00C767B3"/>
    <w:rsid w:val="00C76C07"/>
    <w:rsid w:val="00C80F23"/>
    <w:rsid w:val="00C835B4"/>
    <w:rsid w:val="00C850A3"/>
    <w:rsid w:val="00C87568"/>
    <w:rsid w:val="00C92451"/>
    <w:rsid w:val="00C9272C"/>
    <w:rsid w:val="00C97764"/>
    <w:rsid w:val="00C97C9B"/>
    <w:rsid w:val="00CA344C"/>
    <w:rsid w:val="00CB142D"/>
    <w:rsid w:val="00CB26C7"/>
    <w:rsid w:val="00CB29F6"/>
    <w:rsid w:val="00CB2BBF"/>
    <w:rsid w:val="00CB481C"/>
    <w:rsid w:val="00CB4C8C"/>
    <w:rsid w:val="00CB62E1"/>
    <w:rsid w:val="00CB6EFE"/>
    <w:rsid w:val="00CC16F9"/>
    <w:rsid w:val="00CC28A9"/>
    <w:rsid w:val="00CC4183"/>
    <w:rsid w:val="00CC6928"/>
    <w:rsid w:val="00CC70A4"/>
    <w:rsid w:val="00CD2BA8"/>
    <w:rsid w:val="00CD4A0C"/>
    <w:rsid w:val="00CD5CEF"/>
    <w:rsid w:val="00CE06EC"/>
    <w:rsid w:val="00CE1F8A"/>
    <w:rsid w:val="00CE5465"/>
    <w:rsid w:val="00CE592E"/>
    <w:rsid w:val="00CE5BC5"/>
    <w:rsid w:val="00CF16A4"/>
    <w:rsid w:val="00CF299F"/>
    <w:rsid w:val="00CF3357"/>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05C9"/>
    <w:rsid w:val="00D3194F"/>
    <w:rsid w:val="00D33751"/>
    <w:rsid w:val="00D3639B"/>
    <w:rsid w:val="00D37343"/>
    <w:rsid w:val="00D37495"/>
    <w:rsid w:val="00D41727"/>
    <w:rsid w:val="00D427E4"/>
    <w:rsid w:val="00D45F1B"/>
    <w:rsid w:val="00D472A5"/>
    <w:rsid w:val="00D52289"/>
    <w:rsid w:val="00D55A37"/>
    <w:rsid w:val="00D55B7E"/>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110D"/>
    <w:rsid w:val="00D91124"/>
    <w:rsid w:val="00D91987"/>
    <w:rsid w:val="00D92168"/>
    <w:rsid w:val="00D93426"/>
    <w:rsid w:val="00D94B22"/>
    <w:rsid w:val="00D958D3"/>
    <w:rsid w:val="00D9594F"/>
    <w:rsid w:val="00D97213"/>
    <w:rsid w:val="00DA0C95"/>
    <w:rsid w:val="00DA134E"/>
    <w:rsid w:val="00DA13F3"/>
    <w:rsid w:val="00DA2DE3"/>
    <w:rsid w:val="00DA47D9"/>
    <w:rsid w:val="00DA64AF"/>
    <w:rsid w:val="00DB1F4F"/>
    <w:rsid w:val="00DB2AC7"/>
    <w:rsid w:val="00DB704C"/>
    <w:rsid w:val="00DC693B"/>
    <w:rsid w:val="00DC7C77"/>
    <w:rsid w:val="00DD0F5D"/>
    <w:rsid w:val="00DD426D"/>
    <w:rsid w:val="00DD74FC"/>
    <w:rsid w:val="00DE117F"/>
    <w:rsid w:val="00DE1769"/>
    <w:rsid w:val="00DE1A17"/>
    <w:rsid w:val="00DE1D7B"/>
    <w:rsid w:val="00DE44C8"/>
    <w:rsid w:val="00DE64CC"/>
    <w:rsid w:val="00DE6AA9"/>
    <w:rsid w:val="00DE7B30"/>
    <w:rsid w:val="00DF20C7"/>
    <w:rsid w:val="00DF4D0C"/>
    <w:rsid w:val="00DF5C20"/>
    <w:rsid w:val="00DF7D81"/>
    <w:rsid w:val="00E02DEB"/>
    <w:rsid w:val="00E03486"/>
    <w:rsid w:val="00E0405A"/>
    <w:rsid w:val="00E042A1"/>
    <w:rsid w:val="00E0476C"/>
    <w:rsid w:val="00E0576B"/>
    <w:rsid w:val="00E067EA"/>
    <w:rsid w:val="00E06D18"/>
    <w:rsid w:val="00E104FA"/>
    <w:rsid w:val="00E1320D"/>
    <w:rsid w:val="00E15FD1"/>
    <w:rsid w:val="00E16022"/>
    <w:rsid w:val="00E1738C"/>
    <w:rsid w:val="00E174FF"/>
    <w:rsid w:val="00E205AA"/>
    <w:rsid w:val="00E22296"/>
    <w:rsid w:val="00E27360"/>
    <w:rsid w:val="00E27C04"/>
    <w:rsid w:val="00E30713"/>
    <w:rsid w:val="00E30EDF"/>
    <w:rsid w:val="00E31FBA"/>
    <w:rsid w:val="00E328E2"/>
    <w:rsid w:val="00E336BB"/>
    <w:rsid w:val="00E3384E"/>
    <w:rsid w:val="00E374C8"/>
    <w:rsid w:val="00E4042D"/>
    <w:rsid w:val="00E4135D"/>
    <w:rsid w:val="00E43750"/>
    <w:rsid w:val="00E508EB"/>
    <w:rsid w:val="00E50A31"/>
    <w:rsid w:val="00E521E3"/>
    <w:rsid w:val="00E53B7A"/>
    <w:rsid w:val="00E550C9"/>
    <w:rsid w:val="00E55405"/>
    <w:rsid w:val="00E561F9"/>
    <w:rsid w:val="00E5645D"/>
    <w:rsid w:val="00E57CD3"/>
    <w:rsid w:val="00E6154E"/>
    <w:rsid w:val="00E627A4"/>
    <w:rsid w:val="00E6280E"/>
    <w:rsid w:val="00E62C9C"/>
    <w:rsid w:val="00E630EE"/>
    <w:rsid w:val="00E67A61"/>
    <w:rsid w:val="00E70455"/>
    <w:rsid w:val="00E73221"/>
    <w:rsid w:val="00E75116"/>
    <w:rsid w:val="00E763EB"/>
    <w:rsid w:val="00E8249B"/>
    <w:rsid w:val="00E8342F"/>
    <w:rsid w:val="00E84632"/>
    <w:rsid w:val="00E847EE"/>
    <w:rsid w:val="00E876F9"/>
    <w:rsid w:val="00E90C0C"/>
    <w:rsid w:val="00E96A72"/>
    <w:rsid w:val="00E96B52"/>
    <w:rsid w:val="00EA01F7"/>
    <w:rsid w:val="00EA1D33"/>
    <w:rsid w:val="00EA1F5A"/>
    <w:rsid w:val="00EA375F"/>
    <w:rsid w:val="00EA55D2"/>
    <w:rsid w:val="00EA7104"/>
    <w:rsid w:val="00EA7533"/>
    <w:rsid w:val="00EB067F"/>
    <w:rsid w:val="00EB2419"/>
    <w:rsid w:val="00EB58F5"/>
    <w:rsid w:val="00EB6E6B"/>
    <w:rsid w:val="00EC010F"/>
    <w:rsid w:val="00EC2E3A"/>
    <w:rsid w:val="00EC3CCB"/>
    <w:rsid w:val="00EC5A74"/>
    <w:rsid w:val="00EC737D"/>
    <w:rsid w:val="00ED2154"/>
    <w:rsid w:val="00ED4277"/>
    <w:rsid w:val="00ED7C8C"/>
    <w:rsid w:val="00ED7DDB"/>
    <w:rsid w:val="00EE431B"/>
    <w:rsid w:val="00EE4874"/>
    <w:rsid w:val="00EE53E5"/>
    <w:rsid w:val="00EE6852"/>
    <w:rsid w:val="00EE73FB"/>
    <w:rsid w:val="00EE7BF0"/>
    <w:rsid w:val="00EF2674"/>
    <w:rsid w:val="00EF556F"/>
    <w:rsid w:val="00EF7D07"/>
    <w:rsid w:val="00F0181C"/>
    <w:rsid w:val="00F03512"/>
    <w:rsid w:val="00F0433A"/>
    <w:rsid w:val="00F0519B"/>
    <w:rsid w:val="00F059D4"/>
    <w:rsid w:val="00F11783"/>
    <w:rsid w:val="00F119AF"/>
    <w:rsid w:val="00F1480B"/>
    <w:rsid w:val="00F1498D"/>
    <w:rsid w:val="00F15173"/>
    <w:rsid w:val="00F20065"/>
    <w:rsid w:val="00F21B6D"/>
    <w:rsid w:val="00F22211"/>
    <w:rsid w:val="00F22341"/>
    <w:rsid w:val="00F24039"/>
    <w:rsid w:val="00F24E0E"/>
    <w:rsid w:val="00F26693"/>
    <w:rsid w:val="00F3477D"/>
    <w:rsid w:val="00F347FE"/>
    <w:rsid w:val="00F34859"/>
    <w:rsid w:val="00F356F7"/>
    <w:rsid w:val="00F40055"/>
    <w:rsid w:val="00F405D4"/>
    <w:rsid w:val="00F40868"/>
    <w:rsid w:val="00F421D5"/>
    <w:rsid w:val="00F44FDE"/>
    <w:rsid w:val="00F46467"/>
    <w:rsid w:val="00F46B63"/>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74742"/>
    <w:rsid w:val="00F804B9"/>
    <w:rsid w:val="00F80AE2"/>
    <w:rsid w:val="00F83FF9"/>
    <w:rsid w:val="00F91061"/>
    <w:rsid w:val="00F91B52"/>
    <w:rsid w:val="00F961A9"/>
    <w:rsid w:val="00F97478"/>
    <w:rsid w:val="00F97B71"/>
    <w:rsid w:val="00F97B9E"/>
    <w:rsid w:val="00FA0527"/>
    <w:rsid w:val="00FA085E"/>
    <w:rsid w:val="00FA0947"/>
    <w:rsid w:val="00FA2185"/>
    <w:rsid w:val="00FA2D49"/>
    <w:rsid w:val="00FA4B52"/>
    <w:rsid w:val="00FA4D4F"/>
    <w:rsid w:val="00FA4D5B"/>
    <w:rsid w:val="00FA54E8"/>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0C8B"/>
    <w:rsid w:val="00FE1E47"/>
    <w:rsid w:val="00FE275D"/>
    <w:rsid w:val="00FE7DDE"/>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90E1354-4EEE-4A93-83B3-3E915CD5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uiPriority w:val="99"/>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uiPriority w:val="99"/>
    <w:rsid w:val="00D66685"/>
    <w:rPr>
      <w:kern w:val="2"/>
      <w:sz w:val="24"/>
    </w:rPr>
  </w:style>
  <w:style w:type="character" w:styleId="af6">
    <w:name w:val="Strong"/>
    <w:basedOn w:val="a1"/>
    <w:uiPriority w:val="22"/>
    <w:qFormat/>
    <w:rsid w:val="00FE0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042290413">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408848286">
      <w:bodyDiv w:val="1"/>
      <w:marLeft w:val="0"/>
      <w:marRight w:val="0"/>
      <w:marTop w:val="0"/>
      <w:marBottom w:val="0"/>
      <w:divBdr>
        <w:top w:val="none" w:sz="0" w:space="0" w:color="auto"/>
        <w:left w:val="none" w:sz="0" w:space="0" w:color="auto"/>
        <w:bottom w:val="none" w:sz="0" w:space="0" w:color="auto"/>
        <w:right w:val="none" w:sz="0" w:space="0" w:color="auto"/>
      </w:divBdr>
    </w:div>
    <w:div w:id="1436562378">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B213A-8A99-4EDD-B3E6-7550F46B2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42</TotalTime>
  <Pages>3</Pages>
  <Words>1120</Words>
  <Characters>6388</Characters>
  <Application>Microsoft Office Word</Application>
  <DocSecurity>0</DocSecurity>
  <Lines>53</Lines>
  <Paragraphs>14</Paragraphs>
  <ScaleCrop>false</ScaleCrop>
  <Company>TRT. Ltd. Co.</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50</cp:revision>
  <cp:lastPrinted>2019-10-16T13:54:00Z</cp:lastPrinted>
  <dcterms:created xsi:type="dcterms:W3CDTF">2014-12-16T08:49:00Z</dcterms:created>
  <dcterms:modified xsi:type="dcterms:W3CDTF">2019-10-16T13:54:00Z</dcterms:modified>
</cp:coreProperties>
</file>